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E227F" w14:textId="0517C8F6" w:rsidR="006933C3" w:rsidRPr="0026420A" w:rsidRDefault="0523D516" w:rsidP="00A71C54">
      <w:pPr>
        <w:pBdr>
          <w:top w:val="none" w:sz="4" w:space="0" w:color="000000"/>
          <w:left w:val="none" w:sz="4" w:space="0" w:color="000000"/>
          <w:bottom w:val="none" w:sz="4" w:space="0" w:color="000000"/>
          <w:right w:val="none" w:sz="4" w:space="0" w:color="000000"/>
        </w:pBdr>
        <w:tabs>
          <w:tab w:val="left" w:pos="884"/>
          <w:tab w:val="left" w:pos="1196"/>
        </w:tabs>
        <w:ind w:firstLine="0"/>
        <w:jc w:val="center"/>
      </w:pPr>
      <w:r w:rsidRPr="0026420A">
        <w:rPr>
          <w:b/>
          <w:bCs/>
        </w:rPr>
        <w:t>SINTEZA</w:t>
      </w:r>
      <w:r w:rsidR="4AD2EB9D" w:rsidRPr="0026420A">
        <w:rPr>
          <w:b/>
          <w:bCs/>
        </w:rPr>
        <w:t xml:space="preserve"> </w:t>
      </w:r>
      <w:r w:rsidR="00443101" w:rsidRPr="0026420A">
        <w:rPr>
          <w:b/>
          <w:bCs/>
        </w:rPr>
        <w:t>obiecțiilor, propunerilor și recomandărilor</w:t>
      </w:r>
    </w:p>
    <w:p w14:paraId="20567C2E" w14:textId="1F2294C3" w:rsidR="006933C3" w:rsidRPr="0026420A" w:rsidRDefault="0523D516" w:rsidP="00A71C54">
      <w:pPr>
        <w:pBdr>
          <w:top w:val="none" w:sz="4" w:space="0" w:color="000000"/>
          <w:left w:val="none" w:sz="4" w:space="0" w:color="000000"/>
          <w:bottom w:val="none" w:sz="4" w:space="0" w:color="000000"/>
          <w:right w:val="none" w:sz="4" w:space="0" w:color="000000"/>
        </w:pBdr>
        <w:tabs>
          <w:tab w:val="left" w:pos="884"/>
          <w:tab w:val="left" w:pos="1196"/>
        </w:tabs>
        <w:ind w:firstLine="0"/>
        <w:jc w:val="center"/>
      </w:pPr>
      <w:r w:rsidRPr="0026420A">
        <w:rPr>
          <w:b/>
          <w:bCs/>
        </w:rPr>
        <w:t>la</w:t>
      </w:r>
      <w:r w:rsidR="6B86BCE4" w:rsidRPr="0026420A">
        <w:rPr>
          <w:b/>
          <w:bCs/>
        </w:rPr>
        <w:t xml:space="preserve"> </w:t>
      </w:r>
      <w:r w:rsidRPr="0026420A">
        <w:rPr>
          <w:b/>
          <w:bCs/>
        </w:rPr>
        <w:t>proiectul</w:t>
      </w:r>
      <w:r w:rsidR="001E7365" w:rsidRPr="0026420A">
        <w:rPr>
          <w:b/>
          <w:bCs/>
        </w:rPr>
        <w:t xml:space="preserve"> de</w:t>
      </w:r>
      <w:r w:rsidR="544C41CB" w:rsidRPr="0026420A">
        <w:rPr>
          <w:b/>
          <w:bCs/>
        </w:rPr>
        <w:t xml:space="preserve"> Leg</w:t>
      </w:r>
      <w:r w:rsidR="001E7365" w:rsidRPr="0026420A">
        <w:rPr>
          <w:b/>
          <w:bCs/>
        </w:rPr>
        <w:t>e</w:t>
      </w:r>
      <w:r w:rsidR="544C41CB" w:rsidRPr="0026420A">
        <w:rPr>
          <w:b/>
          <w:bCs/>
        </w:rPr>
        <w:t xml:space="preserve"> </w:t>
      </w:r>
      <w:r w:rsidR="00BB137D" w:rsidRPr="0026420A">
        <w:rPr>
          <w:b/>
          <w:bCs/>
        </w:rPr>
        <w:t xml:space="preserve">privind piața </w:t>
      </w:r>
      <w:proofErr w:type="spellStart"/>
      <w:r w:rsidR="00BB137D" w:rsidRPr="0026420A">
        <w:rPr>
          <w:b/>
          <w:bCs/>
        </w:rPr>
        <w:t>criptoactivelor</w:t>
      </w:r>
      <w:proofErr w:type="spellEnd"/>
      <w:r w:rsidR="2E40EF1B" w:rsidRPr="0026420A">
        <w:rPr>
          <w:b/>
          <w:bCs/>
        </w:rPr>
        <w:t xml:space="preserve"> </w:t>
      </w:r>
      <w:r w:rsidR="007F2784" w:rsidRPr="0026420A">
        <w:rPr>
          <w:b/>
          <w:bCs/>
        </w:rPr>
        <w:t>(</w:t>
      </w:r>
      <w:r w:rsidR="2E40EF1B" w:rsidRPr="0026420A">
        <w:rPr>
          <w:b/>
          <w:bCs/>
        </w:rPr>
        <w:t xml:space="preserve">număr unic: </w:t>
      </w:r>
      <w:r w:rsidR="00BB137D" w:rsidRPr="0026420A">
        <w:rPr>
          <w:b/>
          <w:bCs/>
        </w:rPr>
        <w:t>338/MF/BNM/2026</w:t>
      </w:r>
      <w:r w:rsidR="007F2784" w:rsidRPr="0026420A">
        <w:rPr>
          <w:b/>
          <w:bCs/>
        </w:rPr>
        <w:t>)</w:t>
      </w:r>
    </w:p>
    <w:p w14:paraId="2265058B" w14:textId="7FDE63ED" w:rsidR="008B4BE6" w:rsidRPr="0026420A" w:rsidRDefault="00032B46" w:rsidP="00A71C54">
      <w:pPr>
        <w:pBdr>
          <w:top w:val="none" w:sz="4" w:space="0" w:color="000000"/>
          <w:left w:val="none" w:sz="4" w:space="0" w:color="000000"/>
          <w:bottom w:val="none" w:sz="4" w:space="0" w:color="000000"/>
          <w:right w:val="none" w:sz="4" w:space="0" w:color="000000"/>
        </w:pBdr>
        <w:tabs>
          <w:tab w:val="left" w:pos="884"/>
          <w:tab w:val="left" w:pos="1196"/>
        </w:tabs>
      </w:pPr>
      <w:r w:rsidRPr="0026420A">
        <w:rPr>
          <w:b/>
          <w:bCs/>
        </w:rPr>
        <w:t xml:space="preserve"> </w:t>
      </w:r>
    </w:p>
    <w:tbl>
      <w:tblPr>
        <w:tblStyle w:val="GrilTabel2"/>
        <w:tblW w:w="13887" w:type="dxa"/>
        <w:tblLook w:val="04A0" w:firstRow="1" w:lastRow="0" w:firstColumn="1" w:lastColumn="0" w:noHBand="0" w:noVBand="1"/>
      </w:tblPr>
      <w:tblGrid>
        <w:gridCol w:w="2206"/>
        <w:gridCol w:w="579"/>
        <w:gridCol w:w="5821"/>
        <w:gridCol w:w="5281"/>
      </w:tblGrid>
      <w:tr w:rsidR="00574881" w:rsidRPr="0026420A" w14:paraId="165C98F0" w14:textId="77777777" w:rsidTr="001F4857">
        <w:tc>
          <w:tcPr>
            <w:tcW w:w="2206" w:type="dxa"/>
            <w:shd w:val="clear" w:color="auto" w:fill="F2F2F2" w:themeFill="background1" w:themeFillShade="F2"/>
            <w:tcMar>
              <w:top w:w="0" w:type="dxa"/>
              <w:left w:w="108" w:type="dxa"/>
              <w:bottom w:w="0" w:type="dxa"/>
              <w:right w:w="108" w:type="dxa"/>
            </w:tcMar>
          </w:tcPr>
          <w:p w14:paraId="189260EB" w14:textId="24B02C4F" w:rsidR="008B4BE6" w:rsidRPr="0026420A" w:rsidRDefault="006933C3" w:rsidP="00A71C54">
            <w:pPr>
              <w:pBdr>
                <w:top w:val="none" w:sz="4" w:space="0" w:color="000000"/>
                <w:left w:val="none" w:sz="4" w:space="0" w:color="000000"/>
                <w:bottom w:val="none" w:sz="4" w:space="0" w:color="000000"/>
                <w:right w:val="none" w:sz="4" w:space="0" w:color="000000"/>
              </w:pBdr>
              <w:ind w:firstLine="0"/>
              <w:jc w:val="center"/>
            </w:pPr>
            <w:r w:rsidRPr="0026420A">
              <w:rPr>
                <w:b/>
                <w:bCs/>
              </w:rPr>
              <w:t>Participantul</w:t>
            </w:r>
            <w:r w:rsidR="00032B46" w:rsidRPr="0026420A">
              <w:rPr>
                <w:b/>
                <w:bCs/>
              </w:rPr>
              <w:t xml:space="preserve"> </w:t>
            </w:r>
            <w:r w:rsidRPr="0026420A">
              <w:rPr>
                <w:b/>
                <w:bCs/>
              </w:rPr>
              <w:t>la</w:t>
            </w:r>
            <w:r w:rsidR="00032B46" w:rsidRPr="0026420A">
              <w:rPr>
                <w:b/>
                <w:bCs/>
              </w:rPr>
              <w:t xml:space="preserve"> </w:t>
            </w:r>
            <w:r w:rsidRPr="0026420A">
              <w:rPr>
                <w:b/>
                <w:bCs/>
              </w:rPr>
              <w:t>avizare</w:t>
            </w:r>
          </w:p>
        </w:tc>
        <w:tc>
          <w:tcPr>
            <w:tcW w:w="579" w:type="dxa"/>
            <w:shd w:val="clear" w:color="auto" w:fill="F2F2F2" w:themeFill="background1" w:themeFillShade="F2"/>
            <w:tcMar>
              <w:top w:w="0" w:type="dxa"/>
              <w:left w:w="108" w:type="dxa"/>
              <w:bottom w:w="0" w:type="dxa"/>
              <w:right w:w="108" w:type="dxa"/>
            </w:tcMar>
          </w:tcPr>
          <w:p w14:paraId="429CCC6C" w14:textId="0ADC1BF2" w:rsidR="008B4BE6" w:rsidRPr="0026420A" w:rsidRDefault="006933C3" w:rsidP="00A71C54">
            <w:pPr>
              <w:pBdr>
                <w:top w:val="none" w:sz="4" w:space="0" w:color="000000"/>
                <w:left w:val="none" w:sz="4" w:space="0" w:color="000000"/>
                <w:bottom w:val="none" w:sz="4" w:space="0" w:color="000000"/>
                <w:right w:val="none" w:sz="4" w:space="0" w:color="000000"/>
              </w:pBdr>
              <w:ind w:right="5" w:firstLine="0"/>
              <w:jc w:val="center"/>
            </w:pPr>
            <w:r w:rsidRPr="0026420A">
              <w:rPr>
                <w:b/>
                <w:bCs/>
              </w:rPr>
              <w:t>Nr.</w:t>
            </w:r>
            <w:r w:rsidR="00032B46" w:rsidRPr="0026420A">
              <w:rPr>
                <w:b/>
                <w:bCs/>
              </w:rPr>
              <w:t xml:space="preserve"> </w:t>
            </w:r>
            <w:r w:rsidR="00BA5B5B" w:rsidRPr="0026420A">
              <w:rPr>
                <w:b/>
                <w:bCs/>
              </w:rPr>
              <w:t>crt.</w:t>
            </w:r>
          </w:p>
        </w:tc>
        <w:tc>
          <w:tcPr>
            <w:tcW w:w="5821" w:type="dxa"/>
            <w:shd w:val="clear" w:color="auto" w:fill="F2F2F2" w:themeFill="background1" w:themeFillShade="F2"/>
            <w:tcMar>
              <w:top w:w="0" w:type="dxa"/>
              <w:left w:w="108" w:type="dxa"/>
              <w:bottom w:w="0" w:type="dxa"/>
              <w:right w:w="108" w:type="dxa"/>
            </w:tcMar>
          </w:tcPr>
          <w:p w14:paraId="145B15CB" w14:textId="13B5FB53" w:rsidR="008B4BE6" w:rsidRPr="0026420A" w:rsidRDefault="006933C3" w:rsidP="00A71C54">
            <w:pPr>
              <w:pBdr>
                <w:top w:val="none" w:sz="4" w:space="0" w:color="000000"/>
                <w:left w:val="none" w:sz="4" w:space="0" w:color="000000"/>
                <w:bottom w:val="none" w:sz="4" w:space="0" w:color="000000"/>
                <w:right w:val="none" w:sz="4" w:space="0" w:color="000000"/>
              </w:pBdr>
              <w:tabs>
                <w:tab w:val="left" w:pos="884"/>
                <w:tab w:val="left" w:pos="1196"/>
              </w:tabs>
              <w:ind w:firstLine="0"/>
              <w:jc w:val="center"/>
            </w:pPr>
            <w:r w:rsidRPr="0026420A">
              <w:rPr>
                <w:b/>
                <w:bCs/>
              </w:rPr>
              <w:t>Con</w:t>
            </w:r>
            <w:r w:rsidR="009E4AFA" w:rsidRPr="0026420A">
              <w:rPr>
                <w:b/>
                <w:bCs/>
              </w:rPr>
              <w:t>ț</w:t>
            </w:r>
            <w:r w:rsidRPr="0026420A">
              <w:rPr>
                <w:b/>
                <w:bCs/>
              </w:rPr>
              <w:t>inutul</w:t>
            </w:r>
            <w:r w:rsidR="00032B46" w:rsidRPr="0026420A">
              <w:rPr>
                <w:b/>
                <w:bCs/>
              </w:rPr>
              <w:t xml:space="preserve"> </w:t>
            </w:r>
            <w:r w:rsidRPr="0026420A">
              <w:rPr>
                <w:b/>
                <w:bCs/>
              </w:rPr>
              <w:t>obiec</w:t>
            </w:r>
            <w:r w:rsidR="009E4AFA" w:rsidRPr="0026420A">
              <w:rPr>
                <w:b/>
                <w:bCs/>
              </w:rPr>
              <w:t>ț</w:t>
            </w:r>
            <w:r w:rsidRPr="0026420A">
              <w:rPr>
                <w:b/>
                <w:bCs/>
              </w:rPr>
              <w:t>iei,</w:t>
            </w:r>
          </w:p>
          <w:p w14:paraId="055FB5F6" w14:textId="2AA99A7F" w:rsidR="008B4BE6" w:rsidRPr="0026420A" w:rsidRDefault="006933C3" w:rsidP="00A71C54">
            <w:pPr>
              <w:pBdr>
                <w:top w:val="none" w:sz="4" w:space="0" w:color="000000"/>
                <w:left w:val="none" w:sz="4" w:space="0" w:color="000000"/>
                <w:bottom w:val="none" w:sz="4" w:space="0" w:color="000000"/>
                <w:right w:val="none" w:sz="4" w:space="0" w:color="000000"/>
              </w:pBdr>
              <w:ind w:firstLine="0"/>
              <w:jc w:val="center"/>
            </w:pPr>
            <w:r w:rsidRPr="0026420A">
              <w:rPr>
                <w:b/>
                <w:bCs/>
              </w:rPr>
              <w:t>propunerii,</w:t>
            </w:r>
            <w:r w:rsidR="00032B46" w:rsidRPr="0026420A">
              <w:rPr>
                <w:b/>
                <w:bCs/>
              </w:rPr>
              <w:t xml:space="preserve"> </w:t>
            </w:r>
            <w:r w:rsidRPr="0026420A">
              <w:rPr>
                <w:b/>
                <w:bCs/>
              </w:rPr>
              <w:t>recomandării,</w:t>
            </w:r>
            <w:r w:rsidR="00032B46" w:rsidRPr="0026420A">
              <w:rPr>
                <w:b/>
                <w:bCs/>
              </w:rPr>
              <w:t xml:space="preserve"> </w:t>
            </w:r>
            <w:r w:rsidRPr="0026420A">
              <w:rPr>
                <w:b/>
                <w:bCs/>
              </w:rPr>
              <w:t>concluzi</w:t>
            </w:r>
            <w:r w:rsidR="00887788" w:rsidRPr="0026420A">
              <w:rPr>
                <w:b/>
                <w:bCs/>
              </w:rPr>
              <w:t>i</w:t>
            </w:r>
          </w:p>
        </w:tc>
        <w:tc>
          <w:tcPr>
            <w:tcW w:w="5281" w:type="dxa"/>
            <w:shd w:val="clear" w:color="auto" w:fill="F2F2F2" w:themeFill="background1" w:themeFillShade="F2"/>
            <w:tcMar>
              <w:top w:w="0" w:type="dxa"/>
              <w:left w:w="108" w:type="dxa"/>
              <w:bottom w:w="0" w:type="dxa"/>
              <w:right w:w="108" w:type="dxa"/>
            </w:tcMar>
          </w:tcPr>
          <w:p w14:paraId="43D44E19" w14:textId="04D0A080" w:rsidR="008B4BE6" w:rsidRPr="0026420A" w:rsidRDefault="006933C3" w:rsidP="00A71C54">
            <w:pPr>
              <w:pBdr>
                <w:top w:val="none" w:sz="4" w:space="0" w:color="000000"/>
                <w:left w:val="none" w:sz="4" w:space="0" w:color="000000"/>
                <w:bottom w:val="none" w:sz="4" w:space="0" w:color="000000"/>
                <w:right w:val="none" w:sz="4" w:space="0" w:color="000000"/>
              </w:pBdr>
              <w:tabs>
                <w:tab w:val="left" w:pos="884"/>
                <w:tab w:val="left" w:pos="1196"/>
              </w:tabs>
              <w:ind w:firstLine="0"/>
              <w:jc w:val="center"/>
            </w:pPr>
            <w:r w:rsidRPr="0026420A">
              <w:rPr>
                <w:b/>
                <w:bCs/>
              </w:rPr>
              <w:t>Argumentarea</w:t>
            </w:r>
          </w:p>
          <w:p w14:paraId="42C4E39B" w14:textId="729BF662" w:rsidR="008B4BE6" w:rsidRPr="0026420A" w:rsidRDefault="006933C3" w:rsidP="00A71C54">
            <w:pPr>
              <w:pBdr>
                <w:top w:val="none" w:sz="4" w:space="0" w:color="000000"/>
                <w:left w:val="none" w:sz="4" w:space="0" w:color="000000"/>
                <w:bottom w:val="none" w:sz="4" w:space="0" w:color="000000"/>
                <w:right w:val="none" w:sz="4" w:space="0" w:color="000000"/>
              </w:pBdr>
              <w:ind w:firstLine="0"/>
              <w:jc w:val="center"/>
            </w:pPr>
            <w:r w:rsidRPr="0026420A">
              <w:rPr>
                <w:b/>
                <w:bCs/>
              </w:rPr>
              <w:t>autorului</w:t>
            </w:r>
            <w:r w:rsidR="00032B46" w:rsidRPr="0026420A">
              <w:rPr>
                <w:b/>
                <w:bCs/>
              </w:rPr>
              <w:t xml:space="preserve"> </w:t>
            </w:r>
            <w:r w:rsidRPr="0026420A">
              <w:rPr>
                <w:b/>
                <w:bCs/>
              </w:rPr>
              <w:t>proiectului</w:t>
            </w:r>
          </w:p>
        </w:tc>
      </w:tr>
      <w:tr w:rsidR="008230A1" w:rsidRPr="0026420A" w14:paraId="2250F6D1" w14:textId="77777777" w:rsidTr="008230A1">
        <w:trPr>
          <w:trHeight w:val="309"/>
        </w:trPr>
        <w:tc>
          <w:tcPr>
            <w:tcW w:w="13887" w:type="dxa"/>
            <w:gridSpan w:val="4"/>
            <w:shd w:val="clear" w:color="auto" w:fill="D9D9D9" w:themeFill="background1" w:themeFillShade="D9"/>
            <w:tcMar>
              <w:top w:w="0" w:type="dxa"/>
              <w:left w:w="108" w:type="dxa"/>
              <w:bottom w:w="0" w:type="dxa"/>
              <w:right w:w="108" w:type="dxa"/>
            </w:tcMar>
          </w:tcPr>
          <w:p w14:paraId="6FB232BA" w14:textId="05262DB9" w:rsidR="008230A1" w:rsidRPr="0026420A" w:rsidRDefault="008230A1" w:rsidP="008230A1">
            <w:pPr>
              <w:ind w:firstLine="0"/>
              <w:jc w:val="center"/>
              <w:rPr>
                <w:b/>
                <w:bCs/>
              </w:rPr>
            </w:pPr>
            <w:r>
              <w:rPr>
                <w:b/>
                <w:bCs/>
              </w:rPr>
              <w:t>Avizare și consultare publică</w:t>
            </w:r>
          </w:p>
        </w:tc>
      </w:tr>
      <w:tr w:rsidR="006455C9" w:rsidRPr="0026420A" w14:paraId="7B3CF43C" w14:textId="77777777" w:rsidTr="001F4857">
        <w:trPr>
          <w:trHeight w:val="2419"/>
        </w:trPr>
        <w:tc>
          <w:tcPr>
            <w:tcW w:w="2206" w:type="dxa"/>
            <w:vMerge w:val="restart"/>
            <w:tcMar>
              <w:top w:w="0" w:type="dxa"/>
              <w:left w:w="108" w:type="dxa"/>
              <w:bottom w:w="0" w:type="dxa"/>
              <w:right w:w="108" w:type="dxa"/>
            </w:tcMar>
          </w:tcPr>
          <w:p w14:paraId="56CFB5B5" w14:textId="77777777" w:rsidR="006455C9" w:rsidRPr="0026420A" w:rsidRDefault="006455C9" w:rsidP="00F04F6C">
            <w:pPr>
              <w:ind w:firstLine="0"/>
              <w:jc w:val="left"/>
              <w:rPr>
                <w:b/>
                <w:bCs/>
              </w:rPr>
            </w:pPr>
            <w:r w:rsidRPr="0026420A">
              <w:rPr>
                <w:b/>
                <w:bCs/>
              </w:rPr>
              <w:t>Ministerul Mediului</w:t>
            </w:r>
          </w:p>
          <w:p w14:paraId="797AD50A" w14:textId="77777777" w:rsidR="006455C9" w:rsidRPr="0026420A" w:rsidRDefault="006455C9" w:rsidP="00F04F6C">
            <w:pPr>
              <w:ind w:firstLine="0"/>
              <w:jc w:val="left"/>
            </w:pPr>
          </w:p>
          <w:p w14:paraId="784BDD3C" w14:textId="77777777" w:rsidR="006455C9" w:rsidRPr="0026420A" w:rsidRDefault="006455C9" w:rsidP="00F04F6C">
            <w:pPr>
              <w:ind w:firstLine="0"/>
              <w:rPr>
                <w:i/>
                <w:iCs/>
              </w:rPr>
            </w:pPr>
            <w:r w:rsidRPr="0026420A">
              <w:rPr>
                <w:i/>
                <w:iCs/>
              </w:rPr>
              <w:t xml:space="preserve">Nr. 13-05/1285 din 17.04.2026 </w:t>
            </w:r>
          </w:p>
          <w:p w14:paraId="1DB610F4" w14:textId="77777777" w:rsidR="006455C9" w:rsidRPr="0026420A" w:rsidRDefault="006455C9" w:rsidP="00F04F6C">
            <w:pPr>
              <w:ind w:firstLine="0"/>
              <w:rPr>
                <w:b/>
                <w:bCs/>
              </w:rPr>
            </w:pPr>
          </w:p>
        </w:tc>
        <w:tc>
          <w:tcPr>
            <w:tcW w:w="579" w:type="dxa"/>
            <w:tcMar>
              <w:top w:w="0" w:type="dxa"/>
              <w:left w:w="108" w:type="dxa"/>
              <w:bottom w:w="0" w:type="dxa"/>
              <w:right w:w="108" w:type="dxa"/>
            </w:tcMar>
          </w:tcPr>
          <w:p w14:paraId="6CB52DF7" w14:textId="3161D8B3" w:rsidR="006455C9" w:rsidRPr="0026420A" w:rsidRDefault="006455C9" w:rsidP="006455C9">
            <w:pPr>
              <w:pStyle w:val="Listparagraf"/>
              <w:numPr>
                <w:ilvl w:val="0"/>
                <w:numId w:val="1"/>
              </w:numPr>
              <w:tabs>
                <w:tab w:val="left" w:pos="360"/>
              </w:tabs>
              <w:ind w:left="357" w:right="6" w:hanging="357"/>
              <w:jc w:val="left"/>
            </w:pPr>
          </w:p>
        </w:tc>
        <w:tc>
          <w:tcPr>
            <w:tcW w:w="5821" w:type="dxa"/>
            <w:tcMar>
              <w:top w:w="0" w:type="dxa"/>
              <w:left w:w="108" w:type="dxa"/>
              <w:bottom w:w="0" w:type="dxa"/>
              <w:right w:w="108" w:type="dxa"/>
            </w:tcMar>
          </w:tcPr>
          <w:p w14:paraId="65ECCCC9" w14:textId="77777777" w:rsidR="006455C9" w:rsidRPr="0026420A" w:rsidRDefault="006455C9" w:rsidP="00EF6DC4">
            <w:pPr>
              <w:ind w:left="-15" w:firstLine="0"/>
            </w:pPr>
            <w:r w:rsidRPr="0026420A">
              <w:t>Având în vedere necesitatea integrării principiilor de conservare a biodiversității și utilizare durabilă a resurselor naturale, se consideră necesară completarea la art. 6 alin. (12) cu textul propus:</w:t>
            </w:r>
          </w:p>
          <w:p w14:paraId="48792412" w14:textId="77777777" w:rsidR="006455C9" w:rsidRPr="0026420A" w:rsidRDefault="006455C9" w:rsidP="00EF6DC4">
            <w:pPr>
              <w:ind w:left="-15" w:firstLine="0"/>
            </w:pPr>
            <w:r w:rsidRPr="0026420A">
              <w:t>La finalul art. 6 alin. (12) se introduce o nouă propoziție cu următorul cuprins:</w:t>
            </w:r>
          </w:p>
          <w:p w14:paraId="7DB15373" w14:textId="6A699357" w:rsidR="006455C9" w:rsidRPr="0026420A" w:rsidRDefault="006455C9" w:rsidP="00EF6DC4">
            <w:pPr>
              <w:ind w:left="-15" w:firstLine="15"/>
              <w:jc w:val="left"/>
            </w:pPr>
            <w:r w:rsidRPr="0026420A">
              <w:t>„La elaborarea cerințelor și standardelor tehnice privind indicatorii de sustenabilitate, autoritățile competente consultă în mod obligatoriu Ministerul Mediului.”</w:t>
            </w:r>
          </w:p>
        </w:tc>
        <w:tc>
          <w:tcPr>
            <w:tcW w:w="5281" w:type="dxa"/>
            <w:tcMar>
              <w:top w:w="0" w:type="dxa"/>
              <w:left w:w="108" w:type="dxa"/>
              <w:bottom w:w="0" w:type="dxa"/>
              <w:right w:w="108" w:type="dxa"/>
            </w:tcMar>
          </w:tcPr>
          <w:p w14:paraId="63BA118E" w14:textId="77777777" w:rsidR="006455C9" w:rsidRPr="0026420A" w:rsidRDefault="006455C9" w:rsidP="00EF6DC4">
            <w:pPr>
              <w:ind w:firstLine="0"/>
              <w:rPr>
                <w:b/>
                <w:bCs/>
              </w:rPr>
            </w:pPr>
            <w:r w:rsidRPr="0026420A">
              <w:rPr>
                <w:b/>
                <w:bCs/>
              </w:rPr>
              <w:t>Nu se acceptă.</w:t>
            </w:r>
          </w:p>
          <w:p w14:paraId="16DB6EF9" w14:textId="4C021F60" w:rsidR="006455C9" w:rsidRPr="0026420A" w:rsidRDefault="006455C9" w:rsidP="00EF6DC4">
            <w:pPr>
              <w:ind w:firstLine="0"/>
              <w:rPr>
                <w:b/>
                <w:bCs/>
              </w:rPr>
            </w:pPr>
            <w:r w:rsidRPr="0026420A">
              <w:t>Proiectele actelor normative de reglementare în vederea stabilirii cerințelor și/sau standardelor tehnice în ceea ce privește conținutul, metodologiile și modul de prezentare a informațiilor, în ceea ce privește indicatorii de sustenabilitate în legătură cu efectele negative asupra climei și cu alte efecte negative legate de mediu vor fi transmise pentru consultare cu Ministerul Mediului în cadrul etapei obligatorii de avizare și consultare publică prevăzute de Leg</w:t>
            </w:r>
            <w:r w:rsidR="00443101" w:rsidRPr="0026420A">
              <w:t>ea</w:t>
            </w:r>
            <w:r w:rsidRPr="0026420A">
              <w:t xml:space="preserve"> nr. 100/2017 cu privire la actele normative.</w:t>
            </w:r>
          </w:p>
        </w:tc>
      </w:tr>
      <w:tr w:rsidR="00F04F6C" w:rsidRPr="0026420A" w14:paraId="2F4DBC19" w14:textId="77777777" w:rsidTr="001F4857">
        <w:trPr>
          <w:trHeight w:val="300"/>
        </w:trPr>
        <w:tc>
          <w:tcPr>
            <w:tcW w:w="2206" w:type="dxa"/>
            <w:vMerge/>
            <w:tcMar>
              <w:top w:w="0" w:type="dxa"/>
              <w:left w:w="108" w:type="dxa"/>
              <w:bottom w:w="0" w:type="dxa"/>
              <w:right w:w="108" w:type="dxa"/>
            </w:tcMar>
          </w:tcPr>
          <w:p w14:paraId="6578147B" w14:textId="77777777" w:rsidR="00F04F6C" w:rsidRPr="0026420A" w:rsidRDefault="00F04F6C" w:rsidP="00F04F6C">
            <w:pPr>
              <w:ind w:firstLine="0"/>
              <w:rPr>
                <w:b/>
                <w:bCs/>
              </w:rPr>
            </w:pPr>
          </w:p>
        </w:tc>
        <w:tc>
          <w:tcPr>
            <w:tcW w:w="579" w:type="dxa"/>
            <w:tcMar>
              <w:top w:w="0" w:type="dxa"/>
              <w:left w:w="108" w:type="dxa"/>
              <w:bottom w:w="0" w:type="dxa"/>
              <w:right w:w="108" w:type="dxa"/>
            </w:tcMar>
          </w:tcPr>
          <w:p w14:paraId="4AB69EF4" w14:textId="77777777" w:rsidR="00F04F6C" w:rsidRPr="0026420A" w:rsidRDefault="00F04F6C" w:rsidP="00BE10DB">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12926913" w14:textId="77777777" w:rsidR="00F04F6C" w:rsidRPr="0026420A" w:rsidRDefault="00F04F6C" w:rsidP="00F04F6C">
            <w:pPr>
              <w:ind w:left="-15" w:firstLine="15"/>
              <w:jc w:val="left"/>
            </w:pPr>
            <w:r w:rsidRPr="0026420A">
              <w:t>La completarea art. 14 se propune următorul text:</w:t>
            </w:r>
          </w:p>
          <w:p w14:paraId="15D5A697" w14:textId="77777777" w:rsidR="00F04F6C" w:rsidRPr="0026420A" w:rsidRDefault="00F04F6C" w:rsidP="00F04F6C">
            <w:pPr>
              <w:ind w:left="-15" w:firstLine="15"/>
            </w:pPr>
            <w:r w:rsidRPr="0026420A">
              <w:t>La art. 14 se introduce un nou alineat, alin. (4), cu următorul cuprins:</w:t>
            </w:r>
          </w:p>
          <w:p w14:paraId="4064BA89" w14:textId="77777777" w:rsidR="00F04F6C" w:rsidRPr="0026420A" w:rsidRDefault="00F04F6C" w:rsidP="00F04F6C">
            <w:pPr>
              <w:ind w:left="-15" w:firstLine="15"/>
            </w:pPr>
            <w:r w:rsidRPr="0026420A">
              <w:t xml:space="preserve">„(4) Ofertanții și furnizorii de servicii de </w:t>
            </w:r>
            <w:proofErr w:type="spellStart"/>
            <w:r w:rsidRPr="0026420A">
              <w:t>criptoactive</w:t>
            </w:r>
            <w:proofErr w:type="spellEnd"/>
            <w:r w:rsidRPr="0026420A">
              <w:t xml:space="preserve"> care dezvoltă sau operează infrastructuri fizice necesare funcționării mecanismelor de consens sunt obligați să respecte cerințele legislației de mediu privind conservarea biodiversității, inclusiv regimul ariilor naturale protejate și al speciilor de floră și faună sălbatică.”</w:t>
            </w:r>
          </w:p>
          <w:p w14:paraId="5AFCE289" w14:textId="7354DEC7" w:rsidR="00F04F6C" w:rsidRPr="0026420A" w:rsidRDefault="00F04F6C" w:rsidP="00F04F6C">
            <w:pPr>
              <w:ind w:firstLine="0"/>
            </w:pPr>
            <w:r w:rsidRPr="0026420A">
              <w:t>Specificăm că această completare reafirmă aplicabilitatea cadrului legal de mediu și previne eventualele efecte negative asupra patrimoniului natural.</w:t>
            </w:r>
          </w:p>
        </w:tc>
        <w:tc>
          <w:tcPr>
            <w:tcW w:w="5281" w:type="dxa"/>
            <w:tcMar>
              <w:top w:w="0" w:type="dxa"/>
              <w:left w:w="108" w:type="dxa"/>
              <w:bottom w:w="0" w:type="dxa"/>
              <w:right w:w="108" w:type="dxa"/>
            </w:tcMar>
          </w:tcPr>
          <w:p w14:paraId="0350BC8E" w14:textId="77777777" w:rsidR="00F04F6C" w:rsidRPr="0026420A" w:rsidRDefault="00426FA2" w:rsidP="00F04F6C">
            <w:pPr>
              <w:ind w:firstLine="0"/>
              <w:rPr>
                <w:b/>
                <w:bCs/>
              </w:rPr>
            </w:pPr>
            <w:r w:rsidRPr="0026420A">
              <w:rPr>
                <w:b/>
                <w:bCs/>
              </w:rPr>
              <w:t>Nu se acceptă.</w:t>
            </w:r>
          </w:p>
          <w:p w14:paraId="328B9130" w14:textId="21E14008" w:rsidR="00426FA2" w:rsidRPr="0026420A" w:rsidRDefault="00F831A4" w:rsidP="00C526C8">
            <w:pPr>
              <w:ind w:firstLine="0"/>
            </w:pPr>
            <w:r w:rsidRPr="0026420A">
              <w:t>Reglementarea suplimentară în textul proiectului de lege a aspectului privind respectarea cerințelor legislației de mediu privind conservarea biodiversității, inclusiv regimul ariilor naturale protejate și al speciilor de floră și faună sălbatică nu este necesară. Legea privind protecția mediului înconjurător  nr.1515-XII  din  16.06.1993, precum și alte acte normative de domeniul mediului reprezintă legi speciale (</w:t>
            </w:r>
            <w:proofErr w:type="spellStart"/>
            <w:r w:rsidRPr="0026420A">
              <w:t>lex</w:t>
            </w:r>
            <w:proofErr w:type="spellEnd"/>
            <w:r w:rsidRPr="0026420A">
              <w:t xml:space="preserve"> </w:t>
            </w:r>
            <w:proofErr w:type="spellStart"/>
            <w:r w:rsidRPr="0026420A">
              <w:t>specialis</w:t>
            </w:r>
            <w:proofErr w:type="spellEnd"/>
            <w:r w:rsidRPr="0026420A">
              <w:t>) în materie, stabilind clar cerințele privind conservarea biodiversității, inclusiv regimul ariilor naturale protejate și al speciilor de floră și faună sălbatică. În plus, respectarea legislației în vigoare este obligatorie pentru toți subiecții de drept, neputând fi invocată necunoașterea acesteia. Considerăm că cadrul legal oferit de Legea privind protecția mediului înconjurător nr. 1515-XII  din  16.06.1993, precum și alte acte normative în de domeniul mediului este pe deplin suficient, nu necesită dublare.</w:t>
            </w:r>
            <w:r w:rsidR="00926040" w:rsidRPr="0026420A">
              <w:t xml:space="preserve"> </w:t>
            </w:r>
          </w:p>
        </w:tc>
      </w:tr>
      <w:tr w:rsidR="00F04F6C" w:rsidRPr="0026420A" w14:paraId="4EB36466" w14:textId="77777777" w:rsidTr="001F4857">
        <w:trPr>
          <w:trHeight w:val="300"/>
        </w:trPr>
        <w:tc>
          <w:tcPr>
            <w:tcW w:w="2206" w:type="dxa"/>
            <w:vMerge/>
            <w:tcMar>
              <w:top w:w="0" w:type="dxa"/>
              <w:left w:w="108" w:type="dxa"/>
              <w:bottom w:w="0" w:type="dxa"/>
              <w:right w:w="108" w:type="dxa"/>
            </w:tcMar>
          </w:tcPr>
          <w:p w14:paraId="406FF947" w14:textId="77777777" w:rsidR="00F04F6C" w:rsidRPr="0026420A" w:rsidRDefault="00F04F6C" w:rsidP="00F04F6C">
            <w:pPr>
              <w:ind w:firstLine="0"/>
              <w:rPr>
                <w:b/>
                <w:bCs/>
              </w:rPr>
            </w:pPr>
          </w:p>
        </w:tc>
        <w:tc>
          <w:tcPr>
            <w:tcW w:w="579" w:type="dxa"/>
            <w:tcMar>
              <w:top w:w="0" w:type="dxa"/>
              <w:left w:w="108" w:type="dxa"/>
              <w:bottom w:w="0" w:type="dxa"/>
              <w:right w:w="108" w:type="dxa"/>
            </w:tcMar>
          </w:tcPr>
          <w:p w14:paraId="22BADF3A" w14:textId="77777777" w:rsidR="00F04F6C" w:rsidRPr="0026420A" w:rsidRDefault="00F04F6C" w:rsidP="00BE10DB">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2C93C76A" w14:textId="77777777" w:rsidR="00F04F6C" w:rsidRPr="0026420A" w:rsidRDefault="00F04F6C" w:rsidP="00FF6495">
            <w:pPr>
              <w:ind w:left="-15" w:firstLine="15"/>
            </w:pPr>
            <w:r w:rsidRPr="0026420A">
              <w:t>La articolul 85 se propune introducerea unui nou alineat cu următorul text:</w:t>
            </w:r>
          </w:p>
          <w:p w14:paraId="3C55EE79" w14:textId="77777777" w:rsidR="00F04F6C" w:rsidRPr="0026420A" w:rsidRDefault="00F04F6C" w:rsidP="00C41F45">
            <w:pPr>
              <w:ind w:left="-15" w:firstLine="15"/>
            </w:pPr>
            <w:r w:rsidRPr="0026420A">
              <w:t>„În exercitarea atribuțiilor ce vizează evaluarea impactului asupra mediului și biodiversității, autoritățile competente cooperează cu Ministerul Mediului.”</w:t>
            </w:r>
          </w:p>
          <w:p w14:paraId="76128404" w14:textId="47AA5DF1" w:rsidR="00F04F6C" w:rsidRPr="0026420A" w:rsidRDefault="00F04F6C" w:rsidP="00F04F6C">
            <w:pPr>
              <w:ind w:firstLine="0"/>
            </w:pPr>
            <w:r w:rsidRPr="0026420A">
              <w:lastRenderedPageBreak/>
              <w:t>Această completare se impune reieșind din faptul că cooperarea interinstituțională contribuie la o implementare coerentă a politicilor publice și la protejarea eficientă a biodiversității.</w:t>
            </w:r>
          </w:p>
        </w:tc>
        <w:tc>
          <w:tcPr>
            <w:tcW w:w="5281" w:type="dxa"/>
            <w:tcMar>
              <w:top w:w="0" w:type="dxa"/>
              <w:left w:w="108" w:type="dxa"/>
              <w:bottom w:w="0" w:type="dxa"/>
              <w:right w:w="108" w:type="dxa"/>
            </w:tcMar>
          </w:tcPr>
          <w:p w14:paraId="6ECC9F16" w14:textId="7D736547" w:rsidR="00F04F6C" w:rsidRPr="0026420A" w:rsidRDefault="00935C81" w:rsidP="00F04F6C">
            <w:pPr>
              <w:ind w:firstLine="0"/>
            </w:pPr>
            <w:r w:rsidRPr="0026420A">
              <w:rPr>
                <w:b/>
                <w:bCs/>
              </w:rPr>
              <w:lastRenderedPageBreak/>
              <w:t>Se</w:t>
            </w:r>
            <w:r w:rsidR="00426FA2" w:rsidRPr="0026420A">
              <w:t xml:space="preserve"> </w:t>
            </w:r>
            <w:r w:rsidR="001667CD" w:rsidRPr="0026420A">
              <w:rPr>
                <w:b/>
                <w:bCs/>
              </w:rPr>
              <w:t>acceptă</w:t>
            </w:r>
            <w:r w:rsidRPr="0026420A">
              <w:rPr>
                <w:b/>
                <w:bCs/>
              </w:rPr>
              <w:t xml:space="preserve"> parțial</w:t>
            </w:r>
            <w:r w:rsidR="001667CD" w:rsidRPr="0026420A">
              <w:rPr>
                <w:b/>
                <w:bCs/>
              </w:rPr>
              <w:t>.</w:t>
            </w:r>
          </w:p>
          <w:p w14:paraId="3F5F8663" w14:textId="280E624D" w:rsidR="00426FA2" w:rsidRPr="0026420A" w:rsidRDefault="00982ACA" w:rsidP="00982ACA">
            <w:pPr>
              <w:ind w:firstLine="0"/>
            </w:pPr>
            <w:r w:rsidRPr="0026420A">
              <w:t xml:space="preserve">Textul proiectului de </w:t>
            </w:r>
            <w:r w:rsidR="00C30527" w:rsidRPr="0026420A">
              <w:t>L</w:t>
            </w:r>
            <w:r w:rsidRPr="0026420A">
              <w:t xml:space="preserve">ege se completează la art.89. Cooperarea cu alte autorități cu alineatul (2), cu următorul cuprins: </w:t>
            </w:r>
            <w:r w:rsidRPr="0026420A">
              <w:rPr>
                <w:i/>
                <w:iCs/>
              </w:rPr>
              <w:t xml:space="preserve">”(2)Autoritățile competente cooperează cu Ministerul Mediului, inclusiv prin solicitarea, după caz, a opiniei acestuia, în limitele competențelor sale legale, cu privire la informațiile referitoare la indicatorii de sustenabilitate privind efectele </w:t>
            </w:r>
            <w:r w:rsidRPr="0026420A">
              <w:rPr>
                <w:i/>
                <w:iCs/>
              </w:rPr>
              <w:lastRenderedPageBreak/>
              <w:t xml:space="preserve">negative asupra climei și alte efecte negative legate de mediu asociate mecanismelor de consens utilizate pentru emiterea unui </w:t>
            </w:r>
            <w:proofErr w:type="spellStart"/>
            <w:r w:rsidRPr="0026420A">
              <w:rPr>
                <w:i/>
                <w:iCs/>
              </w:rPr>
              <w:t>criptoactiv</w:t>
            </w:r>
            <w:proofErr w:type="spellEnd"/>
            <w:r w:rsidRPr="0026420A">
              <w:rPr>
                <w:i/>
                <w:iCs/>
              </w:rPr>
              <w:t xml:space="preserve">, a unui </w:t>
            </w:r>
            <w:proofErr w:type="spellStart"/>
            <w:r w:rsidRPr="0026420A">
              <w:rPr>
                <w:i/>
                <w:iCs/>
              </w:rPr>
              <w:t>token</w:t>
            </w:r>
            <w:proofErr w:type="spellEnd"/>
            <w:r w:rsidRPr="0026420A">
              <w:rPr>
                <w:i/>
                <w:iCs/>
              </w:rPr>
              <w:t xml:space="preserve"> raportat la active sau a unui </w:t>
            </w:r>
            <w:proofErr w:type="spellStart"/>
            <w:r w:rsidRPr="0026420A">
              <w:rPr>
                <w:i/>
                <w:iCs/>
              </w:rPr>
              <w:t>token</w:t>
            </w:r>
            <w:proofErr w:type="spellEnd"/>
            <w:r w:rsidRPr="0026420A">
              <w:rPr>
                <w:i/>
                <w:iCs/>
              </w:rPr>
              <w:t xml:space="preserve"> de monedă electronică, astfel cum aceste informații sunt prezentate în cartea albă de către ofertant, persoana care solicită admiterea la tranzacționare, emitent sau, după caz, publicate de către furnizorul de servicii de </w:t>
            </w:r>
            <w:proofErr w:type="spellStart"/>
            <w:r w:rsidRPr="0026420A">
              <w:rPr>
                <w:i/>
                <w:iCs/>
              </w:rPr>
              <w:t>criptoactive</w:t>
            </w:r>
            <w:proofErr w:type="spellEnd"/>
            <w:r w:rsidRPr="0026420A">
              <w:rPr>
                <w:i/>
                <w:iCs/>
              </w:rPr>
              <w:t>.”</w:t>
            </w:r>
          </w:p>
        </w:tc>
      </w:tr>
      <w:tr w:rsidR="00F04F6C" w:rsidRPr="0026420A" w14:paraId="2DA13780" w14:textId="77777777" w:rsidTr="001F4857">
        <w:trPr>
          <w:trHeight w:val="300"/>
        </w:trPr>
        <w:tc>
          <w:tcPr>
            <w:tcW w:w="2206" w:type="dxa"/>
            <w:vMerge/>
            <w:tcMar>
              <w:top w:w="0" w:type="dxa"/>
              <w:left w:w="108" w:type="dxa"/>
              <w:bottom w:w="0" w:type="dxa"/>
              <w:right w:w="108" w:type="dxa"/>
            </w:tcMar>
          </w:tcPr>
          <w:p w14:paraId="340C4A7D" w14:textId="77777777" w:rsidR="00F04F6C" w:rsidRPr="0026420A" w:rsidRDefault="00F04F6C" w:rsidP="00F04F6C">
            <w:pPr>
              <w:ind w:firstLine="0"/>
              <w:rPr>
                <w:b/>
                <w:bCs/>
              </w:rPr>
            </w:pPr>
          </w:p>
        </w:tc>
        <w:tc>
          <w:tcPr>
            <w:tcW w:w="579" w:type="dxa"/>
            <w:tcMar>
              <w:top w:w="0" w:type="dxa"/>
              <w:left w:w="108" w:type="dxa"/>
              <w:bottom w:w="0" w:type="dxa"/>
              <w:right w:w="108" w:type="dxa"/>
            </w:tcMar>
          </w:tcPr>
          <w:p w14:paraId="56926856" w14:textId="77777777" w:rsidR="00F04F6C" w:rsidRPr="0026420A" w:rsidRDefault="00F04F6C" w:rsidP="00BE10DB">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49B99DA8" w14:textId="2CFBE505" w:rsidR="00F04F6C" w:rsidRPr="0026420A" w:rsidRDefault="00F04F6C" w:rsidP="00F04F6C">
            <w:pPr>
              <w:ind w:firstLine="0"/>
            </w:pPr>
            <w:r w:rsidRPr="0026420A">
              <w:t>Consecvent, pe tot parcursul textului proiectului de lege, precum și în tabelul de concordanță - coloana „Proiectul de act normativ național”, cuvintele „producția de deșeuri” se substituie cu sintagma „generarea deșeurilor”, astfel cum este utilizat în Legea nr. 209/2016 privind deșeurile și legislația națională.</w:t>
            </w:r>
          </w:p>
        </w:tc>
        <w:tc>
          <w:tcPr>
            <w:tcW w:w="5281" w:type="dxa"/>
            <w:tcMar>
              <w:top w:w="0" w:type="dxa"/>
              <w:left w:w="108" w:type="dxa"/>
              <w:bottom w:w="0" w:type="dxa"/>
              <w:right w:w="108" w:type="dxa"/>
            </w:tcMar>
          </w:tcPr>
          <w:p w14:paraId="568DCEDA" w14:textId="77777777" w:rsidR="00F04F6C" w:rsidRPr="0026420A" w:rsidRDefault="00F04F6C" w:rsidP="00F04F6C">
            <w:pPr>
              <w:ind w:firstLine="0"/>
              <w:rPr>
                <w:b/>
                <w:bCs/>
              </w:rPr>
            </w:pPr>
            <w:r w:rsidRPr="0026420A">
              <w:rPr>
                <w:b/>
                <w:bCs/>
              </w:rPr>
              <w:t>Se acceptă.</w:t>
            </w:r>
          </w:p>
          <w:p w14:paraId="70E21DE1" w14:textId="35806AFE" w:rsidR="00F04F6C" w:rsidRPr="0026420A" w:rsidRDefault="00D74519" w:rsidP="00F04F6C">
            <w:pPr>
              <w:ind w:firstLine="0"/>
              <w:rPr>
                <w:b/>
                <w:bCs/>
              </w:rPr>
            </w:pPr>
            <w:r w:rsidRPr="0026420A">
              <w:t>Se ajustează</w:t>
            </w:r>
            <w:r w:rsidR="00C30527" w:rsidRPr="0026420A">
              <w:t xml:space="preserve"> textul proiectului de Lege corespunzător.</w:t>
            </w:r>
          </w:p>
        </w:tc>
      </w:tr>
      <w:tr w:rsidR="0069452B" w:rsidRPr="0026420A" w14:paraId="3B2FBB8C" w14:textId="77777777" w:rsidTr="001F4857">
        <w:trPr>
          <w:trHeight w:val="300"/>
        </w:trPr>
        <w:tc>
          <w:tcPr>
            <w:tcW w:w="2206" w:type="dxa"/>
            <w:vMerge w:val="restart"/>
            <w:tcMar>
              <w:top w:w="0" w:type="dxa"/>
              <w:left w:w="108" w:type="dxa"/>
              <w:bottom w:w="0" w:type="dxa"/>
              <w:right w:w="108" w:type="dxa"/>
            </w:tcMar>
          </w:tcPr>
          <w:p w14:paraId="16A338A3" w14:textId="77777777" w:rsidR="0069452B" w:rsidRPr="0026420A" w:rsidRDefault="0069452B" w:rsidP="00A71C54">
            <w:pPr>
              <w:ind w:firstLine="0"/>
              <w:rPr>
                <w:b/>
                <w:bCs/>
              </w:rPr>
            </w:pPr>
            <w:r w:rsidRPr="0026420A">
              <w:rPr>
                <w:b/>
                <w:bCs/>
              </w:rPr>
              <w:t>Ministerul Afacerilor Interne</w:t>
            </w:r>
          </w:p>
          <w:p w14:paraId="08C07187" w14:textId="77777777" w:rsidR="00207E57" w:rsidRPr="0026420A" w:rsidRDefault="00207E57" w:rsidP="00A71C54">
            <w:pPr>
              <w:ind w:firstLine="0"/>
            </w:pPr>
          </w:p>
          <w:p w14:paraId="0B500512" w14:textId="77777777" w:rsidR="00EE2B51" w:rsidRPr="0026420A" w:rsidRDefault="00207E57" w:rsidP="00A71C54">
            <w:pPr>
              <w:ind w:firstLine="0"/>
              <w:rPr>
                <w:i/>
                <w:iCs/>
              </w:rPr>
            </w:pPr>
            <w:r w:rsidRPr="0026420A">
              <w:rPr>
                <w:i/>
                <w:iCs/>
              </w:rPr>
              <w:t xml:space="preserve">Nr. </w:t>
            </w:r>
            <w:r w:rsidR="00EE2B51" w:rsidRPr="0026420A">
              <w:rPr>
                <w:i/>
                <w:iCs/>
              </w:rPr>
              <w:t xml:space="preserve">38/1642 </w:t>
            </w:r>
          </w:p>
          <w:p w14:paraId="609EDF80" w14:textId="3F16C527" w:rsidR="00207E57" w:rsidRPr="0026420A" w:rsidRDefault="00207E57" w:rsidP="00A71C54">
            <w:pPr>
              <w:ind w:firstLine="0"/>
            </w:pPr>
            <w:r w:rsidRPr="0026420A">
              <w:rPr>
                <w:i/>
                <w:iCs/>
              </w:rPr>
              <w:t xml:space="preserve">din </w:t>
            </w:r>
            <w:r w:rsidR="00EE2B51" w:rsidRPr="0026420A">
              <w:rPr>
                <w:i/>
                <w:iCs/>
              </w:rPr>
              <w:t>2</w:t>
            </w:r>
            <w:r w:rsidRPr="0026420A">
              <w:rPr>
                <w:i/>
                <w:iCs/>
              </w:rPr>
              <w:t>7.0</w:t>
            </w:r>
            <w:r w:rsidR="00EE2B51" w:rsidRPr="0026420A">
              <w:rPr>
                <w:i/>
                <w:iCs/>
              </w:rPr>
              <w:t>4</w:t>
            </w:r>
            <w:r w:rsidRPr="0026420A">
              <w:rPr>
                <w:i/>
                <w:iCs/>
              </w:rPr>
              <w:t>.202</w:t>
            </w:r>
            <w:r w:rsidR="00EE2B51" w:rsidRPr="0026420A">
              <w:rPr>
                <w:i/>
                <w:iCs/>
              </w:rPr>
              <w:t>6</w:t>
            </w:r>
          </w:p>
          <w:p w14:paraId="43D34629" w14:textId="77777777" w:rsidR="00B93A65" w:rsidRPr="0026420A" w:rsidRDefault="00B93A65" w:rsidP="00A71C54">
            <w:pPr>
              <w:ind w:firstLine="0"/>
            </w:pPr>
          </w:p>
          <w:p w14:paraId="322353F4" w14:textId="77571EBB" w:rsidR="00B93A65" w:rsidRPr="0026420A" w:rsidRDefault="00B93A65" w:rsidP="00A71C54">
            <w:pPr>
              <w:ind w:firstLine="0"/>
              <w:rPr>
                <w:i/>
                <w:iCs/>
                <w:u w:val="single"/>
              </w:rPr>
            </w:pPr>
          </w:p>
        </w:tc>
        <w:tc>
          <w:tcPr>
            <w:tcW w:w="579" w:type="dxa"/>
            <w:tcMar>
              <w:top w:w="0" w:type="dxa"/>
              <w:left w:w="108" w:type="dxa"/>
              <w:bottom w:w="0" w:type="dxa"/>
              <w:right w:w="108" w:type="dxa"/>
            </w:tcMar>
          </w:tcPr>
          <w:p w14:paraId="4ED2A7B6" w14:textId="41DF1689" w:rsidR="0069452B" w:rsidRPr="0026420A" w:rsidRDefault="0069452B" w:rsidP="00BE10DB">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67EB4421" w14:textId="4C8BC4DD" w:rsidR="0069452B" w:rsidRPr="0026420A" w:rsidRDefault="009374F4" w:rsidP="00C41F45">
            <w:pPr>
              <w:ind w:firstLine="0"/>
            </w:pPr>
            <w:r w:rsidRPr="0026420A">
              <w:t>Din perspectiva atribuțiilor Ministerului Afacerilor Interne în domeniul</w:t>
            </w:r>
            <w:r w:rsidR="00C41F45" w:rsidRPr="0026420A">
              <w:t xml:space="preserve"> </w:t>
            </w:r>
            <w:r w:rsidRPr="0026420A">
              <w:t xml:space="preserve">prevenirii și combaterii criminalității, proiectul necesită completări pentru a asigura prevenirea utilizării </w:t>
            </w:r>
            <w:proofErr w:type="spellStart"/>
            <w:r w:rsidRPr="0026420A">
              <w:t>criptoactivelor</w:t>
            </w:r>
            <w:proofErr w:type="spellEnd"/>
            <w:r w:rsidRPr="0026420A">
              <w:t xml:space="preserve"> în scopuri infracționale, inclusiv spălarea banilor, finanțarea terorismului, criminalitatea organizată, traficul de droguri, criminalitatea informatică și alte forme de criminalitate gravă.</w:t>
            </w:r>
          </w:p>
        </w:tc>
        <w:tc>
          <w:tcPr>
            <w:tcW w:w="5281" w:type="dxa"/>
            <w:tcMar>
              <w:top w:w="0" w:type="dxa"/>
              <w:left w:w="108" w:type="dxa"/>
              <w:bottom w:w="0" w:type="dxa"/>
              <w:right w:w="108" w:type="dxa"/>
            </w:tcMar>
          </w:tcPr>
          <w:p w14:paraId="5EE8432A" w14:textId="487561C8" w:rsidR="002A4CD4" w:rsidRPr="0026420A" w:rsidRDefault="002A4CD4" w:rsidP="00A71C54">
            <w:pPr>
              <w:ind w:firstLine="0"/>
              <w:rPr>
                <w:b/>
                <w:bCs/>
              </w:rPr>
            </w:pPr>
            <w:r w:rsidRPr="0026420A">
              <w:rPr>
                <w:b/>
                <w:bCs/>
              </w:rPr>
              <w:t>Nu se acceptă.</w:t>
            </w:r>
          </w:p>
          <w:p w14:paraId="425A0DF6" w14:textId="08FF0B01" w:rsidR="00244ADB" w:rsidRPr="0026420A" w:rsidRDefault="00244ADB" w:rsidP="00A71C54">
            <w:pPr>
              <w:ind w:firstLine="0"/>
            </w:pPr>
            <w:r w:rsidRPr="0026420A">
              <w:t xml:space="preserve">Obiectivul principal al proiectului de Lege este transpunerea prevederilor </w:t>
            </w:r>
            <w:proofErr w:type="spellStart"/>
            <w:r w:rsidRPr="0026420A">
              <w:t>MiCA</w:t>
            </w:r>
            <w:proofErr w:type="spellEnd"/>
            <w:r w:rsidRPr="0026420A">
              <w:t xml:space="preserve"> prin crearea unui cadru normativ în legislația națională,  care instituie cerințe clare pentru oferta, admiterea la tranzacționare și furnizarea de servicii privind </w:t>
            </w:r>
            <w:proofErr w:type="spellStart"/>
            <w:r w:rsidRPr="0026420A">
              <w:t>criptoactivele</w:t>
            </w:r>
            <w:proofErr w:type="spellEnd"/>
            <w:r w:rsidRPr="0026420A">
              <w:t xml:space="preserve">, cerințe de transparență și informare,  regimuri de autorizare și supraveghere a subiecților prevăzuți de Lege, a normelor de conduită și guvernanță, precum și a măsurilor destinate protecției deținătorilor de </w:t>
            </w:r>
            <w:proofErr w:type="spellStart"/>
            <w:r w:rsidRPr="0026420A">
              <w:t>criptoactive</w:t>
            </w:r>
            <w:proofErr w:type="spellEnd"/>
            <w:r w:rsidRPr="0026420A">
              <w:t xml:space="preserve"> și asigurării integrității pieței </w:t>
            </w:r>
            <w:proofErr w:type="spellStart"/>
            <w:r w:rsidR="00082A31" w:rsidRPr="0026420A">
              <w:t>criptoactivelor</w:t>
            </w:r>
            <w:proofErr w:type="spellEnd"/>
            <w:r w:rsidR="00082A31" w:rsidRPr="0026420A">
              <w:t>.</w:t>
            </w:r>
            <w:r w:rsidRPr="0026420A">
              <w:t xml:space="preserve"> </w:t>
            </w:r>
          </w:p>
          <w:p w14:paraId="6BAB8027" w14:textId="6BF7A5D8" w:rsidR="00244ADB" w:rsidRPr="0026420A" w:rsidRDefault="00016F99" w:rsidP="00A71C54">
            <w:pPr>
              <w:ind w:firstLine="0"/>
              <w:rPr>
                <w:b/>
                <w:bCs/>
              </w:rPr>
            </w:pPr>
            <w:r w:rsidRPr="0026420A">
              <w:t xml:space="preserve">Deși proiectul de lege instituie anumite cerințe privind conformarea cu legislația națională în domeniul prevenirii și combaterii spălării banilor, finanțării terorismului, acesta nu are ca obiect principal prevenirea și combaterea spălării banilor, finanțării terorismului sau a altor forme de criminalitate, iar delimitarea perimetrului entităților reglementate, instituirea regimurilor de autorizare și supraveghere, precum și creșterea transparenței activităților acestora contribuie indirect la limitarea posibilităților de utilizare abuzivă a </w:t>
            </w:r>
            <w:proofErr w:type="spellStart"/>
            <w:r w:rsidRPr="0026420A">
              <w:t>criptoactivelor</w:t>
            </w:r>
            <w:proofErr w:type="spellEnd"/>
            <w:r w:rsidRPr="0026420A">
              <w:t>.</w:t>
            </w:r>
          </w:p>
          <w:p w14:paraId="12B332D6" w14:textId="1B85D34D" w:rsidR="00244ADB" w:rsidRPr="0026420A" w:rsidRDefault="00244ADB" w:rsidP="00244ADB">
            <w:pPr>
              <w:ind w:firstLine="0"/>
            </w:pPr>
            <w:r w:rsidRPr="0026420A">
              <w:t xml:space="preserve">Transpunerea prevederilor </w:t>
            </w:r>
            <w:proofErr w:type="spellStart"/>
            <w:r w:rsidRPr="0026420A">
              <w:t>MiCA</w:t>
            </w:r>
            <w:proofErr w:type="spellEnd"/>
            <w:r w:rsidRPr="0026420A">
              <w:t xml:space="preserve"> se înscrie într-un proces mai amplu și complementar de aliniere în cascadă a cadrului normativ național la acquis-</w:t>
            </w:r>
            <w:proofErr w:type="spellStart"/>
            <w:r w:rsidRPr="0026420A">
              <w:t>ul</w:t>
            </w:r>
            <w:proofErr w:type="spellEnd"/>
            <w:r w:rsidRPr="0026420A">
              <w:t xml:space="preserve"> UE în domeniul prevenirii și combaterii spălării banilor și finanțării terorismului. Obligațiile specifice de natură AML/CFT aplicabile sectorului </w:t>
            </w:r>
            <w:proofErr w:type="spellStart"/>
            <w:r w:rsidRPr="0026420A">
              <w:t>criptoactivelor</w:t>
            </w:r>
            <w:proofErr w:type="spellEnd"/>
            <w:r w:rsidRPr="0026420A">
              <w:t xml:space="preserve"> urmează să fie reglementate prin</w:t>
            </w:r>
            <w:r w:rsidR="003334C6" w:rsidRPr="0026420A">
              <w:t>tr-un</w:t>
            </w:r>
            <w:r w:rsidRPr="0026420A">
              <w:t xml:space="preserve"> proiect de lege</w:t>
            </w:r>
            <w:r w:rsidR="003334C6" w:rsidRPr="0026420A">
              <w:t xml:space="preserve"> separat</w:t>
            </w:r>
            <w:r w:rsidRPr="0026420A">
              <w:t xml:space="preserve"> elaborat de Serviciul Prevenirea și Combaterea Spălării Banilor pentru transpunerea integrală a Directivei (UE) 2024/1640, prin implementarea standardelor internaționale adoptate de Grupul de Acțiune Financiară Internațională</w:t>
            </w:r>
            <w:r w:rsidR="003334C6" w:rsidRPr="0026420A">
              <w:t xml:space="preserve">, </w:t>
            </w:r>
            <w:r w:rsidR="003334C6" w:rsidRPr="0026420A">
              <w:lastRenderedPageBreak/>
              <w:t xml:space="preserve">precum și prin alinierea la Regulamentul (UE) 2023/1113 privind informațiile care însoțesc transferurile de fonduri și de anumite </w:t>
            </w:r>
            <w:proofErr w:type="spellStart"/>
            <w:r w:rsidR="003334C6" w:rsidRPr="0026420A">
              <w:t>criptoactive</w:t>
            </w:r>
            <w:proofErr w:type="spellEnd"/>
            <w:r w:rsidRPr="0026420A">
              <w:t>.</w:t>
            </w:r>
          </w:p>
          <w:p w14:paraId="622A1B42" w14:textId="655E9D19" w:rsidR="00821585" w:rsidRPr="0026420A" w:rsidRDefault="00244ADB" w:rsidP="00A71C54">
            <w:pPr>
              <w:ind w:firstLine="0"/>
            </w:pPr>
            <w:r w:rsidRPr="0026420A">
              <w:t xml:space="preserve">Prin urmare, completarea proiectului de lege privind piața </w:t>
            </w:r>
            <w:proofErr w:type="spellStart"/>
            <w:r w:rsidRPr="0026420A">
              <w:t>criptoactivelor</w:t>
            </w:r>
            <w:proofErr w:type="spellEnd"/>
            <w:r w:rsidRPr="0026420A">
              <w:t xml:space="preserve"> cu norme generale referitoare la prevenirea utilizării </w:t>
            </w:r>
            <w:proofErr w:type="spellStart"/>
            <w:r w:rsidRPr="0026420A">
              <w:t>criptoactivelor</w:t>
            </w:r>
            <w:proofErr w:type="spellEnd"/>
            <w:r w:rsidRPr="0026420A">
              <w:t xml:space="preserve"> în scopuri infracționale nu este necesară, aceste aspecte urmând a fi abordate în mod sistemic prin legislația specială</w:t>
            </w:r>
            <w:r w:rsidR="00EA774E" w:rsidRPr="0026420A">
              <w:t xml:space="preserve"> (AML/CFT)</w:t>
            </w:r>
            <w:r w:rsidRPr="0026420A">
              <w:t>, legislația penală și mecanismele instituționale de prevenire, investigare și combatere a criminalității.</w:t>
            </w:r>
          </w:p>
        </w:tc>
      </w:tr>
      <w:tr w:rsidR="0030435F" w:rsidRPr="0026420A" w14:paraId="3D4336EC" w14:textId="77777777" w:rsidTr="001F4857">
        <w:trPr>
          <w:trHeight w:val="300"/>
        </w:trPr>
        <w:tc>
          <w:tcPr>
            <w:tcW w:w="2206" w:type="dxa"/>
            <w:vMerge/>
            <w:tcMar>
              <w:top w:w="0" w:type="dxa"/>
              <w:left w:w="108" w:type="dxa"/>
              <w:bottom w:w="0" w:type="dxa"/>
              <w:right w:w="108" w:type="dxa"/>
            </w:tcMar>
          </w:tcPr>
          <w:p w14:paraId="435092D6" w14:textId="77777777" w:rsidR="0030435F" w:rsidRPr="0026420A" w:rsidRDefault="0030435F" w:rsidP="00A71C54">
            <w:pPr>
              <w:ind w:firstLine="0"/>
            </w:pPr>
          </w:p>
        </w:tc>
        <w:tc>
          <w:tcPr>
            <w:tcW w:w="579" w:type="dxa"/>
            <w:tcMar>
              <w:top w:w="0" w:type="dxa"/>
              <w:left w:w="108" w:type="dxa"/>
              <w:bottom w:w="0" w:type="dxa"/>
              <w:right w:w="108" w:type="dxa"/>
            </w:tcMar>
          </w:tcPr>
          <w:p w14:paraId="051E041F" w14:textId="77777777" w:rsidR="0030435F" w:rsidRPr="0026420A" w:rsidRDefault="0030435F" w:rsidP="00BE10DB">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466776B2" w14:textId="3C1E7D86" w:rsidR="00323707" w:rsidRPr="0026420A" w:rsidRDefault="00323707" w:rsidP="00323707">
            <w:pPr>
              <w:ind w:firstLine="0"/>
            </w:pPr>
            <w:r w:rsidRPr="0026420A">
              <w:rPr>
                <w:b/>
                <w:bCs/>
              </w:rPr>
              <w:t>La articolul 1</w:t>
            </w:r>
            <w:r w:rsidRPr="0026420A">
              <w:t>, după litera f), se propune completarea cu o literă nouă, cu</w:t>
            </w:r>
            <w:r w:rsidR="006455C9" w:rsidRPr="0026420A">
              <w:t xml:space="preserve"> </w:t>
            </w:r>
            <w:r w:rsidRPr="0026420A">
              <w:t>următorul cuprins:</w:t>
            </w:r>
          </w:p>
          <w:p w14:paraId="52B3EECD" w14:textId="06FD7C6E" w:rsidR="00323707" w:rsidRPr="0026420A" w:rsidRDefault="00323707" w:rsidP="00323707">
            <w:pPr>
              <w:ind w:firstLine="0"/>
              <w:rPr>
                <w:i/>
                <w:iCs/>
              </w:rPr>
            </w:pPr>
            <w:r w:rsidRPr="0026420A">
              <w:t>„</w:t>
            </w:r>
            <w:r w:rsidRPr="0026420A">
              <w:rPr>
                <w:i/>
                <w:iCs/>
              </w:rPr>
              <w:t xml:space="preserve">g) măsuri de prevenire și combatere a utilizării </w:t>
            </w:r>
            <w:proofErr w:type="spellStart"/>
            <w:r w:rsidRPr="0026420A">
              <w:rPr>
                <w:i/>
                <w:iCs/>
              </w:rPr>
              <w:t>criptoactivelor</w:t>
            </w:r>
            <w:proofErr w:type="spellEnd"/>
            <w:r w:rsidRPr="0026420A">
              <w:rPr>
                <w:i/>
                <w:iCs/>
              </w:rPr>
              <w:t xml:space="preserve"> și a serviciilor de </w:t>
            </w:r>
            <w:proofErr w:type="spellStart"/>
            <w:r w:rsidRPr="0026420A">
              <w:rPr>
                <w:i/>
                <w:iCs/>
              </w:rPr>
              <w:t>criptoactive</w:t>
            </w:r>
            <w:proofErr w:type="spellEnd"/>
            <w:r w:rsidRPr="0026420A">
              <w:rPr>
                <w:i/>
                <w:iCs/>
              </w:rPr>
              <w:t xml:space="preserve"> în scopuri infracționale, inclusiv pentru spălarea banilor, finanțarea terorismului, criminalitatea organizată, criminalitatea informatică, traficul ilicit de droguri, arme, persoane și alte forme de criminalitate gravă.</w:t>
            </w:r>
            <w:r w:rsidRPr="0026420A">
              <w:t>”</w:t>
            </w:r>
          </w:p>
          <w:p w14:paraId="6B90CDB6" w14:textId="42FA056F" w:rsidR="0030435F" w:rsidRPr="0026420A" w:rsidRDefault="00323707" w:rsidP="00323707">
            <w:pPr>
              <w:ind w:firstLine="0"/>
            </w:pPr>
            <w:r w:rsidRPr="0026420A">
              <w:t>Completarea se impune în vederea asigurării unui cadru normativ</w:t>
            </w:r>
            <w:r w:rsidR="003334C6" w:rsidRPr="0026420A">
              <w:t xml:space="preserve"> </w:t>
            </w:r>
            <w:r w:rsidRPr="0026420A">
              <w:t>comprehensiv, care să reflecte nu doar obiectivele de reglementare financiară, dar și dimensiunea de securitate publică, inclusiv componentele specifice de prevenire și combatere a criminalității.</w:t>
            </w:r>
          </w:p>
        </w:tc>
        <w:tc>
          <w:tcPr>
            <w:tcW w:w="5281" w:type="dxa"/>
            <w:tcMar>
              <w:top w:w="0" w:type="dxa"/>
              <w:left w:w="108" w:type="dxa"/>
              <w:bottom w:w="0" w:type="dxa"/>
              <w:right w:w="108" w:type="dxa"/>
            </w:tcMar>
          </w:tcPr>
          <w:p w14:paraId="055A1E8D" w14:textId="2FB9D405" w:rsidR="00517568" w:rsidRPr="0026420A" w:rsidRDefault="00517568" w:rsidP="00A71C54">
            <w:pPr>
              <w:ind w:firstLine="0"/>
              <w:rPr>
                <w:b/>
                <w:bCs/>
              </w:rPr>
            </w:pPr>
            <w:r w:rsidRPr="0026420A">
              <w:rPr>
                <w:b/>
                <w:bCs/>
              </w:rPr>
              <w:t>Nu se acceptă.</w:t>
            </w:r>
          </w:p>
          <w:p w14:paraId="2D309EA7" w14:textId="797879BA" w:rsidR="008C0FE2" w:rsidRPr="0026420A" w:rsidRDefault="003F20C7" w:rsidP="00A71C54">
            <w:pPr>
              <w:ind w:firstLine="0"/>
            </w:pPr>
            <w:r w:rsidRPr="0026420A">
              <w:t xml:space="preserve">Proiectul de lege privind piața </w:t>
            </w:r>
            <w:proofErr w:type="spellStart"/>
            <w:r w:rsidRPr="0026420A">
              <w:t>criptoactivelor</w:t>
            </w:r>
            <w:proofErr w:type="spellEnd"/>
            <w:r w:rsidRPr="0026420A">
              <w:t xml:space="preserve"> instituie un cadru normativ având ca obiect reglementarea și supravegherea pieței </w:t>
            </w:r>
            <w:proofErr w:type="spellStart"/>
            <w:r w:rsidRPr="0026420A">
              <w:t>criptoactivelor</w:t>
            </w:r>
            <w:proofErr w:type="spellEnd"/>
            <w:r w:rsidRPr="0026420A">
              <w:t xml:space="preserve">, inclusiv prin cerințe prudențiale, iar prevenirea și combaterea utilizării </w:t>
            </w:r>
            <w:proofErr w:type="spellStart"/>
            <w:r w:rsidRPr="0026420A">
              <w:t>criptoactivelor</w:t>
            </w:r>
            <w:proofErr w:type="spellEnd"/>
            <w:r w:rsidRPr="0026420A">
              <w:t xml:space="preserve"> în scopuri infracționale se circumscriu legislației speciale în domeniul AML/CFT, legislației penale și mecanismelor de securitate publică, la atingerea obiectivelor cărora proiectul contribuie doar în mod indirect.</w:t>
            </w:r>
          </w:p>
        </w:tc>
      </w:tr>
      <w:tr w:rsidR="0030435F" w:rsidRPr="0026420A" w14:paraId="7D25EE8F" w14:textId="77777777" w:rsidTr="001F4857">
        <w:trPr>
          <w:trHeight w:val="300"/>
        </w:trPr>
        <w:tc>
          <w:tcPr>
            <w:tcW w:w="2206" w:type="dxa"/>
            <w:vMerge/>
            <w:tcMar>
              <w:top w:w="0" w:type="dxa"/>
              <w:left w:w="108" w:type="dxa"/>
              <w:bottom w:w="0" w:type="dxa"/>
              <w:right w:w="108" w:type="dxa"/>
            </w:tcMar>
          </w:tcPr>
          <w:p w14:paraId="6B6C8AD5" w14:textId="77777777" w:rsidR="0030435F" w:rsidRPr="0026420A" w:rsidRDefault="0030435F" w:rsidP="00A71C54">
            <w:pPr>
              <w:ind w:firstLine="0"/>
            </w:pPr>
          </w:p>
        </w:tc>
        <w:tc>
          <w:tcPr>
            <w:tcW w:w="579" w:type="dxa"/>
            <w:tcMar>
              <w:top w:w="0" w:type="dxa"/>
              <w:left w:w="108" w:type="dxa"/>
              <w:bottom w:w="0" w:type="dxa"/>
              <w:right w:w="108" w:type="dxa"/>
            </w:tcMar>
          </w:tcPr>
          <w:p w14:paraId="3E170C88" w14:textId="77777777" w:rsidR="0030435F" w:rsidRPr="0026420A" w:rsidRDefault="0030435F" w:rsidP="00BE10DB">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16B96893" w14:textId="77777777" w:rsidR="00304F91" w:rsidRPr="0026420A" w:rsidRDefault="00304F91" w:rsidP="00304F91">
            <w:pPr>
              <w:ind w:firstLine="0"/>
            </w:pPr>
            <w:r w:rsidRPr="0026420A">
              <w:rPr>
                <w:b/>
                <w:bCs/>
              </w:rPr>
              <w:t xml:space="preserve">La articolul 2 </w:t>
            </w:r>
            <w:r w:rsidRPr="0026420A">
              <w:t>alin. (6), textul se propune a fi completat după cum urmează:</w:t>
            </w:r>
          </w:p>
          <w:p w14:paraId="5D153A3C" w14:textId="656FE7D6" w:rsidR="00304F91" w:rsidRPr="0026420A" w:rsidRDefault="00304F91" w:rsidP="00304F91">
            <w:pPr>
              <w:ind w:firstLine="0"/>
              <w:rPr>
                <w:i/>
                <w:iCs/>
              </w:rPr>
            </w:pPr>
            <w:r w:rsidRPr="0026420A">
              <w:t>„</w:t>
            </w:r>
            <w:r w:rsidRPr="0026420A">
              <w:rPr>
                <w:i/>
                <w:iCs/>
              </w:rPr>
              <w:t xml:space="preserve">Orice persoană care este implicată în emiterea, oferta publică de </w:t>
            </w:r>
            <w:proofErr w:type="spellStart"/>
            <w:r w:rsidRPr="0026420A">
              <w:rPr>
                <w:i/>
                <w:iCs/>
              </w:rPr>
              <w:t>criptoactive</w:t>
            </w:r>
            <w:proofErr w:type="spellEnd"/>
            <w:r w:rsidRPr="0026420A">
              <w:rPr>
                <w:i/>
                <w:iCs/>
              </w:rPr>
              <w:t xml:space="preserve"> și admiterea la tranzacționare a </w:t>
            </w:r>
            <w:proofErr w:type="spellStart"/>
            <w:r w:rsidRPr="0026420A">
              <w:rPr>
                <w:i/>
                <w:iCs/>
              </w:rPr>
              <w:t>criptoactivelor</w:t>
            </w:r>
            <w:proofErr w:type="spellEnd"/>
            <w:r w:rsidRPr="0026420A">
              <w:rPr>
                <w:i/>
                <w:iCs/>
              </w:rPr>
              <w:t xml:space="preserve"> sau care furnizează servicii de </w:t>
            </w:r>
            <w:proofErr w:type="spellStart"/>
            <w:r w:rsidRPr="0026420A">
              <w:rPr>
                <w:i/>
                <w:iCs/>
              </w:rPr>
              <w:t>criptoactive</w:t>
            </w:r>
            <w:proofErr w:type="spellEnd"/>
            <w:r w:rsidRPr="0026420A">
              <w:rPr>
                <w:i/>
                <w:iCs/>
              </w:rPr>
              <w:t xml:space="preserve"> în Republica Moldova este obligată să respecte prevederile Legii nr. 308/2017 cu privire la prevenirea și combaterea spălării banilor și finanțării terorismului, prevederile Legii nr. 62/2008 privind reglementarea valutară, prevederile actelor normative din domeniul fiscal, precum și obligațiile de cooperare cu autoritățile competente și organele de aplicare a legii, în condițiile</w:t>
            </w:r>
          </w:p>
          <w:p w14:paraId="3BDB375E" w14:textId="77777777" w:rsidR="0030435F" w:rsidRPr="0026420A" w:rsidRDefault="00304F91" w:rsidP="00304F91">
            <w:pPr>
              <w:ind w:firstLine="0"/>
              <w:rPr>
                <w:i/>
                <w:iCs/>
              </w:rPr>
            </w:pPr>
            <w:r w:rsidRPr="0026420A">
              <w:rPr>
                <w:i/>
                <w:iCs/>
              </w:rPr>
              <w:t>Codului de procedură penală și ale legislației speciale.”</w:t>
            </w:r>
          </w:p>
          <w:p w14:paraId="1FD1F5DA" w14:textId="77777777" w:rsidR="00304F91" w:rsidRPr="0026420A" w:rsidRDefault="00304F91" w:rsidP="00304F91">
            <w:pPr>
              <w:ind w:firstLine="0"/>
            </w:pPr>
            <w:r w:rsidRPr="0026420A">
              <w:t>Formularea actuală din proiect se limitează la reglementări din domeniul</w:t>
            </w:r>
          </w:p>
          <w:p w14:paraId="1548A0B0" w14:textId="72D14DB6" w:rsidR="00304F91" w:rsidRPr="0026420A" w:rsidRDefault="00304F91" w:rsidP="00304F91">
            <w:pPr>
              <w:ind w:firstLine="0"/>
            </w:pPr>
            <w:r w:rsidRPr="0026420A">
              <w:t xml:space="preserve">valutar și fiscal, fără a include obligații explicite privind cooperarea cu organele de drept. Luând în considerație riscurile asociate utilizării </w:t>
            </w:r>
            <w:proofErr w:type="spellStart"/>
            <w:r w:rsidRPr="0026420A">
              <w:t>criptoactivelor</w:t>
            </w:r>
            <w:proofErr w:type="spellEnd"/>
            <w:r w:rsidRPr="0026420A">
              <w:t xml:space="preserve"> în scopuri infracționale, se impune instituirea expresă a unei astfel de obligații, pentru a asigura un cadru eficient de prevenire, identificare și combatere a activităților ilicite.</w:t>
            </w:r>
          </w:p>
        </w:tc>
        <w:tc>
          <w:tcPr>
            <w:tcW w:w="5281" w:type="dxa"/>
            <w:tcMar>
              <w:top w:w="0" w:type="dxa"/>
              <w:left w:w="108" w:type="dxa"/>
              <w:bottom w:w="0" w:type="dxa"/>
              <w:right w:w="108" w:type="dxa"/>
            </w:tcMar>
          </w:tcPr>
          <w:p w14:paraId="68C1A426" w14:textId="77777777" w:rsidR="00016F99" w:rsidRPr="0026420A" w:rsidRDefault="00016F99" w:rsidP="00016F99">
            <w:pPr>
              <w:ind w:firstLine="0"/>
              <w:rPr>
                <w:b/>
                <w:bCs/>
              </w:rPr>
            </w:pPr>
            <w:r w:rsidRPr="0026420A">
              <w:rPr>
                <w:b/>
                <w:bCs/>
              </w:rPr>
              <w:t>Nu se acceptă.</w:t>
            </w:r>
          </w:p>
          <w:p w14:paraId="1E494D44" w14:textId="2E358B56" w:rsidR="00F23D13" w:rsidRPr="0026420A" w:rsidRDefault="00016F99" w:rsidP="00A71C54">
            <w:pPr>
              <w:ind w:firstLine="0"/>
            </w:pPr>
            <w:r w:rsidRPr="0026420A">
              <w:t>A</w:t>
            </w:r>
            <w:r w:rsidR="00964383" w:rsidRPr="0026420A">
              <w:t>lineatu</w:t>
            </w:r>
            <w:r w:rsidR="00F904CB" w:rsidRPr="0026420A">
              <w:t>l (6)</w:t>
            </w:r>
            <w:r w:rsidRPr="0026420A">
              <w:t xml:space="preserve"> la art. 2 din proiectul de Lege se exclude</w:t>
            </w:r>
            <w:r w:rsidR="00443101" w:rsidRPr="0026420A">
              <w:t xml:space="preserve"> la propunerea SPCSB. </w:t>
            </w:r>
          </w:p>
        </w:tc>
      </w:tr>
      <w:tr w:rsidR="0030435F" w:rsidRPr="0026420A" w14:paraId="393A38B0" w14:textId="77777777" w:rsidTr="001F4857">
        <w:trPr>
          <w:trHeight w:val="300"/>
        </w:trPr>
        <w:tc>
          <w:tcPr>
            <w:tcW w:w="2206" w:type="dxa"/>
            <w:vMerge/>
            <w:tcMar>
              <w:top w:w="0" w:type="dxa"/>
              <w:left w:w="108" w:type="dxa"/>
              <w:bottom w:w="0" w:type="dxa"/>
              <w:right w:w="108" w:type="dxa"/>
            </w:tcMar>
          </w:tcPr>
          <w:p w14:paraId="17848257" w14:textId="77777777" w:rsidR="0030435F" w:rsidRPr="0026420A" w:rsidRDefault="0030435F" w:rsidP="00A71C54">
            <w:pPr>
              <w:ind w:firstLine="0"/>
            </w:pPr>
          </w:p>
        </w:tc>
        <w:tc>
          <w:tcPr>
            <w:tcW w:w="579" w:type="dxa"/>
            <w:tcMar>
              <w:top w:w="0" w:type="dxa"/>
              <w:left w:w="108" w:type="dxa"/>
              <w:bottom w:w="0" w:type="dxa"/>
              <w:right w:w="108" w:type="dxa"/>
            </w:tcMar>
          </w:tcPr>
          <w:p w14:paraId="51890970" w14:textId="77777777" w:rsidR="0030435F" w:rsidRPr="0026420A" w:rsidRDefault="0030435F" w:rsidP="00BE10DB">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46A37819" w14:textId="77777777" w:rsidR="00304F91" w:rsidRPr="0026420A" w:rsidRDefault="00304F91" w:rsidP="00304F91">
            <w:pPr>
              <w:ind w:firstLine="0"/>
            </w:pPr>
            <w:r w:rsidRPr="0026420A">
              <w:rPr>
                <w:b/>
                <w:bCs/>
              </w:rPr>
              <w:t>La articolul 3</w:t>
            </w:r>
            <w:r w:rsidRPr="0026420A">
              <w:t>, se recomandă completarea cu noțiuni noi:</w:t>
            </w:r>
          </w:p>
          <w:p w14:paraId="259FCE23" w14:textId="5649D03A" w:rsidR="00304F91" w:rsidRPr="0026420A" w:rsidRDefault="00304F91" w:rsidP="00304F91">
            <w:pPr>
              <w:ind w:firstLine="0"/>
              <w:rPr>
                <w:i/>
                <w:iCs/>
              </w:rPr>
            </w:pPr>
            <w:r w:rsidRPr="0026420A">
              <w:lastRenderedPageBreak/>
              <w:t>„</w:t>
            </w:r>
            <w:r w:rsidRPr="0026420A">
              <w:rPr>
                <w:i/>
                <w:iCs/>
              </w:rPr>
              <w:t xml:space="preserve">portofel </w:t>
            </w:r>
            <w:proofErr w:type="spellStart"/>
            <w:r w:rsidRPr="0026420A">
              <w:rPr>
                <w:i/>
                <w:iCs/>
              </w:rPr>
              <w:t>necustodial</w:t>
            </w:r>
            <w:proofErr w:type="spellEnd"/>
            <w:r w:rsidRPr="0026420A">
              <w:rPr>
                <w:i/>
                <w:iCs/>
              </w:rPr>
              <w:t xml:space="preserve"> – soluție tehnologică prin care utilizatorul deține și controlează direct cheile private sau mijloacele de acces la </w:t>
            </w:r>
            <w:proofErr w:type="spellStart"/>
            <w:r w:rsidRPr="0026420A">
              <w:rPr>
                <w:i/>
                <w:iCs/>
              </w:rPr>
              <w:t>criptoactive</w:t>
            </w:r>
            <w:proofErr w:type="spellEnd"/>
            <w:r w:rsidRPr="0026420A">
              <w:rPr>
                <w:i/>
                <w:iCs/>
              </w:rPr>
              <w:t xml:space="preserve">, fără intermedierea unui furnizor de servicii de </w:t>
            </w:r>
            <w:proofErr w:type="spellStart"/>
            <w:r w:rsidRPr="0026420A">
              <w:rPr>
                <w:i/>
                <w:iCs/>
              </w:rPr>
              <w:t>criptoactive</w:t>
            </w:r>
            <w:proofErr w:type="spellEnd"/>
            <w:r w:rsidRPr="0026420A">
              <w:t>;”</w:t>
            </w:r>
          </w:p>
          <w:p w14:paraId="5AEBD89C" w14:textId="45536E45" w:rsidR="00304F91" w:rsidRPr="0026420A" w:rsidRDefault="00304F91" w:rsidP="00304F91">
            <w:pPr>
              <w:ind w:firstLine="0"/>
              <w:rPr>
                <w:i/>
                <w:iCs/>
              </w:rPr>
            </w:pPr>
            <w:r w:rsidRPr="0026420A">
              <w:t>„</w:t>
            </w:r>
            <w:r w:rsidRPr="0026420A">
              <w:rPr>
                <w:i/>
                <w:iCs/>
              </w:rPr>
              <w:t xml:space="preserve">servicii de anonimizare a tranzacțiilor cu </w:t>
            </w:r>
            <w:proofErr w:type="spellStart"/>
            <w:r w:rsidRPr="0026420A">
              <w:rPr>
                <w:i/>
                <w:iCs/>
              </w:rPr>
              <w:t>criptoactive</w:t>
            </w:r>
            <w:proofErr w:type="spellEnd"/>
            <w:r w:rsidRPr="0026420A">
              <w:rPr>
                <w:i/>
                <w:iCs/>
              </w:rPr>
              <w:t xml:space="preserve"> – servicii, aplicații, protocoale sau mecanisme tehnice, inclusiv </w:t>
            </w:r>
            <w:proofErr w:type="spellStart"/>
            <w:r w:rsidRPr="0026420A">
              <w:rPr>
                <w:i/>
                <w:iCs/>
              </w:rPr>
              <w:t>mixing</w:t>
            </w:r>
            <w:proofErr w:type="spellEnd"/>
            <w:r w:rsidRPr="0026420A">
              <w:rPr>
                <w:i/>
                <w:iCs/>
              </w:rPr>
              <w:t xml:space="preserve">, </w:t>
            </w:r>
            <w:proofErr w:type="spellStart"/>
            <w:r w:rsidRPr="0026420A">
              <w:rPr>
                <w:i/>
                <w:iCs/>
              </w:rPr>
              <w:t>tumbling</w:t>
            </w:r>
            <w:proofErr w:type="spellEnd"/>
            <w:r w:rsidRPr="0026420A">
              <w:rPr>
                <w:i/>
                <w:iCs/>
              </w:rPr>
              <w:t xml:space="preserve"> ori alte tehnologii similare, utilizate pentru ascunderea, fragmentarea sau îngreunarea identificării originii, destinației ori beneficiarului real al </w:t>
            </w:r>
            <w:proofErr w:type="spellStart"/>
            <w:r w:rsidRPr="0026420A">
              <w:rPr>
                <w:i/>
                <w:iCs/>
              </w:rPr>
              <w:t>criptoactivelor</w:t>
            </w:r>
            <w:proofErr w:type="spellEnd"/>
            <w:r w:rsidRPr="0026420A">
              <w:rPr>
                <w:i/>
                <w:iCs/>
              </w:rPr>
              <w:t>;</w:t>
            </w:r>
            <w:r w:rsidRPr="0026420A">
              <w:t>”</w:t>
            </w:r>
          </w:p>
          <w:p w14:paraId="05F0EA92" w14:textId="7C9BA224" w:rsidR="00304F91" w:rsidRPr="0026420A" w:rsidRDefault="00304F91" w:rsidP="00304F91">
            <w:pPr>
              <w:ind w:firstLine="0"/>
              <w:rPr>
                <w:i/>
                <w:iCs/>
              </w:rPr>
            </w:pPr>
            <w:r w:rsidRPr="0026420A">
              <w:t>„</w:t>
            </w:r>
            <w:r w:rsidRPr="0026420A">
              <w:rPr>
                <w:i/>
                <w:iCs/>
              </w:rPr>
              <w:t xml:space="preserve">adresă de </w:t>
            </w:r>
            <w:proofErr w:type="spellStart"/>
            <w:r w:rsidRPr="0026420A">
              <w:rPr>
                <w:i/>
                <w:iCs/>
              </w:rPr>
              <w:t>criptoactive</w:t>
            </w:r>
            <w:proofErr w:type="spellEnd"/>
            <w:r w:rsidRPr="0026420A">
              <w:rPr>
                <w:i/>
                <w:iCs/>
              </w:rPr>
              <w:t xml:space="preserve"> – identificator alfanumeric sau tehnic utilizat pentru transmiterea, recepționarea ori stocarea </w:t>
            </w:r>
            <w:proofErr w:type="spellStart"/>
            <w:r w:rsidRPr="0026420A">
              <w:rPr>
                <w:i/>
                <w:iCs/>
              </w:rPr>
              <w:t>criptoactivelor</w:t>
            </w:r>
            <w:proofErr w:type="spellEnd"/>
            <w:r w:rsidRPr="0026420A">
              <w:rPr>
                <w:i/>
                <w:iCs/>
              </w:rPr>
              <w:t>.</w:t>
            </w:r>
            <w:r w:rsidRPr="0026420A">
              <w:t>”</w:t>
            </w:r>
          </w:p>
          <w:p w14:paraId="113BF29E" w14:textId="37D54C3D" w:rsidR="0030435F" w:rsidRPr="0026420A" w:rsidRDefault="00304F91" w:rsidP="00304F91">
            <w:pPr>
              <w:ind w:firstLine="0"/>
            </w:pPr>
            <w:r w:rsidRPr="0026420A">
              <w:t>Aceste noțiuni sunt relevante pentru investigațiile penale și pentru analiza tranzacțiilor suspecte, în special în cauze privind criminalitatea informatică, spălarea banilor și finanțarea activităților ilicite.</w:t>
            </w:r>
          </w:p>
        </w:tc>
        <w:tc>
          <w:tcPr>
            <w:tcW w:w="5281" w:type="dxa"/>
            <w:tcMar>
              <w:top w:w="0" w:type="dxa"/>
              <w:left w:w="108" w:type="dxa"/>
              <w:bottom w:w="0" w:type="dxa"/>
              <w:right w:w="108" w:type="dxa"/>
            </w:tcMar>
          </w:tcPr>
          <w:p w14:paraId="06454846" w14:textId="2B95EC29" w:rsidR="008F459A" w:rsidRPr="0026420A" w:rsidRDefault="00F7687A" w:rsidP="008F459A">
            <w:pPr>
              <w:ind w:firstLine="0"/>
            </w:pPr>
            <w:r w:rsidRPr="0026420A">
              <w:rPr>
                <w:b/>
                <w:bCs/>
              </w:rPr>
              <w:lastRenderedPageBreak/>
              <w:t>S</w:t>
            </w:r>
            <w:r w:rsidR="008F459A" w:rsidRPr="0026420A">
              <w:rPr>
                <w:b/>
                <w:bCs/>
              </w:rPr>
              <w:t>e acceptă</w:t>
            </w:r>
            <w:r w:rsidRPr="0026420A">
              <w:rPr>
                <w:b/>
                <w:bCs/>
              </w:rPr>
              <w:t xml:space="preserve"> parțial</w:t>
            </w:r>
            <w:r w:rsidR="008F459A" w:rsidRPr="0026420A">
              <w:rPr>
                <w:b/>
                <w:bCs/>
              </w:rPr>
              <w:t>.</w:t>
            </w:r>
            <w:r w:rsidR="00801B16" w:rsidRPr="0026420A">
              <w:rPr>
                <w:b/>
                <w:bCs/>
              </w:rPr>
              <w:t xml:space="preserve"> </w:t>
            </w:r>
          </w:p>
          <w:p w14:paraId="7EC0DA4F" w14:textId="4783F1D3" w:rsidR="000C304F" w:rsidRPr="0026420A" w:rsidRDefault="005E41EA" w:rsidP="00A71C54">
            <w:pPr>
              <w:ind w:firstLine="0"/>
            </w:pPr>
            <w:r w:rsidRPr="0026420A">
              <w:lastRenderedPageBreak/>
              <w:t>P</w:t>
            </w:r>
            <w:r w:rsidR="00013C3E" w:rsidRPr="0026420A">
              <w:t>entru claritate și previzibilitate, p</w:t>
            </w:r>
            <w:r w:rsidRPr="0026420A">
              <w:t xml:space="preserve">roiectul de </w:t>
            </w:r>
            <w:r w:rsidR="000436FB" w:rsidRPr="0026420A">
              <w:t>L</w:t>
            </w:r>
            <w:r w:rsidRPr="0026420A">
              <w:t>ege se completează</w:t>
            </w:r>
            <w:r w:rsidR="00013C3E" w:rsidRPr="0026420A">
              <w:t xml:space="preserve"> la art.3 cu </w:t>
            </w:r>
            <w:r w:rsidR="0010506D" w:rsidRPr="0026420A">
              <w:t>unele definiții</w:t>
            </w:r>
            <w:r w:rsidRPr="0026420A">
              <w:t xml:space="preserve"> </w:t>
            </w:r>
            <w:r w:rsidR="0010506D" w:rsidRPr="0026420A">
              <w:t>relevante</w:t>
            </w:r>
            <w:r w:rsidR="00013C3E" w:rsidRPr="0026420A">
              <w:t xml:space="preserve"> din Regulamentul (UE) 2023/1113 privind informațiile care însoțesc transferurile de fonduri și de anumite </w:t>
            </w:r>
            <w:proofErr w:type="spellStart"/>
            <w:r w:rsidR="00013C3E" w:rsidRPr="0026420A">
              <w:t>criptoactive</w:t>
            </w:r>
            <w:proofErr w:type="spellEnd"/>
            <w:r w:rsidR="00013C3E" w:rsidRPr="0026420A">
              <w:t>,</w:t>
            </w:r>
            <w:r w:rsidR="0010506D" w:rsidRPr="0026420A">
              <w:t xml:space="preserve"> care sunt utilizate în textul ghidurilor ESMA</w:t>
            </w:r>
            <w:r w:rsidR="00013C3E" w:rsidRPr="0026420A">
              <w:t xml:space="preserve">, precum </w:t>
            </w:r>
            <w:r w:rsidR="0010506D" w:rsidRPr="0026420A">
              <w:t>și regulamentele delegat</w:t>
            </w:r>
            <w:r w:rsidR="00013C3E" w:rsidRPr="0026420A">
              <w:t>e</w:t>
            </w:r>
            <w:r w:rsidR="0010506D" w:rsidRPr="0026420A">
              <w:t xml:space="preserve"> sau de punere în aplicare ale </w:t>
            </w:r>
            <w:proofErr w:type="spellStart"/>
            <w:r w:rsidR="0010506D" w:rsidRPr="0026420A">
              <w:t>MiCA</w:t>
            </w:r>
            <w:proofErr w:type="spellEnd"/>
            <w:r w:rsidR="0010506D" w:rsidRPr="0026420A">
              <w:t>, și anume</w:t>
            </w:r>
            <w:r w:rsidR="00013C3E" w:rsidRPr="0026420A">
              <w:t xml:space="preserve">: </w:t>
            </w:r>
            <w:r w:rsidRPr="0026420A">
              <w:rPr>
                <w:i/>
                <w:iCs/>
              </w:rPr>
              <w:t>”adresă de registru distribuit”, „</w:t>
            </w:r>
            <w:r w:rsidR="0010506D" w:rsidRPr="0026420A">
              <w:rPr>
                <w:i/>
                <w:iCs/>
              </w:rPr>
              <w:t xml:space="preserve">cont de </w:t>
            </w:r>
            <w:proofErr w:type="spellStart"/>
            <w:r w:rsidR="0010506D" w:rsidRPr="0026420A">
              <w:rPr>
                <w:i/>
                <w:iCs/>
              </w:rPr>
              <w:t>criptoactive</w:t>
            </w:r>
            <w:proofErr w:type="spellEnd"/>
            <w:r w:rsidRPr="0026420A">
              <w:rPr>
                <w:i/>
                <w:iCs/>
              </w:rPr>
              <w:t>”, „</w:t>
            </w:r>
            <w:r w:rsidR="0010506D" w:rsidRPr="0026420A">
              <w:rPr>
                <w:i/>
                <w:iCs/>
              </w:rPr>
              <w:t xml:space="preserve">transfer de </w:t>
            </w:r>
            <w:proofErr w:type="spellStart"/>
            <w:r w:rsidR="0010506D" w:rsidRPr="0026420A">
              <w:rPr>
                <w:i/>
                <w:iCs/>
              </w:rPr>
              <w:t>criptoactive</w:t>
            </w:r>
            <w:proofErr w:type="spellEnd"/>
            <w:r w:rsidRPr="0026420A">
              <w:rPr>
                <w:i/>
                <w:iCs/>
              </w:rPr>
              <w:t>”</w:t>
            </w:r>
            <w:r w:rsidR="0010506D" w:rsidRPr="0026420A">
              <w:rPr>
                <w:i/>
                <w:iCs/>
              </w:rPr>
              <w:t xml:space="preserve">, „inițiator”, „beneficiar”, „bancomate de </w:t>
            </w:r>
            <w:proofErr w:type="spellStart"/>
            <w:r w:rsidR="0010506D" w:rsidRPr="0026420A">
              <w:rPr>
                <w:i/>
                <w:iCs/>
              </w:rPr>
              <w:t>criptoactive</w:t>
            </w:r>
            <w:proofErr w:type="spellEnd"/>
            <w:r w:rsidR="0010506D" w:rsidRPr="0026420A">
              <w:rPr>
                <w:i/>
                <w:iCs/>
              </w:rPr>
              <w:t xml:space="preserve"> sau ATM-uri </w:t>
            </w:r>
            <w:proofErr w:type="spellStart"/>
            <w:r w:rsidR="0010506D" w:rsidRPr="0026420A">
              <w:rPr>
                <w:i/>
                <w:iCs/>
              </w:rPr>
              <w:t>cripto</w:t>
            </w:r>
            <w:proofErr w:type="spellEnd"/>
            <w:r w:rsidR="0010506D" w:rsidRPr="0026420A">
              <w:rPr>
                <w:i/>
                <w:iCs/>
              </w:rPr>
              <w:t>”</w:t>
            </w:r>
            <w:r w:rsidR="00F7687A" w:rsidRPr="0026420A">
              <w:t>.</w:t>
            </w:r>
            <w:r w:rsidR="00013C3E" w:rsidRPr="0026420A">
              <w:t xml:space="preserve"> </w:t>
            </w:r>
            <w:r w:rsidR="00726C52" w:rsidRPr="0026420A">
              <w:t>(</w:t>
            </w:r>
            <w:r w:rsidR="00726C52" w:rsidRPr="0026420A">
              <w:rPr>
                <w:i/>
                <w:iCs/>
              </w:rPr>
              <w:t xml:space="preserve">ex. </w:t>
            </w:r>
            <w:r w:rsidR="00013C3E" w:rsidRPr="0026420A">
              <w:rPr>
                <w:i/>
                <w:iCs/>
              </w:rPr>
              <w:t xml:space="preserve">A se vedea </w:t>
            </w:r>
            <w:r w:rsidR="00726C52" w:rsidRPr="0026420A">
              <w:rPr>
                <w:i/>
                <w:iCs/>
              </w:rPr>
              <w:t xml:space="preserve">Ghidul ESMA 35-1872330276-2032 privind procedurile și politicile, inclusiv drepturile clienților, în contextul serviciilor de transfer de </w:t>
            </w:r>
            <w:proofErr w:type="spellStart"/>
            <w:r w:rsidR="00726C52" w:rsidRPr="0026420A">
              <w:rPr>
                <w:i/>
                <w:iCs/>
              </w:rPr>
              <w:t>criptoactive</w:t>
            </w:r>
            <w:proofErr w:type="spellEnd"/>
            <w:r w:rsidR="00726C52" w:rsidRPr="0026420A">
              <w:rPr>
                <w:i/>
                <w:iCs/>
              </w:rPr>
              <w:t xml:space="preserve"> în temeiul Regulamentului </w:t>
            </w:r>
            <w:proofErr w:type="spellStart"/>
            <w:r w:rsidR="00726C52" w:rsidRPr="0026420A">
              <w:rPr>
                <w:i/>
                <w:iCs/>
              </w:rPr>
              <w:t>MiCA</w:t>
            </w:r>
            <w:proofErr w:type="spellEnd"/>
            <w:r w:rsidR="00726C52" w:rsidRPr="0026420A">
              <w:rPr>
                <w:i/>
                <w:iCs/>
              </w:rPr>
              <w:t>, referitoare la protecția investitorilor</w:t>
            </w:r>
            <w:r w:rsidR="00B836E8" w:rsidRPr="0026420A">
              <w:rPr>
                <w:i/>
                <w:iCs/>
              </w:rPr>
              <w:t>, Regulamentul delegat (UE) 2025/416,</w:t>
            </w:r>
            <w:r w:rsidR="00B836E8" w:rsidRPr="0026420A">
              <w:t xml:space="preserve"> </w:t>
            </w:r>
            <w:r w:rsidR="00B836E8" w:rsidRPr="0026420A">
              <w:rPr>
                <w:i/>
                <w:iCs/>
              </w:rPr>
              <w:t>Regulamentul delegat (UE) 2025/417</w:t>
            </w:r>
            <w:r w:rsidR="00726C52" w:rsidRPr="0026420A">
              <w:t>)</w:t>
            </w:r>
            <w:r w:rsidR="000C304F" w:rsidRPr="0026420A">
              <w:t>,</w:t>
            </w:r>
          </w:p>
          <w:p w14:paraId="43D76493" w14:textId="188C754A" w:rsidR="00096FA0" w:rsidRPr="0026420A" w:rsidRDefault="00013C3E" w:rsidP="00A71C54">
            <w:pPr>
              <w:ind w:firstLine="0"/>
            </w:pPr>
            <w:r w:rsidRPr="0026420A">
              <w:t xml:space="preserve">Celelalte noțiuni propuse nu se circumscriu obiectului de  reglementarea proiectului de Lege,  urmând a fi propuse pentru transpunere în legislația specială (AML/CFT) și legislația penală. </w:t>
            </w:r>
          </w:p>
        </w:tc>
      </w:tr>
      <w:tr w:rsidR="0030435F" w:rsidRPr="0026420A" w14:paraId="754CE781" w14:textId="77777777" w:rsidTr="001F4857">
        <w:trPr>
          <w:trHeight w:val="300"/>
        </w:trPr>
        <w:tc>
          <w:tcPr>
            <w:tcW w:w="2206" w:type="dxa"/>
            <w:vMerge/>
            <w:tcMar>
              <w:top w:w="0" w:type="dxa"/>
              <w:left w:w="108" w:type="dxa"/>
              <w:bottom w:w="0" w:type="dxa"/>
              <w:right w:w="108" w:type="dxa"/>
            </w:tcMar>
          </w:tcPr>
          <w:p w14:paraId="66D93653" w14:textId="77777777" w:rsidR="0030435F" w:rsidRPr="0026420A" w:rsidRDefault="0030435F" w:rsidP="00A71C54">
            <w:pPr>
              <w:ind w:firstLine="0"/>
            </w:pPr>
          </w:p>
        </w:tc>
        <w:tc>
          <w:tcPr>
            <w:tcW w:w="579" w:type="dxa"/>
            <w:tcMar>
              <w:top w:w="0" w:type="dxa"/>
              <w:left w:w="108" w:type="dxa"/>
              <w:bottom w:w="0" w:type="dxa"/>
              <w:right w:w="108" w:type="dxa"/>
            </w:tcMar>
          </w:tcPr>
          <w:p w14:paraId="36060703" w14:textId="77777777" w:rsidR="0030435F" w:rsidRPr="0026420A" w:rsidRDefault="0030435F" w:rsidP="00BE10DB">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2047D768" w14:textId="23ABE3B1" w:rsidR="0030435F" w:rsidRPr="0026420A" w:rsidRDefault="00304F91" w:rsidP="006455C9">
            <w:pPr>
              <w:ind w:firstLine="0"/>
            </w:pPr>
            <w:r w:rsidRPr="0026420A">
              <w:rPr>
                <w:b/>
                <w:bCs/>
              </w:rPr>
              <w:t>La articolele 4–8</w:t>
            </w:r>
            <w:r w:rsidRPr="0026420A">
              <w:t>, se recomandă completarea mecanismului de notificare cu informarea autorităților relevante în materie AML/CFT și aplicare a legii, în cazul în care, în procesul examinării notificării, autoritatea competentă identifică riscuri relevante de spălare a banilor, finanțare a terorismului, fraudă, criminalitate organizată sau criminalitate informatică, aceasta informează, după caz, Serviciul Prevenirea și Combaterea Spălării Banilor, Ministerul Afacerilor Interne sau alte</w:t>
            </w:r>
            <w:r w:rsidR="006455C9" w:rsidRPr="0026420A">
              <w:t xml:space="preserve"> </w:t>
            </w:r>
            <w:r w:rsidRPr="0026420A">
              <w:t>autorități competente, cu respectarea cadrului normativ privind protecția datelor cu caracter personal.</w:t>
            </w:r>
          </w:p>
        </w:tc>
        <w:tc>
          <w:tcPr>
            <w:tcW w:w="5281" w:type="dxa"/>
            <w:tcMar>
              <w:top w:w="0" w:type="dxa"/>
              <w:left w:w="108" w:type="dxa"/>
              <w:bottom w:w="0" w:type="dxa"/>
              <w:right w:w="108" w:type="dxa"/>
            </w:tcMar>
          </w:tcPr>
          <w:p w14:paraId="44304AEF" w14:textId="77777777" w:rsidR="00473A1F" w:rsidRPr="0026420A" w:rsidRDefault="00473A1F" w:rsidP="00473A1F">
            <w:pPr>
              <w:ind w:firstLine="0"/>
            </w:pPr>
            <w:r w:rsidRPr="0026420A">
              <w:rPr>
                <w:b/>
                <w:bCs/>
              </w:rPr>
              <w:t xml:space="preserve">Nu se acceptă. </w:t>
            </w:r>
          </w:p>
          <w:p w14:paraId="3C3ACF75" w14:textId="6A3E8F69" w:rsidR="000436FB" w:rsidRPr="0026420A" w:rsidRDefault="003F20C7" w:rsidP="00DB418A">
            <w:pPr>
              <w:ind w:firstLine="0"/>
            </w:pPr>
            <w:r w:rsidRPr="0026420A">
              <w:t xml:space="preserve">Proiectul de lege privind piața </w:t>
            </w:r>
            <w:proofErr w:type="spellStart"/>
            <w:r w:rsidRPr="0026420A">
              <w:t>criptoactivelor</w:t>
            </w:r>
            <w:proofErr w:type="spellEnd"/>
            <w:r w:rsidRPr="0026420A">
              <w:t xml:space="preserve"> instituie un cadru normativ având ca obiect reglementarea și supravegherea pieței </w:t>
            </w:r>
            <w:proofErr w:type="spellStart"/>
            <w:r w:rsidRPr="0026420A">
              <w:t>criptoactivelor</w:t>
            </w:r>
            <w:proofErr w:type="spellEnd"/>
            <w:r w:rsidRPr="0026420A">
              <w:t xml:space="preserve">, inclusiv prin cerințe prudențiale, iar prevenirea și combaterea utilizării </w:t>
            </w:r>
            <w:proofErr w:type="spellStart"/>
            <w:r w:rsidRPr="0026420A">
              <w:t>criptoactivelor</w:t>
            </w:r>
            <w:proofErr w:type="spellEnd"/>
            <w:r w:rsidRPr="0026420A">
              <w:t xml:space="preserve"> în scopuri infracționale se circumscriu legislației speciale în domeniul AML/CFT, legislației penale și mecanismelor de securitate publică, la atingerea obiectivelor cărora proiectul contribuie doar în mod indirect.</w:t>
            </w:r>
          </w:p>
          <w:p w14:paraId="7F1F7809" w14:textId="2B073544" w:rsidR="009F6EEB" w:rsidRPr="0026420A" w:rsidRDefault="00DB418A" w:rsidP="00A71C54">
            <w:pPr>
              <w:ind w:firstLine="0"/>
            </w:pPr>
            <w:r w:rsidRPr="0026420A">
              <w:t xml:space="preserve">Totodată, identificarea riscurilor relevante de spălare a banilor, finanțare a terorismului, fraudă, criminalitate organizată sau criminalitate informatică </w:t>
            </w:r>
            <w:r w:rsidR="00257A6E" w:rsidRPr="0026420A">
              <w:t>n</w:t>
            </w:r>
            <w:r w:rsidR="009F6EEB" w:rsidRPr="0026420A">
              <w:t xml:space="preserve">u </w:t>
            </w:r>
            <w:r w:rsidR="00257A6E" w:rsidRPr="0026420A">
              <w:t>ț</w:t>
            </w:r>
            <w:r w:rsidR="009F6EEB" w:rsidRPr="0026420A">
              <w:t>ine de competen</w:t>
            </w:r>
            <w:r w:rsidR="00257A6E" w:rsidRPr="0026420A">
              <w:t>ț</w:t>
            </w:r>
            <w:r w:rsidR="009F6EEB" w:rsidRPr="0026420A">
              <w:t xml:space="preserve">a </w:t>
            </w:r>
            <w:r w:rsidRPr="0026420A">
              <w:t>autorităților</w:t>
            </w:r>
            <w:r w:rsidR="009F6EEB" w:rsidRPr="0026420A">
              <w:t xml:space="preserve"> competente</w:t>
            </w:r>
            <w:r w:rsidR="00257A6E" w:rsidRPr="0026420A">
              <w:t xml:space="preserve"> – BNM și CNPF</w:t>
            </w:r>
            <w:r w:rsidR="009F6EEB" w:rsidRPr="0026420A">
              <w:t>.</w:t>
            </w:r>
          </w:p>
        </w:tc>
      </w:tr>
      <w:tr w:rsidR="0030435F" w:rsidRPr="0026420A" w14:paraId="0F0AC67B" w14:textId="77777777" w:rsidTr="001F4857">
        <w:trPr>
          <w:trHeight w:val="300"/>
        </w:trPr>
        <w:tc>
          <w:tcPr>
            <w:tcW w:w="2206" w:type="dxa"/>
            <w:vMerge/>
            <w:tcMar>
              <w:top w:w="0" w:type="dxa"/>
              <w:left w:w="108" w:type="dxa"/>
              <w:bottom w:w="0" w:type="dxa"/>
              <w:right w:w="108" w:type="dxa"/>
            </w:tcMar>
          </w:tcPr>
          <w:p w14:paraId="5D9B9212" w14:textId="69B32C76" w:rsidR="0030435F" w:rsidRPr="0026420A" w:rsidRDefault="0030435F" w:rsidP="00A71C54">
            <w:pPr>
              <w:ind w:firstLine="0"/>
            </w:pPr>
          </w:p>
        </w:tc>
        <w:tc>
          <w:tcPr>
            <w:tcW w:w="579" w:type="dxa"/>
            <w:tcMar>
              <w:top w:w="0" w:type="dxa"/>
              <w:left w:w="108" w:type="dxa"/>
              <w:bottom w:w="0" w:type="dxa"/>
              <w:right w:w="108" w:type="dxa"/>
            </w:tcMar>
          </w:tcPr>
          <w:p w14:paraId="40578270" w14:textId="45897C28" w:rsidR="0030435F" w:rsidRPr="0026420A" w:rsidRDefault="0030435F" w:rsidP="00BE10DB">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73F72858" w14:textId="4026A7D7" w:rsidR="00304F91" w:rsidRPr="0026420A" w:rsidRDefault="00304F91" w:rsidP="00304F91">
            <w:pPr>
              <w:ind w:firstLine="0"/>
            </w:pPr>
            <w:r w:rsidRPr="0026420A">
              <w:rPr>
                <w:b/>
                <w:bCs/>
              </w:rPr>
              <w:t>La articolul 6</w:t>
            </w:r>
            <w:r w:rsidRPr="0026420A">
              <w:t>, privind conținutul cărții albe, se propune completarea cu o cerință suplimentară:</w:t>
            </w:r>
          </w:p>
          <w:p w14:paraId="6BD3BB17" w14:textId="77777777" w:rsidR="00304F91" w:rsidRPr="0026420A" w:rsidRDefault="00304F91" w:rsidP="00304F91">
            <w:pPr>
              <w:ind w:firstLine="0"/>
              <w:rPr>
                <w:i/>
                <w:iCs/>
              </w:rPr>
            </w:pPr>
            <w:r w:rsidRPr="0026420A">
              <w:t>„</w:t>
            </w:r>
            <w:r w:rsidRPr="0026420A">
              <w:rPr>
                <w:i/>
                <w:iCs/>
              </w:rPr>
              <w:t xml:space="preserve">Cartea albă pentru </w:t>
            </w:r>
            <w:proofErr w:type="spellStart"/>
            <w:r w:rsidRPr="0026420A">
              <w:rPr>
                <w:i/>
                <w:iCs/>
              </w:rPr>
              <w:t>criptoactive</w:t>
            </w:r>
            <w:proofErr w:type="spellEnd"/>
            <w:r w:rsidRPr="0026420A">
              <w:rPr>
                <w:i/>
                <w:iCs/>
              </w:rPr>
              <w:t xml:space="preserve"> va include, după caz, informații privind</w:t>
            </w:r>
          </w:p>
          <w:p w14:paraId="044222F3" w14:textId="77777777" w:rsidR="0030435F" w:rsidRPr="0026420A" w:rsidRDefault="00304F91" w:rsidP="00304F91">
            <w:pPr>
              <w:ind w:firstLine="0"/>
            </w:pPr>
            <w:r w:rsidRPr="0026420A">
              <w:rPr>
                <w:i/>
                <w:iCs/>
              </w:rPr>
              <w:t xml:space="preserve">măsurile implementate pentru prevenirea utilizării </w:t>
            </w:r>
            <w:proofErr w:type="spellStart"/>
            <w:r w:rsidRPr="0026420A">
              <w:rPr>
                <w:i/>
                <w:iCs/>
              </w:rPr>
              <w:t>criptoactivului</w:t>
            </w:r>
            <w:proofErr w:type="spellEnd"/>
            <w:r w:rsidRPr="0026420A">
              <w:rPr>
                <w:i/>
                <w:iCs/>
              </w:rPr>
              <w:t xml:space="preserve"> în scopuri ilicite, inclusiv riscurile aferente anonimizării tranzacțiilor, transferurilor transfrontaliere și utilizării </w:t>
            </w:r>
            <w:proofErr w:type="spellStart"/>
            <w:r w:rsidRPr="0026420A">
              <w:rPr>
                <w:i/>
                <w:iCs/>
              </w:rPr>
              <w:t>criptoactivului</w:t>
            </w:r>
            <w:proofErr w:type="spellEnd"/>
            <w:r w:rsidRPr="0026420A">
              <w:rPr>
                <w:i/>
                <w:iCs/>
              </w:rPr>
              <w:t xml:space="preserve"> în scheme de fraudă, spălare a banilor sau finanțare a terorismului.</w:t>
            </w:r>
            <w:r w:rsidRPr="0026420A">
              <w:t>”.</w:t>
            </w:r>
          </w:p>
          <w:p w14:paraId="5E456D3D" w14:textId="6ABFE400" w:rsidR="00304F91" w:rsidRPr="0026420A" w:rsidRDefault="00304F91" w:rsidP="00304F91">
            <w:pPr>
              <w:ind w:firstLine="0"/>
            </w:pPr>
            <w:r w:rsidRPr="0026420A">
              <w:lastRenderedPageBreak/>
              <w:t xml:space="preserve">Astfel, Cartea albă pentru </w:t>
            </w:r>
            <w:proofErr w:type="spellStart"/>
            <w:r w:rsidRPr="0026420A">
              <w:t>criptoactive</w:t>
            </w:r>
            <w:proofErr w:type="spellEnd"/>
            <w:r w:rsidRPr="0026420A">
              <w:t xml:space="preserve"> va asigura transparența inclusiv în ceea ce privește riscurile de utilizare ilicită, contribuind la prevenirea și combaterea criminalității asociate acestui domeniu.</w:t>
            </w:r>
          </w:p>
        </w:tc>
        <w:tc>
          <w:tcPr>
            <w:tcW w:w="5281" w:type="dxa"/>
            <w:tcMar>
              <w:top w:w="0" w:type="dxa"/>
              <w:left w:w="108" w:type="dxa"/>
              <w:bottom w:w="0" w:type="dxa"/>
              <w:right w:w="108" w:type="dxa"/>
            </w:tcMar>
          </w:tcPr>
          <w:p w14:paraId="3CB267F1" w14:textId="77777777" w:rsidR="00A67932" w:rsidRPr="0026420A" w:rsidRDefault="00A67932" w:rsidP="00A67932">
            <w:pPr>
              <w:ind w:firstLine="0"/>
            </w:pPr>
            <w:r w:rsidRPr="0026420A">
              <w:rPr>
                <w:b/>
                <w:bCs/>
              </w:rPr>
              <w:lastRenderedPageBreak/>
              <w:t xml:space="preserve">Nu se acceptă. </w:t>
            </w:r>
          </w:p>
          <w:p w14:paraId="05551480" w14:textId="77777777" w:rsidR="003F20C7" w:rsidRPr="0026420A" w:rsidRDefault="003F20C7" w:rsidP="003F20C7">
            <w:pPr>
              <w:ind w:firstLine="0"/>
            </w:pPr>
            <w:r w:rsidRPr="0026420A">
              <w:t xml:space="preserve">Proiectul de lege privind piața </w:t>
            </w:r>
            <w:proofErr w:type="spellStart"/>
            <w:r w:rsidRPr="0026420A">
              <w:t>criptoactivelor</w:t>
            </w:r>
            <w:proofErr w:type="spellEnd"/>
            <w:r w:rsidRPr="0026420A">
              <w:t xml:space="preserve"> instituie un cadru normativ având ca obiect reglementarea și supravegherea pieței </w:t>
            </w:r>
            <w:proofErr w:type="spellStart"/>
            <w:r w:rsidRPr="0026420A">
              <w:t>criptoactivelor</w:t>
            </w:r>
            <w:proofErr w:type="spellEnd"/>
            <w:r w:rsidRPr="0026420A">
              <w:t xml:space="preserve">, inclusiv prin cerințe prudențiale, iar prevenirea și combaterea utilizării </w:t>
            </w:r>
            <w:proofErr w:type="spellStart"/>
            <w:r w:rsidRPr="0026420A">
              <w:t>criptoactivelor</w:t>
            </w:r>
            <w:proofErr w:type="spellEnd"/>
            <w:r w:rsidRPr="0026420A">
              <w:t xml:space="preserve"> în scopuri infracționale se circumscriu legislației speciale în domeniul AML/CFT, legislației penale și mecanismelor de securitate publică, la atingerea obiectivelor cărora proiectul contribuie doar în mod indirect.</w:t>
            </w:r>
          </w:p>
          <w:p w14:paraId="1A78500E" w14:textId="74606448" w:rsidR="0030435F" w:rsidRPr="0026420A" w:rsidRDefault="003F20C7" w:rsidP="00A71C54">
            <w:pPr>
              <w:ind w:firstLine="0"/>
            </w:pPr>
            <w:r w:rsidRPr="0026420A">
              <w:lastRenderedPageBreak/>
              <w:t xml:space="preserve">Cerințele privind conținutul cărții albe pentru </w:t>
            </w:r>
            <w:proofErr w:type="spellStart"/>
            <w:r w:rsidRPr="0026420A">
              <w:t>criptoactive</w:t>
            </w:r>
            <w:proofErr w:type="spellEnd"/>
            <w:r w:rsidRPr="0026420A">
              <w:t xml:space="preserve"> trebuie să rămână aliniate prevederilor </w:t>
            </w:r>
            <w:proofErr w:type="spellStart"/>
            <w:r w:rsidRPr="0026420A">
              <w:t>MiCA</w:t>
            </w:r>
            <w:proofErr w:type="spellEnd"/>
            <w:r w:rsidRPr="0026420A">
              <w:t xml:space="preserve">, care au ca obiect informarea deținătorilor cu privire la ofertant, emitent, proiectul de </w:t>
            </w:r>
            <w:proofErr w:type="spellStart"/>
            <w:r w:rsidRPr="0026420A">
              <w:t>criptoactive</w:t>
            </w:r>
            <w:proofErr w:type="spellEnd"/>
            <w:r w:rsidRPr="0026420A">
              <w:t xml:space="preserve">, caracteristicile </w:t>
            </w:r>
            <w:proofErr w:type="spellStart"/>
            <w:r w:rsidRPr="0026420A">
              <w:t>criptoactivului</w:t>
            </w:r>
            <w:proofErr w:type="spellEnd"/>
            <w:r w:rsidRPr="0026420A">
              <w:t xml:space="preserve">, drepturile și riscurile aferente, iar includerea informațiilor privind măsurile de prevenire a utilizării </w:t>
            </w:r>
            <w:proofErr w:type="spellStart"/>
            <w:r w:rsidRPr="0026420A">
              <w:t>criptoactivelor</w:t>
            </w:r>
            <w:proofErr w:type="spellEnd"/>
            <w:r w:rsidRPr="0026420A">
              <w:t xml:space="preserve"> în scopuri ilicite ar extinde nejustificat scopul cărții albe, inclusiv ar putea impune obligații care ar dubla cerințele reglementate de legislația specială în domeniul AML/CFT.</w:t>
            </w:r>
          </w:p>
        </w:tc>
      </w:tr>
      <w:tr w:rsidR="0030435F" w:rsidRPr="0026420A" w14:paraId="4BB05081" w14:textId="77777777" w:rsidTr="001F4857">
        <w:trPr>
          <w:trHeight w:val="300"/>
        </w:trPr>
        <w:tc>
          <w:tcPr>
            <w:tcW w:w="2206" w:type="dxa"/>
            <w:vMerge/>
            <w:tcMar>
              <w:top w:w="0" w:type="dxa"/>
              <w:left w:w="108" w:type="dxa"/>
              <w:bottom w:w="0" w:type="dxa"/>
              <w:right w:w="108" w:type="dxa"/>
            </w:tcMar>
          </w:tcPr>
          <w:p w14:paraId="1F8C9DA6" w14:textId="1C710691" w:rsidR="0030435F" w:rsidRPr="0026420A" w:rsidRDefault="0030435F" w:rsidP="00A71C54">
            <w:pPr>
              <w:ind w:firstLine="0"/>
            </w:pPr>
          </w:p>
        </w:tc>
        <w:tc>
          <w:tcPr>
            <w:tcW w:w="579" w:type="dxa"/>
            <w:tcMar>
              <w:top w:w="0" w:type="dxa"/>
              <w:left w:w="108" w:type="dxa"/>
              <w:bottom w:w="0" w:type="dxa"/>
              <w:right w:w="108" w:type="dxa"/>
            </w:tcMar>
          </w:tcPr>
          <w:p w14:paraId="332D5B9A" w14:textId="367C3CCE" w:rsidR="0030435F" w:rsidRPr="0026420A" w:rsidRDefault="0030435F" w:rsidP="00BE10DB">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3678AE3D" w14:textId="1F407ED8" w:rsidR="00304F91" w:rsidRPr="0026420A" w:rsidRDefault="00304F91" w:rsidP="00304F91">
            <w:pPr>
              <w:ind w:firstLine="0"/>
            </w:pPr>
            <w:r w:rsidRPr="0026420A">
              <w:rPr>
                <w:b/>
                <w:bCs/>
              </w:rPr>
              <w:t>La articolul 14</w:t>
            </w:r>
            <w:r w:rsidRPr="0026420A">
              <w:t>, privind obligațiile ofertanților și persoanelor care solicită admiterea la tranzacționare, se propune completarea cu o literă nouă:</w:t>
            </w:r>
          </w:p>
          <w:p w14:paraId="7971EA18" w14:textId="72CB0B5D" w:rsidR="00304F91" w:rsidRPr="0026420A" w:rsidRDefault="00304F91" w:rsidP="00304F91">
            <w:pPr>
              <w:ind w:firstLine="0"/>
              <w:rPr>
                <w:i/>
                <w:iCs/>
              </w:rPr>
            </w:pPr>
            <w:r w:rsidRPr="0026420A">
              <w:rPr>
                <w:i/>
                <w:iCs/>
              </w:rPr>
              <w:t xml:space="preserve">„e) să instituie mecanisme interne de identificare, evaluare și diminuare a riscurilor de utilizare a </w:t>
            </w:r>
            <w:proofErr w:type="spellStart"/>
            <w:r w:rsidRPr="0026420A">
              <w:rPr>
                <w:i/>
                <w:iCs/>
              </w:rPr>
              <w:t>criptoactivelor</w:t>
            </w:r>
            <w:proofErr w:type="spellEnd"/>
            <w:r w:rsidRPr="0026420A">
              <w:rPr>
                <w:i/>
                <w:iCs/>
              </w:rPr>
              <w:t xml:space="preserve"> în scopuri ilicite, inclusiv prin aplicarea măsurilor de cunoaștere a clientelei, monitorizare a tranzacțiilor și raportare a activităților suspecte, în conformitate cu legislația privind prevenirea și combaterea spălării banilor și finanțării terorismului.”.</w:t>
            </w:r>
          </w:p>
          <w:p w14:paraId="47B7E42B" w14:textId="6CA946FF" w:rsidR="0030435F" w:rsidRPr="0026420A" w:rsidRDefault="00304F91" w:rsidP="00304F91">
            <w:pPr>
              <w:ind w:firstLine="0"/>
            </w:pPr>
            <w:r w:rsidRPr="0026420A">
              <w:t xml:space="preserve">Completarea este necesară pentru a asigura corelarea efectivă a proiectului de lege cu prevederile Legii nr. 308/2017 privind prevenirea și combaterea spălării banilor și finanțării terorismului, prin integrarea specifică a principiilor și mecanismelor AML/CFT în obligațiile operatorilor din piața </w:t>
            </w:r>
            <w:proofErr w:type="spellStart"/>
            <w:r w:rsidRPr="0026420A">
              <w:t>criptoactivelor</w:t>
            </w:r>
            <w:proofErr w:type="spellEnd"/>
            <w:r w:rsidRPr="0026420A">
              <w:t>, inclusiv prin aplicarea măsurilor de cunoaștere a clientelei, monitorizarea tranzacțiilor și raportarea activităților suspecte.</w:t>
            </w:r>
          </w:p>
        </w:tc>
        <w:tc>
          <w:tcPr>
            <w:tcW w:w="5281" w:type="dxa"/>
            <w:tcMar>
              <w:top w:w="0" w:type="dxa"/>
              <w:left w:w="108" w:type="dxa"/>
              <w:bottom w:w="0" w:type="dxa"/>
              <w:right w:w="108" w:type="dxa"/>
            </w:tcMar>
          </w:tcPr>
          <w:p w14:paraId="2F30D515" w14:textId="77777777" w:rsidR="00C20B30" w:rsidRPr="0026420A" w:rsidRDefault="00C20B30" w:rsidP="00C20B30">
            <w:pPr>
              <w:ind w:firstLine="0"/>
            </w:pPr>
            <w:r w:rsidRPr="0026420A">
              <w:rPr>
                <w:b/>
                <w:bCs/>
              </w:rPr>
              <w:t xml:space="preserve">Nu se acceptă. </w:t>
            </w:r>
          </w:p>
          <w:p w14:paraId="7F6B5E71" w14:textId="77777777" w:rsidR="00C20B30" w:rsidRPr="0026420A" w:rsidRDefault="00C20B30" w:rsidP="00C20B30">
            <w:pPr>
              <w:ind w:firstLine="0"/>
            </w:pPr>
            <w:r w:rsidRPr="0026420A">
              <w:t xml:space="preserve">Proiectul de lege privind piața </w:t>
            </w:r>
            <w:proofErr w:type="spellStart"/>
            <w:r w:rsidRPr="0026420A">
              <w:t>criptoactivelor</w:t>
            </w:r>
            <w:proofErr w:type="spellEnd"/>
            <w:r w:rsidRPr="0026420A">
              <w:t xml:space="preserve"> instituie un cadru normativ având ca obiect reglementarea și supravegherea pieței </w:t>
            </w:r>
            <w:proofErr w:type="spellStart"/>
            <w:r w:rsidRPr="0026420A">
              <w:t>criptoactivelor</w:t>
            </w:r>
            <w:proofErr w:type="spellEnd"/>
            <w:r w:rsidRPr="0026420A">
              <w:t xml:space="preserve">, inclusiv prin cerințe prudențiale, iar prevenirea și combaterea utilizării </w:t>
            </w:r>
            <w:proofErr w:type="spellStart"/>
            <w:r w:rsidRPr="0026420A">
              <w:t>criptoactivelor</w:t>
            </w:r>
            <w:proofErr w:type="spellEnd"/>
            <w:r w:rsidRPr="0026420A">
              <w:t xml:space="preserve"> în scopuri infracționale se circumscriu legislației speciale în domeniul AML/CFT, legislației penale și mecanismelor de securitate publică, la atingerea obiectivelor cărora proiectul contribuie doar în mod indirect.</w:t>
            </w:r>
          </w:p>
          <w:p w14:paraId="46E519EE" w14:textId="64535A6D" w:rsidR="009F6EEB" w:rsidRPr="0026420A" w:rsidRDefault="00735E09" w:rsidP="00A71C54">
            <w:pPr>
              <w:ind w:firstLine="0"/>
            </w:pPr>
            <w:r w:rsidRPr="0026420A">
              <w:t xml:space="preserve">Propunerile de completare extind nejustificat obiectul obligațiilor stabilite de </w:t>
            </w:r>
            <w:proofErr w:type="spellStart"/>
            <w:r w:rsidRPr="0026420A">
              <w:t>MiCA</w:t>
            </w:r>
            <w:proofErr w:type="spellEnd"/>
            <w:r w:rsidRPr="0026420A">
              <w:t xml:space="preserve"> pentru ofertanții de </w:t>
            </w:r>
            <w:proofErr w:type="spellStart"/>
            <w:r w:rsidRPr="0026420A">
              <w:t>criptoactive</w:t>
            </w:r>
            <w:proofErr w:type="spellEnd"/>
            <w:r w:rsidRPr="0026420A">
              <w:t xml:space="preserve"> și persoanele care solicită admiterea la tranzacționare și ar putea conduce la instituirea unor obligații care dublează cerințele reglementate de legislația specială în domeniul AML/CFT.</w:t>
            </w:r>
          </w:p>
        </w:tc>
      </w:tr>
      <w:tr w:rsidR="0030435F" w:rsidRPr="0026420A" w14:paraId="68C395B0" w14:textId="77777777" w:rsidTr="001F4857">
        <w:trPr>
          <w:trHeight w:val="300"/>
        </w:trPr>
        <w:tc>
          <w:tcPr>
            <w:tcW w:w="2206" w:type="dxa"/>
            <w:vMerge/>
            <w:tcMar>
              <w:top w:w="0" w:type="dxa"/>
              <w:left w:w="108" w:type="dxa"/>
              <w:bottom w:w="0" w:type="dxa"/>
              <w:right w:w="108" w:type="dxa"/>
            </w:tcMar>
          </w:tcPr>
          <w:p w14:paraId="6051516C" w14:textId="5F3A60AF" w:rsidR="0030435F" w:rsidRPr="0026420A" w:rsidRDefault="0030435F" w:rsidP="00A71C54">
            <w:pPr>
              <w:ind w:firstLine="0"/>
            </w:pPr>
          </w:p>
        </w:tc>
        <w:tc>
          <w:tcPr>
            <w:tcW w:w="579" w:type="dxa"/>
            <w:tcMar>
              <w:top w:w="0" w:type="dxa"/>
              <w:left w:w="108" w:type="dxa"/>
              <w:bottom w:w="0" w:type="dxa"/>
              <w:right w:w="108" w:type="dxa"/>
            </w:tcMar>
          </w:tcPr>
          <w:p w14:paraId="24361669" w14:textId="58EBB867" w:rsidR="0030435F" w:rsidRPr="0026420A" w:rsidRDefault="0030435F" w:rsidP="00BE10DB">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7884DAA7" w14:textId="77777777" w:rsidR="00304F91" w:rsidRPr="0026420A" w:rsidRDefault="00304F91" w:rsidP="00304F91">
            <w:pPr>
              <w:ind w:firstLine="0"/>
            </w:pPr>
            <w:r w:rsidRPr="0026420A">
              <w:rPr>
                <w:b/>
                <w:bCs/>
              </w:rPr>
              <w:t>La articolul 85</w:t>
            </w:r>
            <w:r w:rsidRPr="0026420A">
              <w:t>, privind autoritățile competente, proiectul stabilește că</w:t>
            </w:r>
          </w:p>
          <w:p w14:paraId="645D5066" w14:textId="475C26AF" w:rsidR="00304F91" w:rsidRPr="0026420A" w:rsidRDefault="00304F91" w:rsidP="00304F91">
            <w:pPr>
              <w:ind w:firstLine="0"/>
            </w:pPr>
            <w:r w:rsidRPr="0026420A">
              <w:t>autoritățile responsabile de reglementare, autorizare și supraveghere sunt Comisia Națională și Banca Națională a Moldovei . Din perspectiva MAI, se recomandă completarea articolului cu un alineat nou:</w:t>
            </w:r>
          </w:p>
          <w:p w14:paraId="6AE254C2" w14:textId="77777777" w:rsidR="00304F91" w:rsidRPr="0026420A" w:rsidRDefault="00304F91" w:rsidP="00304F91">
            <w:pPr>
              <w:ind w:firstLine="0"/>
              <w:rPr>
                <w:i/>
                <w:iCs/>
              </w:rPr>
            </w:pPr>
            <w:r w:rsidRPr="0026420A">
              <w:t>„</w:t>
            </w:r>
            <w:r w:rsidRPr="0026420A">
              <w:rPr>
                <w:i/>
                <w:iCs/>
              </w:rPr>
              <w:t>Autoritățile competente cooperează cu Ministerul Afacerilor Interne,</w:t>
            </w:r>
          </w:p>
          <w:p w14:paraId="3D231539" w14:textId="1B0876E9" w:rsidR="00304F91" w:rsidRPr="0026420A" w:rsidRDefault="00304F91" w:rsidP="00304F91">
            <w:pPr>
              <w:ind w:firstLine="0"/>
              <w:rPr>
                <w:i/>
                <w:iCs/>
              </w:rPr>
            </w:pPr>
            <w:r w:rsidRPr="0026420A">
              <w:rPr>
                <w:i/>
                <w:iCs/>
              </w:rPr>
              <w:t xml:space="preserve">Serviciul Prevenirea și Combaterea Spălării Banilor, Procuratura Generală, Serviciul Fiscal de Stat, Serviciul Vamal și alte autorități publice relevante, în vederea prevenirii, identificării și combaterii utilizării </w:t>
            </w:r>
            <w:proofErr w:type="spellStart"/>
            <w:r w:rsidRPr="0026420A">
              <w:rPr>
                <w:i/>
                <w:iCs/>
              </w:rPr>
              <w:t>criptoactivelor</w:t>
            </w:r>
            <w:proofErr w:type="spellEnd"/>
            <w:r w:rsidRPr="0026420A">
              <w:rPr>
                <w:i/>
                <w:iCs/>
              </w:rPr>
              <w:t xml:space="preserve"> în activități ilicite</w:t>
            </w:r>
            <w:r w:rsidRPr="0026420A">
              <w:t>.”.</w:t>
            </w:r>
          </w:p>
          <w:p w14:paraId="48E32C22" w14:textId="70A3A13C" w:rsidR="0030435F" w:rsidRPr="0026420A" w:rsidRDefault="00304F91" w:rsidP="00304F91">
            <w:pPr>
              <w:ind w:firstLine="0"/>
            </w:pPr>
            <w:r w:rsidRPr="0026420A">
              <w:t xml:space="preserve">Comisia Națională a Pieței Financiare și Banca Națională a Moldovei urmează să își mențină rolul de autorități de reglementare și supraveghere, însă legea trebuie să prevadă expres mecanisme de cooperare cu organele de aplicare a legii, în vederea prevenirii, identificării și combaterii utilizării </w:t>
            </w:r>
            <w:proofErr w:type="spellStart"/>
            <w:r w:rsidRPr="0026420A">
              <w:t>criptoactivelor</w:t>
            </w:r>
            <w:proofErr w:type="spellEnd"/>
            <w:r w:rsidRPr="0026420A">
              <w:t xml:space="preserve"> în activități ilicite.</w:t>
            </w:r>
          </w:p>
        </w:tc>
        <w:tc>
          <w:tcPr>
            <w:tcW w:w="5281" w:type="dxa"/>
            <w:tcMar>
              <w:top w:w="0" w:type="dxa"/>
              <w:left w:w="108" w:type="dxa"/>
              <w:bottom w:w="0" w:type="dxa"/>
              <w:right w:w="108" w:type="dxa"/>
            </w:tcMar>
          </w:tcPr>
          <w:p w14:paraId="632D5E73" w14:textId="6C0C8FD5" w:rsidR="00EB1B4B" w:rsidRPr="0026420A" w:rsidRDefault="00EB1B4B" w:rsidP="00A71C54">
            <w:pPr>
              <w:ind w:firstLine="0"/>
            </w:pPr>
            <w:r w:rsidRPr="0026420A">
              <w:rPr>
                <w:b/>
                <w:bCs/>
              </w:rPr>
              <w:t xml:space="preserve">Nu se acceptă. </w:t>
            </w:r>
          </w:p>
          <w:p w14:paraId="7FA1294C" w14:textId="0F9A888F" w:rsidR="0030435F" w:rsidRPr="0026420A" w:rsidRDefault="002010F1" w:rsidP="00A71C54">
            <w:pPr>
              <w:ind w:firstLine="0"/>
            </w:pPr>
            <w:r w:rsidRPr="0026420A">
              <w:t xml:space="preserve">Prevederile propuse cu referire la cooperarea interinstituțională sunt deja cuprinse în textul proiectului de lege, și anume la art. 87 din proiectul Legii privind piața </w:t>
            </w:r>
            <w:proofErr w:type="spellStart"/>
            <w:r w:rsidRPr="0026420A">
              <w:t>criptoactivelor</w:t>
            </w:r>
            <w:proofErr w:type="spellEnd"/>
            <w:r w:rsidRPr="0026420A">
              <w:t>.</w:t>
            </w:r>
          </w:p>
        </w:tc>
      </w:tr>
      <w:tr w:rsidR="00691820" w:rsidRPr="0026420A" w14:paraId="64FE0A9B" w14:textId="77777777" w:rsidTr="001F4857">
        <w:trPr>
          <w:trHeight w:val="300"/>
        </w:trPr>
        <w:tc>
          <w:tcPr>
            <w:tcW w:w="2206" w:type="dxa"/>
            <w:vMerge/>
            <w:tcMar>
              <w:top w:w="0" w:type="dxa"/>
              <w:left w:w="108" w:type="dxa"/>
              <w:bottom w:w="0" w:type="dxa"/>
              <w:right w:w="108" w:type="dxa"/>
            </w:tcMar>
          </w:tcPr>
          <w:p w14:paraId="088504BD" w14:textId="1BBFA8F0" w:rsidR="00691820" w:rsidRPr="0026420A" w:rsidRDefault="00691820" w:rsidP="00691820">
            <w:pPr>
              <w:ind w:firstLine="0"/>
            </w:pPr>
          </w:p>
        </w:tc>
        <w:tc>
          <w:tcPr>
            <w:tcW w:w="579" w:type="dxa"/>
            <w:tcMar>
              <w:top w:w="0" w:type="dxa"/>
              <w:left w:w="108" w:type="dxa"/>
              <w:bottom w:w="0" w:type="dxa"/>
              <w:right w:w="108" w:type="dxa"/>
            </w:tcMar>
          </w:tcPr>
          <w:p w14:paraId="6A1C44ED" w14:textId="0C7A0EC3" w:rsidR="00691820" w:rsidRPr="0026420A" w:rsidRDefault="00691820" w:rsidP="0069182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33634D72" w14:textId="77777777" w:rsidR="00691820" w:rsidRPr="0026420A" w:rsidRDefault="00691820" w:rsidP="00691820">
            <w:pPr>
              <w:ind w:firstLine="0"/>
            </w:pPr>
            <w:r w:rsidRPr="0026420A">
              <w:t xml:space="preserve">După </w:t>
            </w:r>
            <w:r w:rsidRPr="0026420A">
              <w:rPr>
                <w:b/>
                <w:bCs/>
              </w:rPr>
              <w:t>articolul 85</w:t>
            </w:r>
            <w:r w:rsidRPr="0026420A">
              <w:t>, se propune introducerea unui articol nou:</w:t>
            </w:r>
          </w:p>
          <w:p w14:paraId="039EE389" w14:textId="77777777" w:rsidR="00691820" w:rsidRPr="0026420A" w:rsidRDefault="00691820" w:rsidP="00691820">
            <w:pPr>
              <w:ind w:firstLine="0"/>
              <w:rPr>
                <w:i/>
                <w:iCs/>
              </w:rPr>
            </w:pPr>
            <w:r w:rsidRPr="0026420A">
              <w:rPr>
                <w:i/>
                <w:iCs/>
              </w:rPr>
              <w:lastRenderedPageBreak/>
              <w:t>„Articolul 85¹. Cooperarea cu autoritățile de aplicare a legii</w:t>
            </w:r>
          </w:p>
          <w:p w14:paraId="77C40A49" w14:textId="71B8B058" w:rsidR="00691820" w:rsidRPr="0026420A" w:rsidRDefault="00691820" w:rsidP="00691820">
            <w:pPr>
              <w:ind w:firstLine="0"/>
              <w:rPr>
                <w:i/>
                <w:iCs/>
              </w:rPr>
            </w:pPr>
            <w:r w:rsidRPr="0026420A">
              <w:rPr>
                <w:i/>
                <w:iCs/>
              </w:rPr>
              <w:t xml:space="preserve">(1) Furnizorii de servicii de </w:t>
            </w:r>
            <w:proofErr w:type="spellStart"/>
            <w:r w:rsidRPr="0026420A">
              <w:rPr>
                <w:i/>
                <w:iCs/>
              </w:rPr>
              <w:t>criptoactive</w:t>
            </w:r>
            <w:proofErr w:type="spellEnd"/>
            <w:r w:rsidRPr="0026420A">
              <w:rPr>
                <w:i/>
                <w:iCs/>
              </w:rPr>
              <w:t xml:space="preserve"> sunt obligați să coopereze cu organele de urmărire penală și cu alte autorități competente, în condițiile legii, inclusiv prin furnizarea informațiilor necesare identificării clienților, beneficiarilor efectivi, adreselor de </w:t>
            </w:r>
            <w:proofErr w:type="spellStart"/>
            <w:r w:rsidRPr="0026420A">
              <w:rPr>
                <w:i/>
                <w:iCs/>
              </w:rPr>
              <w:t>criptoactive</w:t>
            </w:r>
            <w:proofErr w:type="spellEnd"/>
            <w:r w:rsidRPr="0026420A">
              <w:rPr>
                <w:i/>
                <w:iCs/>
              </w:rPr>
              <w:t>, tranzacțiilor efectuate și mijloacelor de acces aflate în custodie.</w:t>
            </w:r>
          </w:p>
          <w:p w14:paraId="5174690A" w14:textId="40353107" w:rsidR="00691820" w:rsidRPr="0026420A" w:rsidRDefault="00691820" w:rsidP="00691820">
            <w:pPr>
              <w:ind w:firstLine="0"/>
              <w:rPr>
                <w:i/>
                <w:iCs/>
              </w:rPr>
            </w:pPr>
            <w:r w:rsidRPr="0026420A">
              <w:rPr>
                <w:i/>
                <w:iCs/>
              </w:rPr>
              <w:t>(2) Furnizarea informațiilor prevăzute la alin. (1) se realizează în condițiile Codului de procedură penală, ale legislației privind protecția datelor cu caracter personal, precum și ale legislației privind prevenirea și combaterea spălării banilor și finanțării terorismului.</w:t>
            </w:r>
          </w:p>
          <w:p w14:paraId="6AFBBFCB" w14:textId="7D895EB4" w:rsidR="00691820" w:rsidRPr="0026420A" w:rsidRDefault="00691820" w:rsidP="00691820">
            <w:pPr>
              <w:ind w:firstLine="0"/>
            </w:pPr>
            <w:r w:rsidRPr="0026420A">
              <w:rPr>
                <w:i/>
                <w:iCs/>
              </w:rPr>
              <w:t xml:space="preserve">(3) Furnizorii de servicii de </w:t>
            </w:r>
            <w:proofErr w:type="spellStart"/>
            <w:r w:rsidRPr="0026420A">
              <w:rPr>
                <w:i/>
                <w:iCs/>
              </w:rPr>
              <w:t>criptoactive</w:t>
            </w:r>
            <w:proofErr w:type="spellEnd"/>
            <w:r w:rsidRPr="0026420A">
              <w:rPr>
                <w:i/>
                <w:iCs/>
              </w:rPr>
              <w:t xml:space="preserve"> asigură păstrarea datelor relevante pentru identificarea și trasabilitatea tranzacțiilor pe o perioadă stabilită de legislația specială, dar nu mai mică decât termenul prevăzut de legislația privind prevenirea și combaterea spălării banilor și finanțării terorismului.”.</w:t>
            </w:r>
          </w:p>
        </w:tc>
        <w:tc>
          <w:tcPr>
            <w:tcW w:w="5281" w:type="dxa"/>
            <w:tcMar>
              <w:top w:w="0" w:type="dxa"/>
              <w:left w:w="108" w:type="dxa"/>
              <w:bottom w:w="0" w:type="dxa"/>
              <w:right w:w="108" w:type="dxa"/>
            </w:tcMar>
          </w:tcPr>
          <w:p w14:paraId="0EBA6374" w14:textId="77777777" w:rsidR="00691820" w:rsidRPr="0026420A" w:rsidRDefault="00691820" w:rsidP="00691820">
            <w:pPr>
              <w:ind w:firstLine="0"/>
              <w:rPr>
                <w:b/>
                <w:bCs/>
              </w:rPr>
            </w:pPr>
            <w:r w:rsidRPr="0026420A">
              <w:rPr>
                <w:b/>
                <w:bCs/>
              </w:rPr>
              <w:lastRenderedPageBreak/>
              <w:t xml:space="preserve">Nu se acceptă. </w:t>
            </w:r>
          </w:p>
          <w:p w14:paraId="50EFB0EB" w14:textId="136CA120" w:rsidR="001C1F36" w:rsidRPr="0026420A" w:rsidRDefault="005F57A4" w:rsidP="001C1F36">
            <w:pPr>
              <w:ind w:firstLine="0"/>
            </w:pPr>
            <w:r w:rsidRPr="0026420A">
              <w:lastRenderedPageBreak/>
              <w:t xml:space="preserve">Obligațiile furnizorilor de servicii de </w:t>
            </w:r>
            <w:proofErr w:type="spellStart"/>
            <w:r w:rsidRPr="0026420A">
              <w:t>criptoactive</w:t>
            </w:r>
            <w:proofErr w:type="spellEnd"/>
            <w:r w:rsidRPr="0026420A">
              <w:t xml:space="preserve"> de a coopera și de a prezenta informații organelor de urmărire penală și altor autorități competente, precum și condițiile de acces la date, de păstrare a acestora și de protecție a </w:t>
            </w:r>
            <w:r w:rsidR="001C1F36" w:rsidRPr="0026420A">
              <w:t>datelor</w:t>
            </w:r>
            <w:r w:rsidRPr="0026420A">
              <w:t xml:space="preserve"> cu caracter personal, sunt reglementate de Codul de procedură penală, legislația specială în domeniul AML/CFT și alte acte normative aplicabile</w:t>
            </w:r>
            <w:r w:rsidR="001C1F36" w:rsidRPr="0026420A">
              <w:t xml:space="preserve">(Legea nr.320/2012 cu privire la activitatea </w:t>
            </w:r>
            <w:proofErr w:type="spellStart"/>
            <w:r w:rsidR="001C1F36" w:rsidRPr="0026420A">
              <w:t>Poliţiei</w:t>
            </w:r>
            <w:proofErr w:type="spellEnd"/>
            <w:r w:rsidR="001C1F36" w:rsidRPr="0026420A">
              <w:t xml:space="preserve"> </w:t>
            </w:r>
            <w:proofErr w:type="spellStart"/>
            <w:r w:rsidR="001C1F36" w:rsidRPr="0026420A">
              <w:t>şi</w:t>
            </w:r>
            <w:proofErr w:type="spellEnd"/>
            <w:r w:rsidR="001C1F36" w:rsidRPr="0026420A">
              <w:t xml:space="preserve"> statutul </w:t>
            </w:r>
            <w:proofErr w:type="spellStart"/>
            <w:r w:rsidR="001C1F36" w:rsidRPr="0026420A">
              <w:t>poliţistului</w:t>
            </w:r>
            <w:proofErr w:type="spellEnd"/>
            <w:r w:rsidR="001C1F36" w:rsidRPr="0026420A">
              <w:t xml:space="preserve">, Legea nr.333/2006 privind statutul </w:t>
            </w:r>
            <w:proofErr w:type="spellStart"/>
            <w:r w:rsidR="001C1F36" w:rsidRPr="0026420A">
              <w:t>ofiţerului</w:t>
            </w:r>
            <w:proofErr w:type="spellEnd"/>
            <w:r w:rsidR="001C1F36" w:rsidRPr="0026420A">
              <w:t xml:space="preserve"> de urmărire penală, Legea Nr. 59/2012 privind activitatea specială de </w:t>
            </w:r>
            <w:proofErr w:type="spellStart"/>
            <w:r w:rsidR="001C1F36" w:rsidRPr="0026420A">
              <w:t>investigaţii</w:t>
            </w:r>
            <w:proofErr w:type="spellEnd"/>
            <w:r w:rsidR="001C1F36" w:rsidRPr="0026420A">
              <w:t>)</w:t>
            </w:r>
            <w:r w:rsidRPr="0026420A">
              <w:t xml:space="preserve">. </w:t>
            </w:r>
          </w:p>
          <w:p w14:paraId="724EF839" w14:textId="02838389" w:rsidR="00691820" w:rsidRPr="0026420A" w:rsidRDefault="005F57A4" w:rsidP="001C1F36">
            <w:pPr>
              <w:ind w:firstLine="0"/>
            </w:pPr>
            <w:r w:rsidRPr="0026420A">
              <w:t xml:space="preserve">Introducerea unei obligații generale în proiectul de </w:t>
            </w:r>
            <w:r w:rsidR="001C1F36" w:rsidRPr="0026420A">
              <w:t>L</w:t>
            </w:r>
            <w:r w:rsidRPr="0026420A">
              <w:t>ege ar dubla cadrul juridic existent, ar putea genera incertitudini privind temeiul, limitele și procedura furnizării informațiilor, inclusiv în raport cu datele sensibil</w:t>
            </w:r>
            <w:r w:rsidR="001C1F36" w:rsidRPr="0026420A">
              <w:t xml:space="preserve">e deținute (identitatea clienților, a beneficiarilor efectivi, adresele de </w:t>
            </w:r>
            <w:proofErr w:type="spellStart"/>
            <w:r w:rsidR="001C1F36" w:rsidRPr="0026420A">
              <w:t>criptoactive</w:t>
            </w:r>
            <w:proofErr w:type="spellEnd"/>
            <w:r w:rsidR="001C1F36" w:rsidRPr="0026420A">
              <w:t>, tranzacțiile efectuate și mijloacele de acces aflate în custodie</w:t>
            </w:r>
            <w:r w:rsidR="001C1F36" w:rsidRPr="0026420A">
              <w:rPr>
                <w:i/>
                <w:iCs/>
              </w:rPr>
              <w:t>)</w:t>
            </w:r>
            <w:r w:rsidRPr="0026420A">
              <w:t xml:space="preserve"> depăș</w:t>
            </w:r>
            <w:r w:rsidR="001C1F36" w:rsidRPr="0026420A">
              <w:t>ește</w:t>
            </w:r>
            <w:r w:rsidRPr="0026420A">
              <w:t xml:space="preserve"> obiectul </w:t>
            </w:r>
            <w:r w:rsidR="001C1F36" w:rsidRPr="0026420A">
              <w:t xml:space="preserve">de </w:t>
            </w:r>
            <w:r w:rsidRPr="0026420A">
              <w:t>reglement</w:t>
            </w:r>
            <w:r w:rsidR="001C1F36" w:rsidRPr="0026420A">
              <w:t>are</w:t>
            </w:r>
            <w:r w:rsidRPr="0026420A">
              <w:t xml:space="preserve"> </w:t>
            </w:r>
            <w:r w:rsidR="001C1F36" w:rsidRPr="0026420A">
              <w:t>al proiectului de Lege</w:t>
            </w:r>
            <w:r w:rsidR="00383D76" w:rsidRPr="0026420A">
              <w:t xml:space="preserve"> care vizează transpunerea cadrului </w:t>
            </w:r>
            <w:proofErr w:type="spellStart"/>
            <w:r w:rsidR="00383D76" w:rsidRPr="0026420A">
              <w:t>MiCA</w:t>
            </w:r>
            <w:proofErr w:type="spellEnd"/>
            <w:r w:rsidRPr="0026420A">
              <w:t>.</w:t>
            </w:r>
          </w:p>
        </w:tc>
      </w:tr>
      <w:tr w:rsidR="00691820" w:rsidRPr="0026420A" w14:paraId="6BE29ECC" w14:textId="77777777" w:rsidTr="001F4857">
        <w:trPr>
          <w:trHeight w:val="300"/>
        </w:trPr>
        <w:tc>
          <w:tcPr>
            <w:tcW w:w="2206" w:type="dxa"/>
            <w:vMerge/>
            <w:tcMar>
              <w:top w:w="0" w:type="dxa"/>
              <w:left w:w="108" w:type="dxa"/>
              <w:bottom w:w="0" w:type="dxa"/>
              <w:right w:w="108" w:type="dxa"/>
            </w:tcMar>
          </w:tcPr>
          <w:p w14:paraId="5B335A3D" w14:textId="12093946" w:rsidR="00691820" w:rsidRPr="0026420A" w:rsidRDefault="00691820" w:rsidP="00691820">
            <w:pPr>
              <w:ind w:firstLine="0"/>
            </w:pPr>
          </w:p>
        </w:tc>
        <w:tc>
          <w:tcPr>
            <w:tcW w:w="579" w:type="dxa"/>
            <w:tcMar>
              <w:top w:w="0" w:type="dxa"/>
              <w:left w:w="108" w:type="dxa"/>
              <w:bottom w:w="0" w:type="dxa"/>
              <w:right w:w="108" w:type="dxa"/>
            </w:tcMar>
          </w:tcPr>
          <w:p w14:paraId="72F1252E" w14:textId="4CC17F94" w:rsidR="00691820" w:rsidRPr="0026420A" w:rsidRDefault="00691820" w:rsidP="0069182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0510B9B2" w14:textId="77777777" w:rsidR="00691820" w:rsidRPr="0026420A" w:rsidRDefault="00691820" w:rsidP="00691820">
            <w:pPr>
              <w:ind w:firstLine="0"/>
            </w:pPr>
            <w:r w:rsidRPr="0026420A">
              <w:t>Se recomandă introducerea unui articol distinct privind înghețarea,</w:t>
            </w:r>
          </w:p>
          <w:p w14:paraId="6DB09B5B" w14:textId="77777777" w:rsidR="00691820" w:rsidRPr="0026420A" w:rsidRDefault="00691820" w:rsidP="00691820">
            <w:pPr>
              <w:ind w:firstLine="0"/>
            </w:pPr>
            <w:r w:rsidRPr="0026420A">
              <w:t xml:space="preserve">sechestrarea și confiscarea </w:t>
            </w:r>
            <w:proofErr w:type="spellStart"/>
            <w:r w:rsidRPr="0026420A">
              <w:t>criptoactivelor</w:t>
            </w:r>
            <w:proofErr w:type="spellEnd"/>
            <w:r w:rsidRPr="0026420A">
              <w:t>:</w:t>
            </w:r>
          </w:p>
          <w:p w14:paraId="2B44ED04" w14:textId="77777777" w:rsidR="00691820" w:rsidRPr="0026420A" w:rsidRDefault="00691820" w:rsidP="00691820">
            <w:pPr>
              <w:ind w:firstLine="0"/>
              <w:rPr>
                <w:i/>
                <w:iCs/>
              </w:rPr>
            </w:pPr>
            <w:r w:rsidRPr="0026420A">
              <w:rPr>
                <w:i/>
                <w:iCs/>
              </w:rPr>
              <w:t xml:space="preserve">„ Măsuri privind indisponibilizarea </w:t>
            </w:r>
            <w:proofErr w:type="spellStart"/>
            <w:r w:rsidRPr="0026420A">
              <w:rPr>
                <w:i/>
                <w:iCs/>
              </w:rPr>
              <w:t>criptoactivelor</w:t>
            </w:r>
            <w:proofErr w:type="spellEnd"/>
          </w:p>
          <w:p w14:paraId="0E458F25" w14:textId="77777777" w:rsidR="00691820" w:rsidRPr="0026420A" w:rsidRDefault="00691820" w:rsidP="00691820">
            <w:pPr>
              <w:ind w:firstLine="0"/>
              <w:rPr>
                <w:i/>
                <w:iCs/>
              </w:rPr>
            </w:pPr>
            <w:r w:rsidRPr="0026420A">
              <w:rPr>
                <w:i/>
                <w:iCs/>
              </w:rPr>
              <w:t xml:space="preserve">(1) </w:t>
            </w:r>
            <w:proofErr w:type="spellStart"/>
            <w:r w:rsidRPr="0026420A">
              <w:rPr>
                <w:i/>
                <w:iCs/>
              </w:rPr>
              <w:t>Criptoactivele</w:t>
            </w:r>
            <w:proofErr w:type="spellEnd"/>
            <w:r w:rsidRPr="0026420A">
              <w:rPr>
                <w:i/>
                <w:iCs/>
              </w:rPr>
              <w:t xml:space="preserve"> pot constitui obiect al măsurilor procesuale de</w:t>
            </w:r>
          </w:p>
          <w:p w14:paraId="646BCA9B" w14:textId="3017389C" w:rsidR="00691820" w:rsidRPr="0026420A" w:rsidRDefault="00691820" w:rsidP="00691820">
            <w:pPr>
              <w:ind w:firstLine="0"/>
              <w:rPr>
                <w:i/>
                <w:iCs/>
              </w:rPr>
            </w:pPr>
            <w:r w:rsidRPr="0026420A">
              <w:rPr>
                <w:i/>
                <w:iCs/>
              </w:rPr>
              <w:t>indisponibilizare, inclusiv înghețare, sechestru și confiscare, în condițiile Codului penal, Codului de procedură penală și ale legislației speciale.</w:t>
            </w:r>
          </w:p>
          <w:p w14:paraId="7EA63170" w14:textId="70624416" w:rsidR="00691820" w:rsidRPr="0026420A" w:rsidRDefault="00691820" w:rsidP="00691820">
            <w:pPr>
              <w:ind w:firstLine="0"/>
              <w:rPr>
                <w:i/>
                <w:iCs/>
              </w:rPr>
            </w:pPr>
            <w:r w:rsidRPr="0026420A">
              <w:rPr>
                <w:i/>
                <w:iCs/>
              </w:rPr>
              <w:t xml:space="preserve">(2) Furnizorii de servicii de </w:t>
            </w:r>
            <w:proofErr w:type="spellStart"/>
            <w:r w:rsidRPr="0026420A">
              <w:rPr>
                <w:i/>
                <w:iCs/>
              </w:rPr>
              <w:t>criptoactive</w:t>
            </w:r>
            <w:proofErr w:type="spellEnd"/>
            <w:r w:rsidRPr="0026420A">
              <w:rPr>
                <w:i/>
                <w:iCs/>
              </w:rPr>
              <w:t xml:space="preserve"> sunt obligați să execute, în condițiile legii, actele dispuse de organul de urmărire penală, procuror sau instanța de judecată privind blocarea, indisponibilizarea, transferul, păstrarea ori valorificarea </w:t>
            </w:r>
            <w:proofErr w:type="spellStart"/>
            <w:r w:rsidRPr="0026420A">
              <w:rPr>
                <w:i/>
                <w:iCs/>
              </w:rPr>
              <w:t>criptoactivelor</w:t>
            </w:r>
            <w:proofErr w:type="spellEnd"/>
            <w:r w:rsidRPr="0026420A">
              <w:rPr>
                <w:i/>
                <w:iCs/>
              </w:rPr>
              <w:t>.</w:t>
            </w:r>
          </w:p>
          <w:p w14:paraId="2B03F4FD" w14:textId="2B357084" w:rsidR="00691820" w:rsidRPr="0026420A" w:rsidRDefault="00691820" w:rsidP="00691820">
            <w:pPr>
              <w:ind w:firstLine="0"/>
            </w:pPr>
            <w:r w:rsidRPr="0026420A">
              <w:rPr>
                <w:i/>
                <w:iCs/>
              </w:rPr>
              <w:t xml:space="preserve">(3) Autoritățile competente, în cooperare cu Ministerul Afacerilor Interne, Procuratura Generală și Serviciul Prevenirea și Combaterea Spălării Banilor, pot elabora proceduri tehnice privind identificarea, conservarea, transferul și păstrarea </w:t>
            </w:r>
            <w:proofErr w:type="spellStart"/>
            <w:r w:rsidRPr="0026420A">
              <w:rPr>
                <w:i/>
                <w:iCs/>
              </w:rPr>
              <w:t>criptoactivelor</w:t>
            </w:r>
            <w:proofErr w:type="spellEnd"/>
            <w:r w:rsidRPr="0026420A">
              <w:rPr>
                <w:i/>
                <w:iCs/>
              </w:rPr>
              <w:t xml:space="preserve"> ridicate sau indisponibilizate în cadrul procesului penal.”.</w:t>
            </w:r>
          </w:p>
        </w:tc>
        <w:tc>
          <w:tcPr>
            <w:tcW w:w="5281" w:type="dxa"/>
            <w:tcMar>
              <w:top w:w="0" w:type="dxa"/>
              <w:left w:w="108" w:type="dxa"/>
              <w:bottom w:w="0" w:type="dxa"/>
              <w:right w:w="108" w:type="dxa"/>
            </w:tcMar>
          </w:tcPr>
          <w:p w14:paraId="2CFDB916" w14:textId="77777777" w:rsidR="00691820" w:rsidRPr="0026420A" w:rsidRDefault="00691820" w:rsidP="00691820">
            <w:pPr>
              <w:ind w:firstLine="0"/>
            </w:pPr>
            <w:r w:rsidRPr="0026420A">
              <w:rPr>
                <w:b/>
                <w:bCs/>
              </w:rPr>
              <w:t xml:space="preserve">Nu se acceptă. </w:t>
            </w:r>
          </w:p>
          <w:p w14:paraId="5BC166E9" w14:textId="77777777" w:rsidR="00383D76" w:rsidRPr="0026420A" w:rsidRDefault="00383D76" w:rsidP="00691820">
            <w:pPr>
              <w:ind w:firstLine="0"/>
            </w:pPr>
            <w:r w:rsidRPr="0026420A">
              <w:t xml:space="preserve">Măsurile de indisponibilizarea </w:t>
            </w:r>
            <w:proofErr w:type="spellStart"/>
            <w:r w:rsidRPr="0026420A">
              <w:t>criptoactivelor</w:t>
            </w:r>
            <w:proofErr w:type="spellEnd"/>
            <w:r w:rsidRPr="0026420A">
              <w:t xml:space="preserve">, inclusiv prin înghețare, sechestrare, confiscare, ridicare, păstrare sau valorificare a </w:t>
            </w:r>
            <w:proofErr w:type="spellStart"/>
            <w:r w:rsidRPr="0026420A">
              <w:t>criptoactivelor</w:t>
            </w:r>
            <w:proofErr w:type="spellEnd"/>
            <w:r w:rsidRPr="0026420A">
              <w:t xml:space="preserve">, țin de materia dreptului penal, procesual-penal și a legislației speciale privind recuperarea bunurilor infracționale, fiind dispuse și executate în condițiile Codului penal, Codului de procedură penală și ale actelor normative aplicabile. </w:t>
            </w:r>
          </w:p>
          <w:p w14:paraId="342876C0" w14:textId="77777777" w:rsidR="00691820" w:rsidRPr="0026420A" w:rsidRDefault="00383D76" w:rsidP="00691820">
            <w:pPr>
              <w:ind w:firstLine="0"/>
            </w:pPr>
            <w:r w:rsidRPr="0026420A">
              <w:t xml:space="preserve">Introducerea unor asemenea norme în proiectul de Lege privind piața </w:t>
            </w:r>
            <w:proofErr w:type="spellStart"/>
            <w:r w:rsidRPr="0026420A">
              <w:t>criptoactivelor</w:t>
            </w:r>
            <w:proofErr w:type="spellEnd"/>
            <w:r w:rsidRPr="0026420A">
              <w:t xml:space="preserve"> ar depăși obiectul de reglementare al acestuia, care vizează transpunerea cadrului </w:t>
            </w:r>
            <w:proofErr w:type="spellStart"/>
            <w:r w:rsidRPr="0026420A">
              <w:t>MiCA</w:t>
            </w:r>
            <w:proofErr w:type="spellEnd"/>
            <w:r w:rsidRPr="0026420A">
              <w:t xml:space="preserve"> privind reglementarea, autorizarea și supravegherea pieței </w:t>
            </w:r>
            <w:proofErr w:type="spellStart"/>
            <w:r w:rsidRPr="0026420A">
              <w:t>criptoactivelor</w:t>
            </w:r>
            <w:proofErr w:type="spellEnd"/>
            <w:r w:rsidRPr="0026420A">
              <w:t>, și ar putea genera suprapuneri sau incertitudini privind competențele autorităților de supraveghere sectorială în raport cu organele de urmărire penală, procurorul și instanța de judecată.</w:t>
            </w:r>
          </w:p>
          <w:p w14:paraId="4407ECF7" w14:textId="042DDD61" w:rsidR="00A17E67" w:rsidRPr="0026420A" w:rsidRDefault="00A17E67" w:rsidP="00691820">
            <w:pPr>
              <w:ind w:firstLine="0"/>
            </w:pPr>
          </w:p>
        </w:tc>
      </w:tr>
      <w:tr w:rsidR="00691820" w:rsidRPr="0026420A" w14:paraId="3A0BAFFD" w14:textId="77777777" w:rsidTr="001F4857">
        <w:trPr>
          <w:trHeight w:val="300"/>
        </w:trPr>
        <w:tc>
          <w:tcPr>
            <w:tcW w:w="2206" w:type="dxa"/>
            <w:vMerge/>
            <w:tcMar>
              <w:top w:w="0" w:type="dxa"/>
              <w:left w:w="108" w:type="dxa"/>
              <w:bottom w:w="0" w:type="dxa"/>
              <w:right w:w="108" w:type="dxa"/>
            </w:tcMar>
          </w:tcPr>
          <w:p w14:paraId="1243B865" w14:textId="77777777" w:rsidR="00691820" w:rsidRPr="0026420A" w:rsidRDefault="00691820" w:rsidP="00691820">
            <w:pPr>
              <w:ind w:firstLine="0"/>
            </w:pPr>
          </w:p>
        </w:tc>
        <w:tc>
          <w:tcPr>
            <w:tcW w:w="579" w:type="dxa"/>
            <w:tcMar>
              <w:top w:w="0" w:type="dxa"/>
              <w:left w:w="108" w:type="dxa"/>
              <w:bottom w:w="0" w:type="dxa"/>
              <w:right w:w="108" w:type="dxa"/>
            </w:tcMar>
          </w:tcPr>
          <w:p w14:paraId="4B05C7DE" w14:textId="77777777" w:rsidR="00691820" w:rsidRPr="0026420A" w:rsidRDefault="00691820" w:rsidP="0069182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4A3108CE" w14:textId="77777777" w:rsidR="00691820" w:rsidRPr="0026420A" w:rsidRDefault="00691820" w:rsidP="00691820">
            <w:pPr>
              <w:ind w:firstLine="0"/>
            </w:pPr>
            <w:r w:rsidRPr="0026420A">
              <w:t xml:space="preserve">La </w:t>
            </w:r>
            <w:r w:rsidRPr="0026420A">
              <w:rPr>
                <w:b/>
                <w:bCs/>
              </w:rPr>
              <w:t xml:space="preserve">compartimentul nr. 8 din Nota de fundamentare </w:t>
            </w:r>
            <w:r w:rsidRPr="0026420A">
              <w:t>se prevede expres</w:t>
            </w:r>
          </w:p>
          <w:p w14:paraId="37D16CEF" w14:textId="3D6F97DB" w:rsidR="00691820" w:rsidRPr="0026420A" w:rsidRDefault="00691820" w:rsidP="00691820">
            <w:pPr>
              <w:ind w:firstLine="0"/>
            </w:pPr>
            <w:r w:rsidRPr="0026420A">
              <w:t xml:space="preserve">că va fi necesară modificarea Legii nr. 308/2017 cu privire la prevenirea și combaterea spălării banilor și finanțării terorismului, Codului contravențional și Codului penal. Cu toate acestea, din anexa proiectului de lege rezultă doar modificări la un număr limitat de legi </w:t>
            </w:r>
            <w:r w:rsidRPr="0026420A">
              <w:lastRenderedPageBreak/>
              <w:t>speciale, fără intervenții concrete asupra Legii nr. 308/2017, Codului contravențional și Codului penal. În aceste condiții, se constată o necorelare între Nota de fundamentare și conținutul proiectului de lege.</w:t>
            </w:r>
          </w:p>
        </w:tc>
        <w:tc>
          <w:tcPr>
            <w:tcW w:w="5281" w:type="dxa"/>
            <w:tcMar>
              <w:top w:w="0" w:type="dxa"/>
              <w:left w:w="108" w:type="dxa"/>
              <w:bottom w:w="0" w:type="dxa"/>
              <w:right w:w="108" w:type="dxa"/>
            </w:tcMar>
          </w:tcPr>
          <w:p w14:paraId="0B1A7DC1" w14:textId="77777777" w:rsidR="00105ECD" w:rsidRPr="0026420A" w:rsidRDefault="00105ECD" w:rsidP="00105ECD">
            <w:pPr>
              <w:ind w:firstLine="0"/>
              <w:rPr>
                <w:b/>
                <w:bCs/>
              </w:rPr>
            </w:pPr>
            <w:r w:rsidRPr="0026420A">
              <w:rPr>
                <w:b/>
                <w:bCs/>
              </w:rPr>
              <w:lastRenderedPageBreak/>
              <w:t>Nu se acceptă.</w:t>
            </w:r>
          </w:p>
          <w:p w14:paraId="70C635F8" w14:textId="77777777" w:rsidR="00A026E5" w:rsidRPr="0026420A" w:rsidRDefault="00A026E5" w:rsidP="00A026E5">
            <w:pPr>
              <w:ind w:firstLine="0"/>
            </w:pPr>
            <w:r w:rsidRPr="0026420A">
              <w:t xml:space="preserve">Mențiunea din Nota de fundamentare are caracter explicativ și indică faptul că proiectul de lege urmează a fi corelat cu actele normative în vigoare aflate în conexiune cu domeniul reglementat, fără a afecta concepția generală sau caracterul unitar al cadrului normativ existent. În acest sens, Nota de </w:t>
            </w:r>
            <w:r w:rsidRPr="0026420A">
              <w:lastRenderedPageBreak/>
              <w:t xml:space="preserve">fundamentare enumeră unele acte normative care pot necesita modificări ulterioare pentru integrarea noii reglementări privind piața </w:t>
            </w:r>
            <w:proofErr w:type="spellStart"/>
            <w:r w:rsidRPr="0026420A">
              <w:t>criptoactivelor</w:t>
            </w:r>
            <w:proofErr w:type="spellEnd"/>
            <w:r w:rsidRPr="0026420A">
              <w:t xml:space="preserve"> în sistemul legislativ național.</w:t>
            </w:r>
          </w:p>
          <w:p w14:paraId="5A737299" w14:textId="12A708E8" w:rsidR="00A026E5" w:rsidRPr="0026420A" w:rsidRDefault="00A026E5" w:rsidP="00A026E5">
            <w:pPr>
              <w:ind w:firstLine="0"/>
            </w:pPr>
            <w:r w:rsidRPr="0026420A">
              <w:t xml:space="preserve">După cum a fost menționat supra, transpunerea prevederilor </w:t>
            </w:r>
            <w:proofErr w:type="spellStart"/>
            <w:r w:rsidRPr="0026420A">
              <w:t>MiCA</w:t>
            </w:r>
            <w:proofErr w:type="spellEnd"/>
            <w:r w:rsidRPr="0026420A">
              <w:t xml:space="preserve"> în cadrul normativ național se înscrie într-un proces mai amplu și complementar de aliniere în cascadă la acquis-</w:t>
            </w:r>
            <w:proofErr w:type="spellStart"/>
            <w:r w:rsidRPr="0026420A">
              <w:t>ul</w:t>
            </w:r>
            <w:proofErr w:type="spellEnd"/>
            <w:r w:rsidRPr="0026420A">
              <w:t xml:space="preserve"> UE în domeniul prevenirii și combaterii spălării banilor și finanțării terorismului, iar obligațiile specifice de natură AML/CFT aplicabile sectorului </w:t>
            </w:r>
            <w:proofErr w:type="spellStart"/>
            <w:r w:rsidRPr="0026420A">
              <w:t>criptoactivelor</w:t>
            </w:r>
            <w:proofErr w:type="spellEnd"/>
            <w:r w:rsidRPr="0026420A">
              <w:t xml:space="preserve"> urmează să fie reglementate printr-un proiect de lege separat, elaborat de Serviciul Prevenirea și Combaterea Spălării Banilor.</w:t>
            </w:r>
          </w:p>
          <w:p w14:paraId="784CEC21" w14:textId="0C6A69D1" w:rsidR="00691820" w:rsidRPr="0026420A" w:rsidRDefault="00A026E5" w:rsidP="00A026E5">
            <w:pPr>
              <w:ind w:firstLine="0"/>
            </w:pPr>
            <w:r w:rsidRPr="0026420A">
              <w:t xml:space="preserve">Complementar, art. 104 alin. (4) și (5) din proiect, aferent dispozițiilor tranzitorii, instituie în sarcina autorităților relevante obligația de a identifica, elabora și promova modificările necesare pentru corelarea cadrului normativ existent cu noua reglementare privind piața </w:t>
            </w:r>
            <w:proofErr w:type="spellStart"/>
            <w:r w:rsidRPr="0026420A">
              <w:t>criptoactivelor</w:t>
            </w:r>
            <w:proofErr w:type="spellEnd"/>
            <w:r w:rsidRPr="0026420A">
              <w:t xml:space="preserve">, inclusiv, după caz, la Legea nr. 308/2017, Codul contravențional, Codul penal și alte acte legislative incidente. </w:t>
            </w:r>
          </w:p>
        </w:tc>
      </w:tr>
      <w:tr w:rsidR="00691820" w:rsidRPr="0026420A" w14:paraId="2AADB4E6" w14:textId="77777777" w:rsidTr="001F4857">
        <w:trPr>
          <w:trHeight w:val="300"/>
        </w:trPr>
        <w:tc>
          <w:tcPr>
            <w:tcW w:w="2206" w:type="dxa"/>
            <w:vMerge/>
            <w:tcMar>
              <w:top w:w="0" w:type="dxa"/>
              <w:left w:w="108" w:type="dxa"/>
              <w:bottom w:w="0" w:type="dxa"/>
              <w:right w:w="108" w:type="dxa"/>
            </w:tcMar>
          </w:tcPr>
          <w:p w14:paraId="4A29FA1C" w14:textId="273B5590" w:rsidR="00691820" w:rsidRPr="0026420A" w:rsidRDefault="00691820" w:rsidP="00691820">
            <w:pPr>
              <w:ind w:firstLine="0"/>
            </w:pPr>
          </w:p>
        </w:tc>
        <w:tc>
          <w:tcPr>
            <w:tcW w:w="579" w:type="dxa"/>
            <w:tcMar>
              <w:top w:w="0" w:type="dxa"/>
              <w:left w:w="108" w:type="dxa"/>
              <w:bottom w:w="0" w:type="dxa"/>
              <w:right w:w="108" w:type="dxa"/>
            </w:tcMar>
          </w:tcPr>
          <w:p w14:paraId="658993E1" w14:textId="6CFB660B" w:rsidR="00691820" w:rsidRPr="0026420A" w:rsidRDefault="00691820" w:rsidP="0069182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251B5B97" w14:textId="747AF32F" w:rsidR="00691820" w:rsidRPr="0026420A" w:rsidRDefault="00691820" w:rsidP="00691820">
            <w:pPr>
              <w:ind w:firstLine="0"/>
            </w:pPr>
            <w:r w:rsidRPr="0026420A">
              <w:t>Ministerul Afacerilor Interne susține promovarea proiectului, cu condiția</w:t>
            </w:r>
            <w:r w:rsidR="006455C9" w:rsidRPr="0026420A">
              <w:t xml:space="preserve"> </w:t>
            </w:r>
            <w:r w:rsidRPr="0026420A">
              <w:t xml:space="preserve">completării acestuia cu prevederi clare privind cooperarea cu organele de drept, trasabilitatea tranzacțiilor, accesul legal la informații, păstrarea datelor relevante, precum și indisponibilizarea și confiscarea </w:t>
            </w:r>
            <w:proofErr w:type="spellStart"/>
            <w:r w:rsidRPr="0026420A">
              <w:t>criptoactivelor</w:t>
            </w:r>
            <w:proofErr w:type="spellEnd"/>
            <w:r w:rsidRPr="0026420A">
              <w:t xml:space="preserve"> utilizate în activități infracționale.</w:t>
            </w:r>
          </w:p>
          <w:p w14:paraId="25956C79" w14:textId="77777777" w:rsidR="00691820" w:rsidRPr="0026420A" w:rsidRDefault="00691820" w:rsidP="00691820">
            <w:pPr>
              <w:ind w:firstLine="0"/>
            </w:pPr>
            <w:r w:rsidRPr="0026420A">
              <w:t>În lipsa acestor completări, proiectul este susceptibil să instituie un cadru</w:t>
            </w:r>
          </w:p>
          <w:p w14:paraId="7ED795FC" w14:textId="698D50A4" w:rsidR="00691820" w:rsidRPr="0026420A" w:rsidRDefault="00691820" w:rsidP="00691820">
            <w:pPr>
              <w:ind w:firstLine="0"/>
            </w:pPr>
            <w:r w:rsidRPr="0026420A">
              <w:t xml:space="preserve">normativ limitat la dimensiunea financiară, insuficient pentru a asigura un răspuns eficient la riscurile generate de utilizarea </w:t>
            </w:r>
            <w:proofErr w:type="spellStart"/>
            <w:r w:rsidRPr="0026420A">
              <w:t>criptoactivelor</w:t>
            </w:r>
            <w:proofErr w:type="spellEnd"/>
            <w:r w:rsidRPr="0026420A">
              <w:t xml:space="preserve"> în criminalitatea organizată, spălarea banilor, finanțarea terorismului și criminalitatea informatică.</w:t>
            </w:r>
          </w:p>
        </w:tc>
        <w:tc>
          <w:tcPr>
            <w:tcW w:w="5281" w:type="dxa"/>
            <w:tcMar>
              <w:top w:w="0" w:type="dxa"/>
              <w:left w:w="108" w:type="dxa"/>
              <w:bottom w:w="0" w:type="dxa"/>
              <w:right w:w="108" w:type="dxa"/>
            </w:tcMar>
          </w:tcPr>
          <w:p w14:paraId="6F36E65F" w14:textId="406EAAB5" w:rsidR="00EB5A06" w:rsidRPr="0026420A" w:rsidRDefault="00085AEA" w:rsidP="00EB5A06">
            <w:pPr>
              <w:ind w:firstLine="0"/>
              <w:rPr>
                <w:b/>
                <w:bCs/>
              </w:rPr>
            </w:pPr>
            <w:r w:rsidRPr="0026420A">
              <w:rPr>
                <w:b/>
                <w:bCs/>
              </w:rPr>
              <w:t>Nu se acceptă.</w:t>
            </w:r>
          </w:p>
          <w:p w14:paraId="5AA26458" w14:textId="77777777" w:rsidR="00085AEA" w:rsidRPr="0026420A" w:rsidRDefault="00085AEA" w:rsidP="00105ECD">
            <w:pPr>
              <w:ind w:firstLine="0"/>
            </w:pPr>
            <w:r w:rsidRPr="0026420A">
              <w:t xml:space="preserve">Nu se acceptă condiționarea promovării proiectului de Lege de includerea propunerilor înaintate, întrucât proiectul are ca obiect transpunerea cadrului </w:t>
            </w:r>
            <w:proofErr w:type="spellStart"/>
            <w:r w:rsidRPr="0026420A">
              <w:t>MiCA</w:t>
            </w:r>
            <w:proofErr w:type="spellEnd"/>
            <w:r w:rsidRPr="0026420A">
              <w:t xml:space="preserve"> privind reglementarea și supravegherea pieței </w:t>
            </w:r>
            <w:proofErr w:type="spellStart"/>
            <w:r w:rsidRPr="0026420A">
              <w:t>criptoactivelor</w:t>
            </w:r>
            <w:proofErr w:type="spellEnd"/>
            <w:r w:rsidRPr="0026420A">
              <w:t xml:space="preserve">, iar aspectele referitoare la cooperarea cu organele de drept, accesul la informații, păstrarea datelor, trasabilitatea tranzacțiilor, indisponibilizarea și confiscarea bunurilor utilizate în activități infracționale sunt reglementate sau urmează a fi reglementate prin legislația specială în domeniul AML/CFT, legislația penală și procesual-penală, precum și prin mecanismele instituționale aplicabile. </w:t>
            </w:r>
          </w:p>
          <w:p w14:paraId="795D0A9A" w14:textId="69D8E651" w:rsidR="00085AEA" w:rsidRPr="0026420A" w:rsidRDefault="00085AEA" w:rsidP="00105ECD">
            <w:pPr>
              <w:ind w:firstLine="0"/>
            </w:pPr>
            <w:r w:rsidRPr="0026420A">
              <w:t>Totodată, proiectul conține deja prevederi privind cooperarea instituțională, art. 87 alin. (5) prevăzând posibilitatea schimbului de informații între autoritățile competente și alte autorități relevante, inclusiv organele de drept și/sau control abilitate, Serviciul Prevenirea și Combaterea Spălării Banilor, Serviciul de Informații și Securitate și instanțele de judecată.</w:t>
            </w:r>
          </w:p>
          <w:p w14:paraId="117592E4" w14:textId="22F05797" w:rsidR="00691820" w:rsidRPr="0026420A" w:rsidRDefault="00085AEA" w:rsidP="00105ECD">
            <w:pPr>
              <w:ind w:firstLine="0"/>
            </w:pPr>
            <w:r w:rsidRPr="0026420A">
              <w:t>Prin urmare, neincluderea propunerilor înaintate nu afectează promovarea proiectului, ci reflectă delimitarea obiectului său de reglementare față de cadrul juridic special privind prevenirea și combaterea criminalității.</w:t>
            </w:r>
          </w:p>
        </w:tc>
      </w:tr>
      <w:tr w:rsidR="00691820" w:rsidRPr="0026420A" w14:paraId="652F2A6D" w14:textId="77777777" w:rsidTr="001F4857">
        <w:trPr>
          <w:trHeight w:val="2035"/>
        </w:trPr>
        <w:tc>
          <w:tcPr>
            <w:tcW w:w="2206" w:type="dxa"/>
            <w:vMerge w:val="restart"/>
            <w:tcMar>
              <w:top w:w="0" w:type="dxa"/>
              <w:left w:w="108" w:type="dxa"/>
              <w:bottom w:w="0" w:type="dxa"/>
              <w:right w:w="108" w:type="dxa"/>
            </w:tcMar>
          </w:tcPr>
          <w:p w14:paraId="6ACFAB54" w14:textId="77777777" w:rsidR="00691820" w:rsidRPr="0026420A" w:rsidRDefault="00691820" w:rsidP="00691820">
            <w:pPr>
              <w:ind w:firstLine="0"/>
              <w:jc w:val="left"/>
              <w:rPr>
                <w:b/>
                <w:bCs/>
              </w:rPr>
            </w:pPr>
            <w:r w:rsidRPr="0026420A">
              <w:rPr>
                <w:b/>
                <w:bCs/>
              </w:rPr>
              <w:lastRenderedPageBreak/>
              <w:t>Serviciul Prevenirea și Combaterea Spălării Banilor</w:t>
            </w:r>
          </w:p>
          <w:p w14:paraId="02E1A725" w14:textId="77777777" w:rsidR="00691820" w:rsidRPr="0026420A" w:rsidRDefault="00691820" w:rsidP="00691820">
            <w:pPr>
              <w:ind w:firstLine="0"/>
              <w:rPr>
                <w:b/>
                <w:bCs/>
              </w:rPr>
            </w:pPr>
          </w:p>
          <w:p w14:paraId="1D1F2FA8" w14:textId="77777777" w:rsidR="00691820" w:rsidRPr="0026420A" w:rsidRDefault="00691820" w:rsidP="00691820">
            <w:pPr>
              <w:ind w:firstLine="0"/>
              <w:rPr>
                <w:b/>
                <w:bCs/>
              </w:rPr>
            </w:pPr>
          </w:p>
          <w:p w14:paraId="75CD8B1F" w14:textId="144AFBDF" w:rsidR="00691820" w:rsidRPr="0026420A" w:rsidRDefault="00691820" w:rsidP="00691820">
            <w:pPr>
              <w:ind w:firstLine="0"/>
              <w:rPr>
                <w:i/>
                <w:iCs/>
              </w:rPr>
            </w:pPr>
            <w:r w:rsidRPr="0026420A">
              <w:rPr>
                <w:i/>
                <w:iCs/>
              </w:rPr>
              <w:t>Nr. 01/2-30-770</w:t>
            </w:r>
          </w:p>
          <w:p w14:paraId="6587D725" w14:textId="69692934" w:rsidR="00691820" w:rsidRPr="0026420A" w:rsidRDefault="00691820" w:rsidP="00691820">
            <w:pPr>
              <w:ind w:firstLine="0"/>
              <w:rPr>
                <w:b/>
                <w:bCs/>
              </w:rPr>
            </w:pPr>
            <w:r w:rsidRPr="0026420A">
              <w:rPr>
                <w:i/>
                <w:iCs/>
              </w:rPr>
              <w:t>Din 05.05.2026</w:t>
            </w:r>
          </w:p>
        </w:tc>
        <w:tc>
          <w:tcPr>
            <w:tcW w:w="579" w:type="dxa"/>
            <w:tcMar>
              <w:top w:w="0" w:type="dxa"/>
              <w:left w:w="108" w:type="dxa"/>
              <w:bottom w:w="0" w:type="dxa"/>
              <w:right w:w="108" w:type="dxa"/>
            </w:tcMar>
          </w:tcPr>
          <w:p w14:paraId="27559111" w14:textId="77777777" w:rsidR="00691820" w:rsidRPr="0026420A" w:rsidRDefault="00691820" w:rsidP="0069182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2A6A0385" w14:textId="2B271790" w:rsidR="00691820" w:rsidRPr="0026420A" w:rsidRDefault="00691820" w:rsidP="00C41F45">
            <w:pPr>
              <w:ind w:left="-57" w:firstLine="0"/>
            </w:pPr>
            <w:r w:rsidRPr="0026420A">
              <w:t>În rezultatul analizei coroborate ale prevederilor proiectului de lege, se constată că deși acesta instituie un c</w:t>
            </w:r>
            <w:r w:rsidR="00C41F45" w:rsidRPr="0026420A">
              <w:t xml:space="preserve">adru juridic necesar pentru </w:t>
            </w:r>
            <w:r w:rsidRPr="0026420A">
              <w:t xml:space="preserve">reglementarea pieței </w:t>
            </w:r>
            <w:proofErr w:type="spellStart"/>
            <w:r w:rsidRPr="0026420A">
              <w:t>criptoactivelor</w:t>
            </w:r>
            <w:proofErr w:type="spellEnd"/>
            <w:r w:rsidRPr="0026420A">
              <w:t xml:space="preserve"> anumite dispoziții necesită revizuire sub aspectul clarității, delimitării sferei de aplicare și corelării cu regimul juridic aplicabil în domeniul prevenirii și combaterii spălării banilor și finanțării terorismului, precum și sub aspectul delimitării</w:t>
            </w:r>
          </w:p>
          <w:p w14:paraId="18AAFEDD" w14:textId="4015C4EE" w:rsidR="00691820" w:rsidRPr="0026420A" w:rsidRDefault="00691820" w:rsidP="00691820">
            <w:pPr>
              <w:ind w:left="-57" w:firstLine="0"/>
              <w:jc w:val="left"/>
            </w:pPr>
            <w:r w:rsidRPr="0026420A">
              <w:t>atribuțiilor instituționale.</w:t>
            </w:r>
          </w:p>
        </w:tc>
        <w:tc>
          <w:tcPr>
            <w:tcW w:w="5281" w:type="dxa"/>
            <w:tcMar>
              <w:top w:w="0" w:type="dxa"/>
              <w:left w:w="108" w:type="dxa"/>
              <w:bottom w:w="0" w:type="dxa"/>
              <w:right w:w="108" w:type="dxa"/>
            </w:tcMar>
          </w:tcPr>
          <w:p w14:paraId="4C58D145" w14:textId="1489CAE0" w:rsidR="00691820" w:rsidRPr="0026420A" w:rsidRDefault="006452BF" w:rsidP="00105ECD">
            <w:pPr>
              <w:ind w:firstLine="0"/>
              <w:rPr>
                <w:b/>
                <w:bCs/>
              </w:rPr>
            </w:pPr>
            <w:r w:rsidRPr="0026420A">
              <w:rPr>
                <w:b/>
                <w:bCs/>
              </w:rPr>
              <w:t xml:space="preserve">Se </w:t>
            </w:r>
            <w:r w:rsidR="00443101" w:rsidRPr="0026420A">
              <w:rPr>
                <w:b/>
                <w:bCs/>
              </w:rPr>
              <w:t>acceptă parțial.</w:t>
            </w:r>
          </w:p>
          <w:p w14:paraId="730014E9" w14:textId="41D6F19C" w:rsidR="006452BF" w:rsidRPr="0026420A" w:rsidRDefault="00443101" w:rsidP="00105ECD">
            <w:pPr>
              <w:ind w:firstLine="0"/>
            </w:pPr>
            <w:r w:rsidRPr="0026420A">
              <w:t>Asigurarea corelării proiectului dat de Lege va fi posibilă o dată cu posibilitatea examinării și lansării spre consultări publice a noii legislații în domeniul prevenirii și combaterii spălării banilor.</w:t>
            </w:r>
          </w:p>
        </w:tc>
      </w:tr>
      <w:tr w:rsidR="00CB0A00" w:rsidRPr="0026420A" w14:paraId="2097D18B" w14:textId="77777777" w:rsidTr="001F4857">
        <w:trPr>
          <w:trHeight w:val="300"/>
        </w:trPr>
        <w:tc>
          <w:tcPr>
            <w:tcW w:w="2206" w:type="dxa"/>
            <w:vMerge/>
            <w:tcMar>
              <w:top w:w="0" w:type="dxa"/>
              <w:left w:w="108" w:type="dxa"/>
              <w:bottom w:w="0" w:type="dxa"/>
              <w:right w:w="108" w:type="dxa"/>
            </w:tcMar>
          </w:tcPr>
          <w:p w14:paraId="5C5CF099" w14:textId="77777777" w:rsidR="00CB0A00" w:rsidRPr="0026420A" w:rsidRDefault="00CB0A00" w:rsidP="00CB0A00">
            <w:pPr>
              <w:ind w:firstLine="0"/>
              <w:jc w:val="left"/>
              <w:rPr>
                <w:b/>
                <w:bCs/>
              </w:rPr>
            </w:pPr>
          </w:p>
        </w:tc>
        <w:tc>
          <w:tcPr>
            <w:tcW w:w="579" w:type="dxa"/>
            <w:tcMar>
              <w:top w:w="0" w:type="dxa"/>
              <w:left w:w="108" w:type="dxa"/>
              <w:bottom w:w="0" w:type="dxa"/>
              <w:right w:w="108" w:type="dxa"/>
            </w:tcMar>
          </w:tcPr>
          <w:p w14:paraId="7486F998" w14:textId="77777777" w:rsidR="00CB0A00" w:rsidRPr="0026420A" w:rsidRDefault="00CB0A00" w:rsidP="00CB0A0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53C774AA" w14:textId="50C69B47" w:rsidR="00CB0A00" w:rsidRPr="0026420A" w:rsidRDefault="00CB0A00" w:rsidP="00C41F45">
            <w:pPr>
              <w:ind w:left="-57" w:firstLine="0"/>
            </w:pPr>
            <w:r w:rsidRPr="0026420A">
              <w:t xml:space="preserve">Cu privire la art. 2, alin. (6) din proiectul de lege, textul propus instituie o obligație generală în sarcina oricărei persoane implicate în emiterea, oferta publică sau admiterea la tranzacționare a </w:t>
            </w:r>
            <w:proofErr w:type="spellStart"/>
            <w:r w:rsidRPr="0026420A">
              <w:t>criptoactivelor</w:t>
            </w:r>
            <w:proofErr w:type="spellEnd"/>
            <w:r w:rsidRPr="0026420A">
              <w:t xml:space="preserve"> ceea ce constituie o formulare neconformă cu cadrul european aplicabil pieței </w:t>
            </w:r>
            <w:proofErr w:type="spellStart"/>
            <w:r w:rsidRPr="0026420A">
              <w:t>criptoactivelor</w:t>
            </w:r>
            <w:proofErr w:type="spellEnd"/>
            <w:r w:rsidRPr="0026420A">
              <w:t xml:space="preserve"> și standardelor internaționale ale Grupului de Acțiune Financiară Internațională (GAFI/FATF), întrucât extinde în mod excesiv și nediferențiat sfera subiecților obligați în materia prevenirii și combaterii spălării banilor și finanțării terorismului. Prin urmare, considerăm că formularea este nejustificat de extinsă, deoarece în redacția actuală în mod implicit se asimilează oricărei persoane implicate în emiterea, oferta publică sau admiterea la tranzacționare a </w:t>
            </w:r>
            <w:proofErr w:type="spellStart"/>
            <w:r w:rsidRPr="0026420A">
              <w:t>criptoactivelor</w:t>
            </w:r>
            <w:proofErr w:type="spellEnd"/>
            <w:r w:rsidRPr="0026420A">
              <w:t xml:space="preserve"> un regim juridic specific entităților raportoare care cad sub incidența Legii nr. 308/2017 cu privire la prevenirea și combaterea spălării banilor și finanțării terorismului </w:t>
            </w:r>
            <w:r w:rsidRPr="0026420A">
              <w:rPr>
                <w:i/>
                <w:iCs/>
              </w:rPr>
              <w:t>(în continuare – Legea nr. 308/2017)</w:t>
            </w:r>
            <w:r w:rsidRPr="0026420A">
              <w:t xml:space="preserve">. Mai mult decât atât, abordarea respectivă nu rezultă nici din prevederile Regulamentului </w:t>
            </w:r>
            <w:proofErr w:type="spellStart"/>
            <w:r w:rsidRPr="0026420A">
              <w:t>MiCA</w:t>
            </w:r>
            <w:proofErr w:type="spellEnd"/>
            <w:r w:rsidRPr="0026420A">
              <w:t>, nici din noul pachet legislativ al Uniunii Europene în domeniul prevenirii și combaterii spălării banilor și</w:t>
            </w:r>
          </w:p>
          <w:p w14:paraId="25D387C9" w14:textId="202F1292" w:rsidR="00CB0A00" w:rsidRPr="0026420A" w:rsidRDefault="00CB0A00" w:rsidP="0056693D">
            <w:pPr>
              <w:ind w:left="-57" w:firstLine="0"/>
            </w:pPr>
            <w:r w:rsidRPr="0026420A">
              <w:t>finanțării terorismului adoptat î</w:t>
            </w:r>
            <w:r w:rsidR="0056693D" w:rsidRPr="0026420A">
              <w:t xml:space="preserve">n anul 2024, precum și nici din </w:t>
            </w:r>
            <w:r w:rsidRPr="0026420A">
              <w:t xml:space="preserve">standardele GAFI/FATF. În acest context, este de precizat că Regulamentul </w:t>
            </w:r>
            <w:proofErr w:type="spellStart"/>
            <w:r w:rsidRPr="0026420A">
              <w:t>MiCA</w:t>
            </w:r>
            <w:proofErr w:type="spellEnd"/>
            <w:r w:rsidRPr="0026420A">
              <w:t xml:space="preserve"> reglementează distinct condițiile cu privire la emiterea, ofertei publice, admiterea la tranzacționare și furnizarea serviciilor de </w:t>
            </w:r>
            <w:proofErr w:type="spellStart"/>
            <w:r w:rsidRPr="0026420A">
              <w:t>criptoactive</w:t>
            </w:r>
            <w:proofErr w:type="spellEnd"/>
            <w:r w:rsidRPr="0026420A">
              <w:t>, fără a consacra regula potrivit căreia orice</w:t>
            </w:r>
          </w:p>
          <w:p w14:paraId="3F0CF553" w14:textId="77777777" w:rsidR="00CB0A00" w:rsidRPr="0026420A" w:rsidRDefault="00CB0A00" w:rsidP="0056693D">
            <w:pPr>
              <w:ind w:left="-57" w:firstLine="0"/>
            </w:pPr>
            <w:r w:rsidRPr="0026420A">
              <w:t>persoană implicată în aceste activități dobândește, prin simplul fapt al implicării, calitatea de entitate raportoare în sensul Legii nr. 308/2017.</w:t>
            </w:r>
          </w:p>
          <w:p w14:paraId="6F2C39AE" w14:textId="77777777" w:rsidR="00CB0A00" w:rsidRPr="0026420A" w:rsidRDefault="00CB0A00" w:rsidP="0056693D">
            <w:pPr>
              <w:ind w:left="-57" w:firstLine="0"/>
            </w:pPr>
            <w:r w:rsidRPr="0026420A">
              <w:t xml:space="preserve">În mod similar, noul pachet european în domeniu reglementează, în mod expres, </w:t>
            </w:r>
            <w:r w:rsidRPr="0026420A">
              <w:rPr>
                <w:i/>
                <w:iCs/>
              </w:rPr>
              <w:t xml:space="preserve">furnizorii de servicii de </w:t>
            </w:r>
            <w:proofErr w:type="spellStart"/>
            <w:r w:rsidRPr="0026420A">
              <w:rPr>
                <w:i/>
                <w:iCs/>
              </w:rPr>
              <w:t>criptoactive</w:t>
            </w:r>
            <w:proofErr w:type="spellEnd"/>
            <w:r w:rsidRPr="0026420A">
              <w:rPr>
                <w:i/>
                <w:iCs/>
              </w:rPr>
              <w:t xml:space="preserve"> </w:t>
            </w:r>
            <w:r w:rsidRPr="0026420A">
              <w:t xml:space="preserve">(CASP) ca subiecți care cad sub incidența regimului de prevenire și combatere a spălării banilor și finanțării terorismului. Prin urmare, obligațiile din domeniu nu pot fi extinse printr-o formulare generală asupra unei categorii nedefinite de </w:t>
            </w:r>
            <w:r w:rsidRPr="0026420A">
              <w:rPr>
                <w:i/>
                <w:iCs/>
              </w:rPr>
              <w:t xml:space="preserve">„orice persoană implicată în emitere, ofertă publică ori </w:t>
            </w:r>
            <w:r w:rsidRPr="0026420A">
              <w:rPr>
                <w:i/>
                <w:iCs/>
              </w:rPr>
              <w:lastRenderedPageBreak/>
              <w:t>admitere la tranzacționare”</w:t>
            </w:r>
            <w:r w:rsidRPr="0026420A">
              <w:t>, ceea ce impune reformularea dispoziției normei prin</w:t>
            </w:r>
          </w:p>
          <w:p w14:paraId="7922268A" w14:textId="0EADC1D3" w:rsidR="00CB0A00" w:rsidRPr="0026420A" w:rsidRDefault="00CB0A00" w:rsidP="00CB0A00">
            <w:pPr>
              <w:ind w:left="-57" w:firstLine="0"/>
              <w:jc w:val="left"/>
            </w:pPr>
            <w:r w:rsidRPr="0026420A">
              <w:t>excluderea acestora.</w:t>
            </w:r>
          </w:p>
        </w:tc>
        <w:tc>
          <w:tcPr>
            <w:tcW w:w="5281" w:type="dxa"/>
            <w:tcMar>
              <w:top w:w="0" w:type="dxa"/>
              <w:left w:w="108" w:type="dxa"/>
              <w:bottom w:w="0" w:type="dxa"/>
              <w:right w:w="108" w:type="dxa"/>
            </w:tcMar>
          </w:tcPr>
          <w:p w14:paraId="07AA7C7B" w14:textId="642E8CA9" w:rsidR="00CB0A00" w:rsidRPr="0026420A" w:rsidRDefault="00CB0A00" w:rsidP="008C7788">
            <w:pPr>
              <w:ind w:firstLine="0"/>
              <w:rPr>
                <w:b/>
                <w:bCs/>
              </w:rPr>
            </w:pPr>
            <w:r w:rsidRPr="0026420A">
              <w:rPr>
                <w:b/>
                <w:bCs/>
              </w:rPr>
              <w:lastRenderedPageBreak/>
              <w:t>Se acceptă.</w:t>
            </w:r>
          </w:p>
          <w:p w14:paraId="2E2D72BF" w14:textId="32762BD6" w:rsidR="00CB0A00" w:rsidRPr="0026420A" w:rsidRDefault="00CB0A00" w:rsidP="00CB0A00">
            <w:pPr>
              <w:ind w:firstLine="0"/>
            </w:pPr>
            <w:r w:rsidRPr="0026420A">
              <w:t>Alineatul (6) la art. 2 din proiectul de Lege se exclude.</w:t>
            </w:r>
          </w:p>
        </w:tc>
      </w:tr>
      <w:tr w:rsidR="00CB0A00" w:rsidRPr="0026420A" w14:paraId="4082D4FF" w14:textId="77777777" w:rsidTr="001F4857">
        <w:trPr>
          <w:trHeight w:val="300"/>
        </w:trPr>
        <w:tc>
          <w:tcPr>
            <w:tcW w:w="2206" w:type="dxa"/>
            <w:vMerge/>
            <w:tcMar>
              <w:top w:w="0" w:type="dxa"/>
              <w:left w:w="108" w:type="dxa"/>
              <w:bottom w:w="0" w:type="dxa"/>
              <w:right w:w="108" w:type="dxa"/>
            </w:tcMar>
          </w:tcPr>
          <w:p w14:paraId="44A1BD85" w14:textId="77777777" w:rsidR="00CB0A00" w:rsidRPr="0026420A" w:rsidRDefault="00CB0A00" w:rsidP="00CB0A00">
            <w:pPr>
              <w:ind w:firstLine="0"/>
              <w:jc w:val="left"/>
              <w:rPr>
                <w:b/>
                <w:bCs/>
              </w:rPr>
            </w:pPr>
          </w:p>
        </w:tc>
        <w:tc>
          <w:tcPr>
            <w:tcW w:w="579" w:type="dxa"/>
            <w:tcMar>
              <w:top w:w="0" w:type="dxa"/>
              <w:left w:w="108" w:type="dxa"/>
              <w:bottom w:w="0" w:type="dxa"/>
              <w:right w:w="108" w:type="dxa"/>
            </w:tcMar>
          </w:tcPr>
          <w:p w14:paraId="0BF066AB" w14:textId="77777777" w:rsidR="00CB0A00" w:rsidRPr="0026420A" w:rsidRDefault="00CB0A00" w:rsidP="00CB0A0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7FD045E6" w14:textId="72A83353" w:rsidR="00CB0A00" w:rsidRPr="0026420A" w:rsidRDefault="00CB0A00" w:rsidP="0056693D">
            <w:pPr>
              <w:ind w:left="-57" w:firstLine="0"/>
            </w:pPr>
            <w:r w:rsidRPr="0026420A">
              <w:t xml:space="preserve">În aceeași ordine de idei, se propune excluderea procedurii prevăzute la art. 20, alin. (4), or prin aceasta se instituie în sarcina Serviciului obligația de efectuare a evaluării conformității cu cerințele în domeniul prevenirii și combaterii spălării banilor și finanțării terorismului în privința </w:t>
            </w:r>
            <w:r w:rsidRPr="0026420A">
              <w:rPr>
                <w:i/>
                <w:iCs/>
              </w:rPr>
              <w:t>„emitenților solicitanți”</w:t>
            </w:r>
            <w:r w:rsidRPr="0026420A">
              <w:t>, ceea ce denotă că în redacția actuală norma supune unei evaluări de conformitate o categorie de persoane</w:t>
            </w:r>
          </w:p>
          <w:p w14:paraId="29D56CE0" w14:textId="27D3227D" w:rsidR="00CB0A00" w:rsidRPr="0026420A" w:rsidRDefault="00CB0A00" w:rsidP="0056693D">
            <w:pPr>
              <w:ind w:left="-57" w:firstLine="0"/>
              <w:rPr>
                <w:i/>
                <w:iCs/>
              </w:rPr>
            </w:pPr>
            <w:r w:rsidRPr="0026420A">
              <w:t xml:space="preserve">căreia </w:t>
            </w:r>
            <w:r w:rsidRPr="0026420A">
              <w:rPr>
                <w:i/>
                <w:iCs/>
              </w:rPr>
              <w:t xml:space="preserve">Legea cu privire la prevenirea și combaterea spălării banilor și finanțării terorismului </w:t>
            </w:r>
            <w:r w:rsidRPr="0026420A">
              <w:t>nu le va atribui obligații în acest domeniu. Or, evaluarea conformității cu cerințele din domeniu poate viza doar entitățile raportoare cărora asemenea obligații le sunt atribuite expres prin lege. Subsecvent, se propune excluderea alin. (4) de la art. 20</w:t>
            </w:r>
          </w:p>
          <w:p w14:paraId="209F6F50" w14:textId="7BBE9C45" w:rsidR="00CB0A00" w:rsidRPr="0026420A" w:rsidRDefault="00CB0A00" w:rsidP="00CB0A00">
            <w:pPr>
              <w:ind w:left="-57" w:firstLine="0"/>
              <w:jc w:val="left"/>
            </w:pPr>
            <w:r w:rsidRPr="0026420A">
              <w:t>din proiect, or menținerea acesteia riscă să genereze confuzii.</w:t>
            </w:r>
          </w:p>
        </w:tc>
        <w:tc>
          <w:tcPr>
            <w:tcW w:w="5281" w:type="dxa"/>
            <w:tcMar>
              <w:top w:w="0" w:type="dxa"/>
              <w:left w:w="108" w:type="dxa"/>
              <w:bottom w:w="0" w:type="dxa"/>
              <w:right w:w="108" w:type="dxa"/>
            </w:tcMar>
          </w:tcPr>
          <w:p w14:paraId="01BF2F5A" w14:textId="77777777" w:rsidR="00987AA8" w:rsidRPr="0026420A" w:rsidRDefault="00B24B88" w:rsidP="008C7788">
            <w:pPr>
              <w:ind w:firstLine="0"/>
              <w:rPr>
                <w:b/>
                <w:bCs/>
              </w:rPr>
            </w:pPr>
            <w:r w:rsidRPr="0026420A">
              <w:rPr>
                <w:b/>
                <w:bCs/>
              </w:rPr>
              <w:t>Se acceptă parțial.</w:t>
            </w:r>
          </w:p>
          <w:p w14:paraId="5F650AEE" w14:textId="1E884AF7" w:rsidR="00CB0A00" w:rsidRPr="0026420A" w:rsidRDefault="00987AA8" w:rsidP="00CB0A00">
            <w:pPr>
              <w:ind w:firstLine="0"/>
            </w:pPr>
            <w:r w:rsidRPr="0026420A">
              <w:t xml:space="preserve">Art. 20 din </w:t>
            </w:r>
            <w:proofErr w:type="spellStart"/>
            <w:r w:rsidRPr="0026420A">
              <w:t>MiCA</w:t>
            </w:r>
            <w:proofErr w:type="spellEnd"/>
            <w:r w:rsidRPr="0026420A">
              <w:t xml:space="preserve"> permite autorității competente, în procesul de evaluare a cererii de autorizare, să coopereze cu autoritățile din domeniul prevenirii și combaterii spălării banilor și finanțării terorismului, cu unitățile de informații financiare sau cu alte organisme publice.</w:t>
            </w:r>
          </w:p>
          <w:p w14:paraId="7B1CCDD0" w14:textId="55B0464A" w:rsidR="00201D09" w:rsidRPr="0026420A" w:rsidRDefault="00201D09" w:rsidP="00CB0A00">
            <w:pPr>
              <w:ind w:firstLine="0"/>
            </w:pPr>
            <w:r w:rsidRPr="0026420A">
              <w:t>În acest context</w:t>
            </w:r>
            <w:r w:rsidR="00D924B4" w:rsidRPr="0026420A">
              <w:t>, la solicitarea Comisiei Naționale, Serviciul Prevenirea și Combaterea Spălării Banilor poate furniza informații, opinii sau evaluări specializate cu privire la riscurile de spălare a banilor și finanțare a terorismului aferente emitentului solicitant, persoanelor asociate acestuia, acestea urmând a fi avute în vedere de autoritatea competentă la aprecierea existenței unor motive obiective că emitentul sau sectorul ar putea fi expus unor riscuri grave de spălare a banilor și finanțare a terorismului. Această cooperare nu echivalează cu atribuirea automată a calității de entitate raportoare emitentului solicitant și nu instituie în sarcina Serviciului obligația de evaluare generală a conformității acestuia, ci reprezintă un mecanism de fundamentare a deciziei de autorizare, refuz sau retragere, în cazurile prevăzute de proiectul de lege.</w:t>
            </w:r>
          </w:p>
          <w:p w14:paraId="7F53734F" w14:textId="1B10993B" w:rsidR="00EF4465" w:rsidRPr="0026420A" w:rsidRDefault="00B24B88" w:rsidP="00CB0A00">
            <w:pPr>
              <w:ind w:firstLine="0"/>
            </w:pPr>
            <w:r w:rsidRPr="0026420A">
              <w:t>Se ajustează prevederea în următoarea redacție:</w:t>
            </w:r>
          </w:p>
          <w:p w14:paraId="3C5ABA43" w14:textId="7FA8750D" w:rsidR="00BA1E13" w:rsidRPr="0026420A" w:rsidRDefault="00BA1E13" w:rsidP="00BA1E13">
            <w:pPr>
              <w:ind w:firstLine="0"/>
              <w:rPr>
                <w:i/>
                <w:iCs/>
              </w:rPr>
            </w:pPr>
            <w:r w:rsidRPr="0026420A">
              <w:rPr>
                <w:i/>
                <w:iCs/>
              </w:rPr>
              <w:t xml:space="preserve">(4) În cursul procesului de evaluare, fără a aduce atingere alin. (5)–(7), Comisia Națională poate coopera cu Serviciul Prevenirea </w:t>
            </w:r>
            <w:proofErr w:type="spellStart"/>
            <w:r w:rsidRPr="0026420A">
              <w:rPr>
                <w:i/>
                <w:iCs/>
              </w:rPr>
              <w:t>şi</w:t>
            </w:r>
            <w:proofErr w:type="spellEnd"/>
            <w:r w:rsidRPr="0026420A">
              <w:rPr>
                <w:i/>
                <w:iCs/>
              </w:rPr>
              <w:t xml:space="preserve"> Combaterea Spălării Banilor sau cu alte autorități publice din Republica Moldova, după caz cu autoritățile competente sau cu alte autorități ori organisme din alte state în temeiul acordurilor de cooperare încheiate. În scopul dat, la solicitarea Comisiei Naționale, Serviciul Prevenirea și Combaterea Spălării Banilor în termen de 20 de zile lucrătoare de la data primirii solicitării, furnizează informații și opinii specializate privind riscurile de spălare a banilor și finanțare a terorismului aferente emitentului solicitant și persoanelor relevante asociate acestuia. Informațiile și opiniile furnizate de Serviciul Prevenirea și Combaterea Spălării Banilor au caracter consultativ.</w:t>
            </w:r>
          </w:p>
          <w:p w14:paraId="1F7E0497" w14:textId="46977B1C" w:rsidR="00B24B88" w:rsidRPr="0026420A" w:rsidRDefault="00B24B88" w:rsidP="00CB0A00">
            <w:pPr>
              <w:ind w:firstLine="0"/>
              <w:rPr>
                <w:i/>
                <w:iCs/>
              </w:rPr>
            </w:pPr>
          </w:p>
        </w:tc>
      </w:tr>
      <w:tr w:rsidR="00CB0A00" w:rsidRPr="0026420A" w14:paraId="2B91B034" w14:textId="77777777" w:rsidTr="001F4857">
        <w:trPr>
          <w:trHeight w:val="5520"/>
        </w:trPr>
        <w:tc>
          <w:tcPr>
            <w:tcW w:w="2206" w:type="dxa"/>
            <w:vMerge/>
            <w:tcMar>
              <w:top w:w="0" w:type="dxa"/>
              <w:left w:w="108" w:type="dxa"/>
              <w:bottom w:w="0" w:type="dxa"/>
              <w:right w:w="108" w:type="dxa"/>
            </w:tcMar>
          </w:tcPr>
          <w:p w14:paraId="60B9593A" w14:textId="77777777" w:rsidR="00CB0A00" w:rsidRPr="0026420A" w:rsidRDefault="00CB0A00" w:rsidP="00CB0A00">
            <w:pPr>
              <w:ind w:firstLine="0"/>
              <w:jc w:val="left"/>
              <w:rPr>
                <w:b/>
                <w:bCs/>
              </w:rPr>
            </w:pPr>
          </w:p>
        </w:tc>
        <w:tc>
          <w:tcPr>
            <w:tcW w:w="579" w:type="dxa"/>
            <w:tcMar>
              <w:top w:w="0" w:type="dxa"/>
              <w:left w:w="108" w:type="dxa"/>
              <w:bottom w:w="0" w:type="dxa"/>
              <w:right w:w="108" w:type="dxa"/>
            </w:tcMar>
          </w:tcPr>
          <w:p w14:paraId="41A0FC62" w14:textId="77777777" w:rsidR="00CB0A00" w:rsidRPr="0026420A" w:rsidRDefault="00CB0A00" w:rsidP="00CB0A0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63262B9C" w14:textId="4B6A88F3" w:rsidR="00CB0A00" w:rsidRPr="0026420A" w:rsidRDefault="00CB0A00" w:rsidP="0056693D">
            <w:pPr>
              <w:ind w:left="-57" w:firstLine="0"/>
            </w:pPr>
            <w:r w:rsidRPr="0026420A">
              <w:t xml:space="preserve">Cu privire la art. 18, alin. (2), lit. g), autorul prevede că persoanele juridice care intenționează să efectueze o ofertă publică sau să solicite admiterea la tranzacționare a </w:t>
            </w:r>
            <w:proofErr w:type="spellStart"/>
            <w:r w:rsidRPr="0026420A">
              <w:t>tokenurilor</w:t>
            </w:r>
            <w:proofErr w:type="spellEnd"/>
            <w:r w:rsidRPr="0026420A">
              <w:t xml:space="preserve"> raportate la active, </w:t>
            </w:r>
            <w:r w:rsidRPr="0026420A">
              <w:rPr>
                <w:i/>
                <w:iCs/>
              </w:rPr>
              <w:t xml:space="preserve">„în cazul în care există acorduri de cooperare cu anumiți furnizori de servicii de </w:t>
            </w:r>
            <w:proofErr w:type="spellStart"/>
            <w:r w:rsidRPr="0026420A">
              <w:rPr>
                <w:i/>
                <w:iCs/>
              </w:rPr>
              <w:t>criptoactive</w:t>
            </w:r>
            <w:proofErr w:type="spellEnd"/>
            <w:r w:rsidRPr="0026420A">
              <w:rPr>
                <w:i/>
                <w:iCs/>
              </w:rPr>
              <w:t>”</w:t>
            </w:r>
            <w:r w:rsidRPr="0026420A">
              <w:t xml:space="preserve">, urmează să prezinte Comisiei Naționale, în cadrul procedurii de autorizare </w:t>
            </w:r>
            <w:r w:rsidRPr="0026420A">
              <w:rPr>
                <w:i/>
                <w:iCs/>
              </w:rPr>
              <w:t>„o descriere a mecanismelor și procedurilor de</w:t>
            </w:r>
          </w:p>
          <w:p w14:paraId="26A794F2" w14:textId="77777777" w:rsidR="00CB0A00" w:rsidRPr="0026420A" w:rsidRDefault="00CB0A00" w:rsidP="0056693D">
            <w:pPr>
              <w:ind w:left="-57" w:firstLine="0"/>
              <w:rPr>
                <w:i/>
                <w:iCs/>
              </w:rPr>
            </w:pPr>
            <w:r w:rsidRPr="0026420A">
              <w:rPr>
                <w:i/>
                <w:iCs/>
              </w:rPr>
              <w:t>control intern ale acestora pentru a asigura respectarea obligațiilor legate de prevenirea spălării banilor și a finanțării terorismului în temeiul Legii nr. 308/2017”</w:t>
            </w:r>
            <w:r w:rsidRPr="0026420A">
              <w:t>.</w:t>
            </w:r>
          </w:p>
          <w:p w14:paraId="3EE8172E" w14:textId="35A5210C" w:rsidR="00CB0A00" w:rsidRPr="0026420A" w:rsidRDefault="00CB0A00" w:rsidP="0056693D">
            <w:pPr>
              <w:ind w:left="-57" w:firstLine="0"/>
            </w:pPr>
            <w:r w:rsidRPr="0026420A">
              <w:t>În redacția actuală norma este neclară, poate genera obligații dificil sau imposibil de realizat și poate conduce la practici neuniforme de aplicare din partea autorității competente. Or, persoanele implicate în oferta publică și admiterea la tranzacționare nu sunt, prin ele însele, subiecți ai obligațiilor instituite de legislația cu privire la prevenirea și combaterea spălării banilor și finanțării terorismului, iar mecanismele și procedurile interne de control pentru respectarea obligațiilor prevăzute de legea din</w:t>
            </w:r>
            <w:r w:rsidR="0056693D" w:rsidRPr="0026420A">
              <w:t xml:space="preserve"> </w:t>
            </w:r>
            <w:r w:rsidRPr="0026420A">
              <w:t xml:space="preserve">domeniu aparțin, după caz, furnizorilor de servicii de </w:t>
            </w:r>
            <w:proofErr w:type="spellStart"/>
            <w:r w:rsidRPr="0026420A">
              <w:t>criptoactive</w:t>
            </w:r>
            <w:proofErr w:type="spellEnd"/>
            <w:r w:rsidRPr="0026420A">
              <w:t xml:space="preserve"> cărora aceasta le atribuie asemenea obligații.</w:t>
            </w:r>
          </w:p>
          <w:p w14:paraId="57FF0E2C" w14:textId="68CE1F78" w:rsidR="00CB0A00" w:rsidRPr="0026420A" w:rsidRDefault="00CB0A00" w:rsidP="0056693D">
            <w:pPr>
              <w:ind w:left="-57" w:firstLine="0"/>
              <w:rPr>
                <w:i/>
                <w:iCs/>
              </w:rPr>
            </w:pPr>
            <w:r w:rsidRPr="0026420A">
              <w:t>În aceste condiții, nu este clar în ce măsură persoana juridică solicitantă poate furniza, în mod complet și exact, descrierea mecanismelor și procedurilor interne ale unei alte entități. Prin urmare, se impune clarificarea textului de la art. 18, alin. (2), lit. g), în sensul limitării obligației la prezentarea elementelor contractuale sau informațiilor disponibile în mod legitim solicitantului.</w:t>
            </w:r>
          </w:p>
        </w:tc>
        <w:tc>
          <w:tcPr>
            <w:tcW w:w="5281" w:type="dxa"/>
            <w:tcMar>
              <w:top w:w="0" w:type="dxa"/>
              <w:left w:w="108" w:type="dxa"/>
              <w:bottom w:w="0" w:type="dxa"/>
              <w:right w:w="108" w:type="dxa"/>
            </w:tcMar>
          </w:tcPr>
          <w:p w14:paraId="42821EAB" w14:textId="1176E215" w:rsidR="00CB0A00" w:rsidRPr="0026420A" w:rsidRDefault="00CB0A00" w:rsidP="005637F1">
            <w:pPr>
              <w:ind w:firstLine="0"/>
              <w:rPr>
                <w:b/>
                <w:bCs/>
              </w:rPr>
            </w:pPr>
            <w:r w:rsidRPr="0026420A">
              <w:rPr>
                <w:b/>
                <w:bCs/>
              </w:rPr>
              <w:t xml:space="preserve">Nu se acceptă. </w:t>
            </w:r>
          </w:p>
          <w:p w14:paraId="2E0108B7" w14:textId="4D32FEC7" w:rsidR="00A90ED6" w:rsidRPr="0026420A" w:rsidRDefault="00A90ED6" w:rsidP="00CB0A00">
            <w:pPr>
              <w:ind w:firstLine="0"/>
            </w:pPr>
            <w:r w:rsidRPr="0026420A">
              <w:t>Prevederea</w:t>
            </w:r>
            <w:r w:rsidR="00201D09" w:rsidRPr="0026420A">
              <w:t xml:space="preserve"> transpune fidel cerința </w:t>
            </w:r>
            <w:proofErr w:type="spellStart"/>
            <w:r w:rsidR="00201D09" w:rsidRPr="0026420A">
              <w:t>MiCA</w:t>
            </w:r>
            <w:proofErr w:type="spellEnd"/>
            <w:r w:rsidR="00201D09" w:rsidRPr="0026420A">
              <w:t xml:space="preserve"> aferentă documentației prezentate în procedura de autorizare a emitentului de </w:t>
            </w:r>
            <w:proofErr w:type="spellStart"/>
            <w:r w:rsidR="00201D09" w:rsidRPr="0026420A">
              <w:t>tokenuri</w:t>
            </w:r>
            <w:proofErr w:type="spellEnd"/>
            <w:r w:rsidR="00201D09" w:rsidRPr="0026420A">
              <w:t xml:space="preserve"> raportate la active și urmărește evaluarea cadrului de cooperare dintre solicitant și furnizorii de servicii de </w:t>
            </w:r>
            <w:proofErr w:type="spellStart"/>
            <w:r w:rsidR="00201D09" w:rsidRPr="0026420A">
              <w:t>criptoactive</w:t>
            </w:r>
            <w:proofErr w:type="spellEnd"/>
            <w:r w:rsidR="00201D09" w:rsidRPr="0026420A">
              <w:t xml:space="preserve"> implicați, inclusiv sub aspectul măsurilor de control intern relevante pentru conformarea cu legislația </w:t>
            </w:r>
            <w:r w:rsidRPr="0026420A">
              <w:t>cu privire la prevenirea și combaterea spălării banilor și finanțării terorismului</w:t>
            </w:r>
            <w:r w:rsidR="00201D09" w:rsidRPr="0026420A">
              <w:t xml:space="preserve">. </w:t>
            </w:r>
          </w:p>
          <w:p w14:paraId="48D50F6E" w14:textId="18601A0B" w:rsidR="00ED04CB" w:rsidRPr="0026420A" w:rsidRDefault="00ED04CB" w:rsidP="00CB0A00">
            <w:pPr>
              <w:ind w:firstLine="0"/>
            </w:pPr>
            <w:r w:rsidRPr="0026420A">
              <w:t xml:space="preserve">Informația nu este „a unei alte entități” inaccesibilă solicitantului, ci este legitim disponibilă acestuia tocmai în virtutea acordului de cooperare și a obligației de </w:t>
            </w:r>
            <w:proofErr w:type="spellStart"/>
            <w:r w:rsidRPr="0026420A">
              <w:t>due</w:t>
            </w:r>
            <w:proofErr w:type="spellEnd"/>
            <w:r w:rsidRPr="0026420A">
              <w:t xml:space="preserve"> </w:t>
            </w:r>
            <w:proofErr w:type="spellStart"/>
            <w:r w:rsidRPr="0026420A">
              <w:t>diligence</w:t>
            </w:r>
            <w:proofErr w:type="spellEnd"/>
            <w:r w:rsidRPr="0026420A">
              <w:t xml:space="preserve"> asupra </w:t>
            </w:r>
            <w:proofErr w:type="spellStart"/>
            <w:r w:rsidRPr="0026420A">
              <w:t>contrapărților</w:t>
            </w:r>
            <w:proofErr w:type="spellEnd"/>
            <w:r w:rsidRPr="0026420A">
              <w:t>.</w:t>
            </w:r>
          </w:p>
          <w:p w14:paraId="6ECF8E44" w14:textId="30982349" w:rsidR="00CB0A00" w:rsidRPr="0026420A" w:rsidRDefault="00201D09" w:rsidP="00CB0A00">
            <w:pPr>
              <w:ind w:firstLine="0"/>
            </w:pPr>
            <w:r w:rsidRPr="0026420A">
              <w:t>Norma nu trebuie interpretată ca instituind în sarcina solicitantului obligația de a certifica sau garanta</w:t>
            </w:r>
            <w:r w:rsidR="00ED04CB" w:rsidRPr="0026420A">
              <w:t xml:space="preserve"> conformarea </w:t>
            </w:r>
            <w:r w:rsidRPr="0026420A">
              <w:t>proceduril</w:t>
            </w:r>
            <w:r w:rsidR="00ED04CB" w:rsidRPr="0026420A">
              <w:t>or</w:t>
            </w:r>
            <w:r w:rsidRPr="0026420A">
              <w:t xml:space="preserve"> interne ale unei alte entități</w:t>
            </w:r>
            <w:r w:rsidR="00A90ED6" w:rsidRPr="0026420A">
              <w:t xml:space="preserve"> (furnizor de servicii de </w:t>
            </w:r>
            <w:proofErr w:type="spellStart"/>
            <w:r w:rsidR="00A90ED6" w:rsidRPr="0026420A">
              <w:t>criptoactive</w:t>
            </w:r>
            <w:proofErr w:type="spellEnd"/>
            <w:r w:rsidR="00A90ED6" w:rsidRPr="0026420A">
              <w:t>)</w:t>
            </w:r>
            <w:r w:rsidRPr="0026420A">
              <w:t xml:space="preserve">, ci ca obligație de prezentare </w:t>
            </w:r>
            <w:r w:rsidR="00ED04CB" w:rsidRPr="0026420A">
              <w:t>a unei descrieri a</w:t>
            </w:r>
            <w:r w:rsidR="00ED04CB" w:rsidRPr="0026420A">
              <w:rPr>
                <w:b/>
                <w:bCs/>
              </w:rPr>
              <w:t xml:space="preserve"> </w:t>
            </w:r>
            <w:r w:rsidRPr="0026420A">
              <w:t>informațiilor relevante disponibile în mod legal și contractual în cadrul acordurilor de cooperare.</w:t>
            </w:r>
          </w:p>
        </w:tc>
      </w:tr>
      <w:tr w:rsidR="00CB0A00" w:rsidRPr="0026420A" w14:paraId="21B39BF4" w14:textId="77777777" w:rsidTr="001F4857">
        <w:trPr>
          <w:trHeight w:val="300"/>
        </w:trPr>
        <w:tc>
          <w:tcPr>
            <w:tcW w:w="2206" w:type="dxa"/>
            <w:vMerge/>
            <w:tcMar>
              <w:top w:w="0" w:type="dxa"/>
              <w:left w:w="108" w:type="dxa"/>
              <w:bottom w:w="0" w:type="dxa"/>
              <w:right w:w="108" w:type="dxa"/>
            </w:tcMar>
          </w:tcPr>
          <w:p w14:paraId="67CD3DBE" w14:textId="77777777" w:rsidR="00CB0A00" w:rsidRPr="0026420A" w:rsidRDefault="00CB0A00" w:rsidP="00CB0A00">
            <w:pPr>
              <w:ind w:firstLine="0"/>
              <w:jc w:val="left"/>
              <w:rPr>
                <w:b/>
                <w:bCs/>
              </w:rPr>
            </w:pPr>
          </w:p>
        </w:tc>
        <w:tc>
          <w:tcPr>
            <w:tcW w:w="579" w:type="dxa"/>
            <w:tcMar>
              <w:top w:w="0" w:type="dxa"/>
              <w:left w:w="108" w:type="dxa"/>
              <w:bottom w:w="0" w:type="dxa"/>
              <w:right w:w="108" w:type="dxa"/>
            </w:tcMar>
          </w:tcPr>
          <w:p w14:paraId="47C6926A" w14:textId="77777777" w:rsidR="00CB0A00" w:rsidRPr="0026420A" w:rsidRDefault="00CB0A00" w:rsidP="00CB0A0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27EBD808" w14:textId="21CBF629" w:rsidR="00CB0A00" w:rsidRPr="0026420A" w:rsidRDefault="00CB0A00" w:rsidP="0056693D">
            <w:pPr>
              <w:ind w:left="-57" w:firstLine="0"/>
            </w:pPr>
            <w:r w:rsidRPr="0026420A">
              <w:t xml:space="preserve">Cu privire la art. 54, alin. (11) și (12), având în vedere că în sensul articolului respectiv sunt vizate inclusiv instituțiile de credit care vor furniza servicii de </w:t>
            </w:r>
            <w:proofErr w:type="spellStart"/>
            <w:r w:rsidRPr="0026420A">
              <w:t>criptoactive</w:t>
            </w:r>
            <w:proofErr w:type="spellEnd"/>
            <w:r w:rsidRPr="0026420A">
              <w:t>, se consideră oportună includerea Băncii Naționale a Moldovei.</w:t>
            </w:r>
          </w:p>
        </w:tc>
        <w:tc>
          <w:tcPr>
            <w:tcW w:w="5281" w:type="dxa"/>
            <w:tcMar>
              <w:top w:w="0" w:type="dxa"/>
              <w:left w:w="108" w:type="dxa"/>
              <w:bottom w:w="0" w:type="dxa"/>
              <w:right w:w="108" w:type="dxa"/>
            </w:tcMar>
          </w:tcPr>
          <w:p w14:paraId="4BF73BA3" w14:textId="033B3774" w:rsidR="00CB0A00" w:rsidRPr="0026420A" w:rsidRDefault="00CB0A00" w:rsidP="005637F1">
            <w:pPr>
              <w:ind w:firstLine="0"/>
              <w:rPr>
                <w:b/>
                <w:bCs/>
              </w:rPr>
            </w:pPr>
            <w:r w:rsidRPr="0026420A">
              <w:rPr>
                <w:b/>
                <w:bCs/>
              </w:rPr>
              <w:t>Se acceptă</w:t>
            </w:r>
            <w:r w:rsidR="004906A8" w:rsidRPr="0026420A">
              <w:rPr>
                <w:b/>
                <w:bCs/>
              </w:rPr>
              <w:t xml:space="preserve"> parțial</w:t>
            </w:r>
            <w:r w:rsidRPr="0026420A">
              <w:rPr>
                <w:b/>
                <w:bCs/>
              </w:rPr>
              <w:t>.</w:t>
            </w:r>
          </w:p>
          <w:p w14:paraId="7F5C600F" w14:textId="1C4BF075" w:rsidR="00CB0A00" w:rsidRPr="0026420A" w:rsidRDefault="00CB0A00" w:rsidP="00CB0A00">
            <w:pPr>
              <w:ind w:firstLine="0"/>
            </w:pPr>
            <w:r w:rsidRPr="0026420A">
              <w:t xml:space="preserve">Se ajustează </w:t>
            </w:r>
            <w:r w:rsidR="008345B8" w:rsidRPr="0026420A">
              <w:t xml:space="preserve">textul prevederilor proiectului de Lege la </w:t>
            </w:r>
            <w:r w:rsidRPr="0026420A">
              <w:t xml:space="preserve">art. 54, </w:t>
            </w:r>
            <w:r w:rsidR="005469E3" w:rsidRPr="0026420A">
              <w:t xml:space="preserve">cu prevederile </w:t>
            </w:r>
            <w:r w:rsidRPr="0026420A">
              <w:t>dup</w:t>
            </w:r>
            <w:r w:rsidR="002F2DD7" w:rsidRPr="0026420A">
              <w:t>ă</w:t>
            </w:r>
            <w:r w:rsidRPr="0026420A">
              <w:t xml:space="preserve"> cum urmează:</w:t>
            </w:r>
          </w:p>
          <w:p w14:paraId="64F3AE10" w14:textId="08F4F0BC" w:rsidR="002F1069" w:rsidRPr="0026420A" w:rsidRDefault="004906A8" w:rsidP="004906A8">
            <w:pPr>
              <w:ind w:firstLine="0"/>
              <w:rPr>
                <w:i/>
                <w:iCs/>
              </w:rPr>
            </w:pPr>
            <w:bookmarkStart w:id="0" w:name="_Hlk219811051"/>
            <w:r w:rsidRPr="0026420A">
              <w:rPr>
                <w:i/>
                <w:iCs/>
              </w:rPr>
              <w:t xml:space="preserve">(11) </w:t>
            </w:r>
            <w:r w:rsidR="00CB0A00" w:rsidRPr="0026420A">
              <w:rPr>
                <w:i/>
                <w:iCs/>
              </w:rPr>
              <w:t xml:space="preserve">Înainte de a confirma sau refuza dreptul unei entități de a furniza servicii de </w:t>
            </w:r>
            <w:proofErr w:type="spellStart"/>
            <w:r w:rsidR="00CB0A00" w:rsidRPr="0026420A">
              <w:rPr>
                <w:i/>
                <w:iCs/>
              </w:rPr>
              <w:t>criptoactive</w:t>
            </w:r>
            <w:proofErr w:type="spellEnd"/>
            <w:r w:rsidR="00CB0A00" w:rsidRPr="0026420A">
              <w:rPr>
                <w:i/>
                <w:iCs/>
              </w:rPr>
              <w:t xml:space="preserve"> specificate la alin.(1)-(6), </w:t>
            </w:r>
            <w:r w:rsidR="002F1069" w:rsidRPr="0026420A">
              <w:rPr>
                <w:i/>
                <w:iCs/>
              </w:rPr>
              <w:t>Comisia Națională consultă Serviciul Prevenirea și Combaterea Spălării Banilor și, după caz, Banca Națională în calitate de autoritate de supraveghere</w:t>
            </w:r>
            <w:r w:rsidR="003B551C" w:rsidRPr="0026420A">
              <w:rPr>
                <w:i/>
                <w:iCs/>
              </w:rPr>
              <w:t xml:space="preserve"> conform  prevederilor legislației speciale sectoriale</w:t>
            </w:r>
            <w:r w:rsidR="002F1069" w:rsidRPr="0026420A">
              <w:rPr>
                <w:i/>
                <w:iCs/>
              </w:rPr>
              <w:t xml:space="preserve"> pentru instituțiile de credit, instituțiile emitente de monedă electronică și instituțiile de plată, prin transmiterea unei solicitări însoțite de informațiile și documentele relevante prezentate de entitatea notificatoare. </w:t>
            </w:r>
          </w:p>
          <w:p w14:paraId="34A761BB" w14:textId="5958F6D6" w:rsidR="002F1069" w:rsidRPr="0026420A" w:rsidRDefault="002F1069" w:rsidP="004906A8">
            <w:pPr>
              <w:ind w:firstLine="0"/>
              <w:rPr>
                <w:i/>
                <w:iCs/>
              </w:rPr>
            </w:pPr>
            <w:r w:rsidRPr="0026420A">
              <w:rPr>
                <w:i/>
                <w:iCs/>
              </w:rPr>
              <w:t xml:space="preserve">(12) </w:t>
            </w:r>
            <w:r w:rsidR="00B8629C" w:rsidRPr="0026420A">
              <w:rPr>
                <w:i/>
                <w:iCs/>
              </w:rPr>
              <w:t>În scopul aplicării alin. (11), Serviciul Prevenirea și Combaterea Spălării Banilor la solicitarea Comisiei Naționale</w:t>
            </w:r>
            <w:r w:rsidR="005469E3" w:rsidRPr="0026420A">
              <w:rPr>
                <w:i/>
                <w:iCs/>
              </w:rPr>
              <w:t>,</w:t>
            </w:r>
            <w:r w:rsidR="00B8629C" w:rsidRPr="0026420A">
              <w:rPr>
                <w:i/>
                <w:iCs/>
              </w:rPr>
              <w:t xml:space="preserve"> în termen de 20 de zile lucrătoare de la data primirii solicitării, furnizează </w:t>
            </w:r>
            <w:r w:rsidRPr="0026420A">
              <w:rPr>
                <w:i/>
                <w:iCs/>
              </w:rPr>
              <w:t xml:space="preserve">informații, opinii sau evaluări specializate privind </w:t>
            </w:r>
            <w:r w:rsidRPr="0026420A">
              <w:rPr>
                <w:i/>
                <w:iCs/>
              </w:rPr>
              <w:lastRenderedPageBreak/>
              <w:t xml:space="preserve">riscurile de spălare a banilor și finanțare a terorismului aferente entității notificatoare, persoanelor relevante asociate acesteia și serviciilor de </w:t>
            </w:r>
            <w:proofErr w:type="spellStart"/>
            <w:r w:rsidRPr="0026420A">
              <w:rPr>
                <w:i/>
                <w:iCs/>
              </w:rPr>
              <w:t>criptoactive</w:t>
            </w:r>
            <w:proofErr w:type="spellEnd"/>
            <w:r w:rsidRPr="0026420A">
              <w:rPr>
                <w:i/>
                <w:iCs/>
              </w:rPr>
              <w:t xml:space="preserve"> ce urmează a fi furnizate, inclusiv</w:t>
            </w:r>
            <w:r w:rsidR="005A2389" w:rsidRPr="0026420A">
              <w:rPr>
                <w:i/>
                <w:iCs/>
              </w:rPr>
              <w:t>, după caz,</w:t>
            </w:r>
            <w:r w:rsidRPr="0026420A">
              <w:rPr>
                <w:i/>
                <w:iCs/>
              </w:rPr>
              <w:t xml:space="preserve"> privind conformitatea informațiilor și documentelor </w:t>
            </w:r>
            <w:r w:rsidR="00DF2E0C" w:rsidRPr="0026420A">
              <w:rPr>
                <w:i/>
                <w:iCs/>
              </w:rPr>
              <w:t xml:space="preserve">relevante </w:t>
            </w:r>
            <w:r w:rsidRPr="0026420A">
              <w:rPr>
                <w:i/>
                <w:iCs/>
              </w:rPr>
              <w:t>prevăzute la alin. (7) cu cerințele legislației în domeniul prevenirii și combaterii spălării banilor și finanțării terorismului</w:t>
            </w:r>
            <w:r w:rsidR="00E64EF1" w:rsidRPr="0026420A">
              <w:t xml:space="preserve"> </w:t>
            </w:r>
            <w:r w:rsidR="00E64EF1" w:rsidRPr="0026420A">
              <w:rPr>
                <w:i/>
                <w:iCs/>
              </w:rPr>
              <w:t>și ale actelor normative de punere în aplicare a acesteia</w:t>
            </w:r>
            <w:r w:rsidRPr="0026420A">
              <w:rPr>
                <w:i/>
                <w:iCs/>
              </w:rPr>
              <w:t>.</w:t>
            </w:r>
            <w:r w:rsidR="009C5BFF" w:rsidRPr="0026420A">
              <w:t xml:space="preserve"> </w:t>
            </w:r>
            <w:r w:rsidR="009C5BFF" w:rsidRPr="0026420A">
              <w:rPr>
                <w:i/>
                <w:iCs/>
              </w:rPr>
              <w:t>Informațiile, opiniile și evaluările furnizate de Serviciul Prevenirea și Combaterea Spălării Banilor au caracter consultativ.</w:t>
            </w:r>
          </w:p>
          <w:p w14:paraId="1DCB777C" w14:textId="26CC4EE1" w:rsidR="00CB0A00" w:rsidRPr="0026420A" w:rsidRDefault="00DF2E0C" w:rsidP="002F2DD7">
            <w:pPr>
              <w:ind w:firstLine="0"/>
            </w:pPr>
            <w:r w:rsidRPr="0026420A">
              <w:rPr>
                <w:i/>
                <w:iCs/>
              </w:rPr>
              <w:t xml:space="preserve">(13) </w:t>
            </w:r>
            <w:r w:rsidR="005469E3" w:rsidRPr="0026420A">
              <w:rPr>
                <w:i/>
                <w:iCs/>
              </w:rPr>
              <w:t xml:space="preserve">În scopul aplicării alin. (11), Banca Națională la solicitarea Comisiei Naționale, în termen de 20 de zile lucrătoare de la data primirii solicitării, </w:t>
            </w:r>
            <w:r w:rsidRPr="0026420A">
              <w:rPr>
                <w:i/>
                <w:iCs/>
              </w:rPr>
              <w:t xml:space="preserve"> </w:t>
            </w:r>
            <w:r w:rsidR="005469E3" w:rsidRPr="0026420A">
              <w:rPr>
                <w:i/>
                <w:iCs/>
              </w:rPr>
              <w:t xml:space="preserve">în cazul entităților notificatoare aflate în supravegherea sa, furnizează </w:t>
            </w:r>
            <w:r w:rsidRPr="0026420A">
              <w:rPr>
                <w:i/>
                <w:iCs/>
              </w:rPr>
              <w:t xml:space="preserve">informațiile relevante </w:t>
            </w:r>
            <w:r w:rsidR="005469E3" w:rsidRPr="0026420A">
              <w:rPr>
                <w:i/>
                <w:iCs/>
              </w:rPr>
              <w:t xml:space="preserve">deținute și </w:t>
            </w:r>
            <w:r w:rsidR="008F433F" w:rsidRPr="0026420A">
              <w:rPr>
                <w:i/>
                <w:iCs/>
              </w:rPr>
              <w:t>rezultate din exercitarea atribuțiilor sale de supraveghere</w:t>
            </w:r>
            <w:r w:rsidRPr="0026420A">
              <w:rPr>
                <w:i/>
                <w:iCs/>
              </w:rPr>
              <w:t>, inclusiv, după caz, informații privind statutul de autorizare</w:t>
            </w:r>
            <w:r w:rsidR="002F2DD7" w:rsidRPr="0026420A">
              <w:rPr>
                <w:i/>
                <w:iCs/>
              </w:rPr>
              <w:t xml:space="preserve"> a entității</w:t>
            </w:r>
            <w:r w:rsidRPr="0026420A">
              <w:rPr>
                <w:i/>
                <w:iCs/>
              </w:rPr>
              <w:t>,</w:t>
            </w:r>
            <w:r w:rsidR="00C47537" w:rsidRPr="0026420A">
              <w:rPr>
                <w:i/>
                <w:iCs/>
              </w:rPr>
              <w:t xml:space="preserve"> </w:t>
            </w:r>
            <w:r w:rsidRPr="0026420A">
              <w:rPr>
                <w:i/>
                <w:iCs/>
              </w:rPr>
              <w:t>măsurile de supraveghere</w:t>
            </w:r>
            <w:r w:rsidR="002F2DD7" w:rsidRPr="0026420A">
              <w:rPr>
                <w:i/>
                <w:iCs/>
              </w:rPr>
              <w:t xml:space="preserve"> și sancțiunile </w:t>
            </w:r>
            <w:r w:rsidRPr="0026420A">
              <w:rPr>
                <w:i/>
                <w:iCs/>
              </w:rPr>
              <w:t>aplicate</w:t>
            </w:r>
            <w:r w:rsidR="005469E3" w:rsidRPr="0026420A">
              <w:rPr>
                <w:i/>
                <w:iCs/>
              </w:rPr>
              <w:t>,</w:t>
            </w:r>
            <w:r w:rsidR="002F2DD7" w:rsidRPr="0026420A">
              <w:rPr>
                <w:i/>
                <w:iCs/>
              </w:rPr>
              <w:t xml:space="preserve"> </w:t>
            </w:r>
            <w:r w:rsidR="005469E3" w:rsidRPr="0026420A">
              <w:rPr>
                <w:i/>
                <w:iCs/>
              </w:rPr>
              <w:t>în măsura în care acestea sunt în vigoare sau produc efecte,</w:t>
            </w:r>
            <w:r w:rsidRPr="0026420A">
              <w:rPr>
                <w:i/>
                <w:iCs/>
              </w:rPr>
              <w:t xml:space="preserve"> nivelul de conformare cu cerințele prudențiale</w:t>
            </w:r>
            <w:r w:rsidR="002F2DD7" w:rsidRPr="0026420A">
              <w:rPr>
                <w:i/>
                <w:iCs/>
              </w:rPr>
              <w:t xml:space="preserve">, precum </w:t>
            </w:r>
            <w:r w:rsidRPr="0026420A">
              <w:rPr>
                <w:i/>
                <w:iCs/>
              </w:rPr>
              <w:t xml:space="preserve">și cu cerințele în domeniul prevenirii și combaterii spălării banilor și finanțării terorismului, în măsura în care acestea sunt relevante pentru aprecierea dreptului entității de a furniza servicii de </w:t>
            </w:r>
            <w:proofErr w:type="spellStart"/>
            <w:r w:rsidRPr="0026420A">
              <w:rPr>
                <w:i/>
                <w:iCs/>
              </w:rPr>
              <w:t>criptoactive</w:t>
            </w:r>
            <w:proofErr w:type="spellEnd"/>
            <w:r w:rsidRPr="0026420A">
              <w:rPr>
                <w:i/>
                <w:iCs/>
              </w:rPr>
              <w:t>.</w:t>
            </w:r>
            <w:bookmarkEnd w:id="0"/>
            <w:r w:rsidR="009C5BFF" w:rsidRPr="0026420A">
              <w:rPr>
                <w:i/>
                <w:iCs/>
              </w:rPr>
              <w:t xml:space="preserve"> Informațiile furnizate de Banca Națională au caracter consultativ.</w:t>
            </w:r>
            <w:r w:rsidR="003361D2" w:rsidRPr="0026420A">
              <w:rPr>
                <w:i/>
                <w:iCs/>
              </w:rPr>
              <w:t>”</w:t>
            </w:r>
          </w:p>
        </w:tc>
      </w:tr>
      <w:tr w:rsidR="00CB0A00" w:rsidRPr="0026420A" w14:paraId="6BA71319" w14:textId="77777777" w:rsidTr="001F4857">
        <w:trPr>
          <w:trHeight w:val="300"/>
        </w:trPr>
        <w:tc>
          <w:tcPr>
            <w:tcW w:w="2206" w:type="dxa"/>
            <w:vMerge/>
            <w:tcMar>
              <w:top w:w="0" w:type="dxa"/>
              <w:left w:w="108" w:type="dxa"/>
              <w:bottom w:w="0" w:type="dxa"/>
              <w:right w:w="108" w:type="dxa"/>
            </w:tcMar>
          </w:tcPr>
          <w:p w14:paraId="1B91463A" w14:textId="77777777" w:rsidR="00CB0A00" w:rsidRPr="0026420A" w:rsidRDefault="00CB0A00" w:rsidP="00CB0A00">
            <w:pPr>
              <w:ind w:firstLine="0"/>
              <w:jc w:val="left"/>
              <w:rPr>
                <w:b/>
                <w:bCs/>
              </w:rPr>
            </w:pPr>
          </w:p>
        </w:tc>
        <w:tc>
          <w:tcPr>
            <w:tcW w:w="579" w:type="dxa"/>
            <w:tcMar>
              <w:top w:w="0" w:type="dxa"/>
              <w:left w:w="108" w:type="dxa"/>
              <w:bottom w:w="0" w:type="dxa"/>
              <w:right w:w="108" w:type="dxa"/>
            </w:tcMar>
          </w:tcPr>
          <w:p w14:paraId="2F3FDC70" w14:textId="77777777" w:rsidR="00CB0A00" w:rsidRPr="0026420A" w:rsidRDefault="00CB0A00" w:rsidP="00CB0A0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3FF88576" w14:textId="74806273" w:rsidR="00CB0A00" w:rsidRPr="0026420A" w:rsidRDefault="00CB0A00" w:rsidP="0056693D">
            <w:pPr>
              <w:ind w:left="-57" w:firstLine="0"/>
              <w:rPr>
                <w:i/>
                <w:iCs/>
              </w:rPr>
            </w:pPr>
            <w:r w:rsidRPr="0026420A">
              <w:t xml:space="preserve">La art. 56, alin. (2), lit. j), se propunere excluderea sintagmei </w:t>
            </w:r>
            <w:r w:rsidRPr="0026420A">
              <w:rPr>
                <w:i/>
                <w:iCs/>
              </w:rPr>
              <w:t>„inclusiv a riscurilor de spălare a banilor și de finanțare a terorismului”</w:t>
            </w:r>
            <w:r w:rsidRPr="0026420A">
              <w:t xml:space="preserve">, or aceasta reiese nemijlocit de la lit. i) care face trimitere la </w:t>
            </w:r>
            <w:r w:rsidRPr="0026420A">
              <w:rPr>
                <w:i/>
                <w:iCs/>
              </w:rPr>
              <w:t>„respectarea legislației cu privire la prevenirea și combaterea spălării banilor și actelor normative de punere în aplicare a acesteia”</w:t>
            </w:r>
            <w:r w:rsidRPr="0026420A">
              <w:t>.</w:t>
            </w:r>
          </w:p>
        </w:tc>
        <w:tc>
          <w:tcPr>
            <w:tcW w:w="5281" w:type="dxa"/>
            <w:tcMar>
              <w:top w:w="0" w:type="dxa"/>
              <w:left w:w="108" w:type="dxa"/>
              <w:bottom w:w="0" w:type="dxa"/>
              <w:right w:w="108" w:type="dxa"/>
            </w:tcMar>
          </w:tcPr>
          <w:p w14:paraId="6CB4330C" w14:textId="6F108D3B" w:rsidR="00CB0A00" w:rsidRPr="0026420A" w:rsidRDefault="004A33CF" w:rsidP="005637F1">
            <w:pPr>
              <w:ind w:firstLine="0"/>
              <w:rPr>
                <w:b/>
                <w:bCs/>
              </w:rPr>
            </w:pPr>
            <w:r w:rsidRPr="0026420A">
              <w:rPr>
                <w:b/>
                <w:bCs/>
              </w:rPr>
              <w:t>Nu s</w:t>
            </w:r>
            <w:r w:rsidR="00CB0A00" w:rsidRPr="0026420A">
              <w:rPr>
                <w:b/>
                <w:bCs/>
              </w:rPr>
              <w:t>e acceptă.</w:t>
            </w:r>
          </w:p>
          <w:p w14:paraId="6E2C328E" w14:textId="71479FEE" w:rsidR="0057212F" w:rsidRPr="0026420A" w:rsidRDefault="0057212F" w:rsidP="00CB0A00">
            <w:pPr>
              <w:ind w:firstLine="0"/>
              <w:rPr>
                <w:b/>
                <w:bCs/>
              </w:rPr>
            </w:pPr>
            <w:r w:rsidRPr="0026420A">
              <w:t xml:space="preserve">Prevederea transpune fidel cerința </w:t>
            </w:r>
            <w:proofErr w:type="spellStart"/>
            <w:r w:rsidRPr="0026420A">
              <w:t>MiCA</w:t>
            </w:r>
            <w:proofErr w:type="spellEnd"/>
            <w:r w:rsidRPr="0026420A">
              <w:t xml:space="preserve"> aferentă documentației prezentate în procedura de autorizare unui furnizor de servicii de </w:t>
            </w:r>
            <w:proofErr w:type="spellStart"/>
            <w:r w:rsidRPr="0026420A">
              <w:t>criptoactive</w:t>
            </w:r>
            <w:proofErr w:type="spellEnd"/>
            <w:r w:rsidRPr="0026420A">
              <w:t>.</w:t>
            </w:r>
          </w:p>
          <w:p w14:paraId="4B1C7CBE" w14:textId="0DF3F5F1" w:rsidR="004A33CF" w:rsidRPr="0026420A" w:rsidRDefault="0057212F" w:rsidP="00CB0A00">
            <w:pPr>
              <w:ind w:firstLine="0"/>
            </w:pPr>
            <w:r w:rsidRPr="0026420A">
              <w:t>Cerința de la l</w:t>
            </w:r>
            <w:r w:rsidR="004A33CF" w:rsidRPr="0026420A">
              <w:t xml:space="preserve">it. i) vizează cum se conformează entitatea cu cerințele </w:t>
            </w:r>
            <w:r w:rsidR="004A33CF" w:rsidRPr="0026420A">
              <w:rPr>
                <w:i/>
                <w:iCs/>
              </w:rPr>
              <w:t>la prevăzute cu privire la prevenirea și combaterea spălării banilor și actelor normative de punere în aplicare a acesteia</w:t>
            </w:r>
            <w:r w:rsidR="004A33CF" w:rsidRPr="0026420A">
              <w:t>, iar lit. j) vizează cum entitatea identifică, evaluează și gestionează riscurile, inclusiv riscurile de spălare a banilor și de finanțare a terorismului (</w:t>
            </w:r>
            <w:r w:rsidR="004A33CF" w:rsidRPr="0026420A">
              <w:rPr>
                <w:i/>
                <w:iCs/>
              </w:rPr>
              <w:t xml:space="preserve">cerință de </w:t>
            </w:r>
            <w:proofErr w:type="spellStart"/>
            <w:r w:rsidR="004A33CF" w:rsidRPr="0026420A">
              <w:rPr>
                <w:i/>
                <w:iCs/>
              </w:rPr>
              <w:t>risk</w:t>
            </w:r>
            <w:proofErr w:type="spellEnd"/>
            <w:r w:rsidR="004A33CF" w:rsidRPr="0026420A">
              <w:rPr>
                <w:i/>
                <w:iCs/>
              </w:rPr>
              <w:t xml:space="preserve"> management</w:t>
            </w:r>
            <w:r w:rsidR="004A33CF" w:rsidRPr="0026420A">
              <w:rPr>
                <w:b/>
                <w:bCs/>
              </w:rPr>
              <w:t>)</w:t>
            </w:r>
            <w:r w:rsidR="004A33CF" w:rsidRPr="0026420A">
              <w:t>. Cerințele vizate au obiect distinct și complementar, nu sunt repetitive.</w:t>
            </w:r>
          </w:p>
          <w:p w14:paraId="3C24D25D" w14:textId="07CB5321" w:rsidR="00CB0A00" w:rsidRPr="0026420A" w:rsidRDefault="00CB0A00" w:rsidP="00CB0A00">
            <w:pPr>
              <w:ind w:firstLine="0"/>
            </w:pPr>
          </w:p>
        </w:tc>
      </w:tr>
      <w:tr w:rsidR="00CB0A00" w:rsidRPr="0026420A" w14:paraId="0EC3269D" w14:textId="77777777" w:rsidTr="001F4857">
        <w:trPr>
          <w:trHeight w:val="4140"/>
        </w:trPr>
        <w:tc>
          <w:tcPr>
            <w:tcW w:w="2206" w:type="dxa"/>
            <w:vMerge/>
            <w:tcMar>
              <w:top w:w="0" w:type="dxa"/>
              <w:left w:w="108" w:type="dxa"/>
              <w:bottom w:w="0" w:type="dxa"/>
              <w:right w:w="108" w:type="dxa"/>
            </w:tcMar>
          </w:tcPr>
          <w:p w14:paraId="40BBBAF5" w14:textId="77777777" w:rsidR="00CB0A00" w:rsidRPr="0026420A" w:rsidRDefault="00CB0A00" w:rsidP="00CB0A00">
            <w:pPr>
              <w:ind w:firstLine="0"/>
              <w:jc w:val="left"/>
              <w:rPr>
                <w:b/>
                <w:bCs/>
              </w:rPr>
            </w:pPr>
          </w:p>
        </w:tc>
        <w:tc>
          <w:tcPr>
            <w:tcW w:w="579" w:type="dxa"/>
            <w:tcMar>
              <w:top w:w="0" w:type="dxa"/>
              <w:left w:w="108" w:type="dxa"/>
              <w:bottom w:w="0" w:type="dxa"/>
              <w:right w:w="108" w:type="dxa"/>
            </w:tcMar>
          </w:tcPr>
          <w:p w14:paraId="7D002D7B" w14:textId="77777777" w:rsidR="00CB0A00" w:rsidRPr="0026420A" w:rsidRDefault="00CB0A00" w:rsidP="00CB0A0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652660B6" w14:textId="678D6FA8" w:rsidR="00CB0A00" w:rsidRPr="0026420A" w:rsidRDefault="00CB0A00" w:rsidP="0056693D">
            <w:pPr>
              <w:tabs>
                <w:tab w:val="left" w:pos="1035"/>
              </w:tabs>
              <w:ind w:left="-57" w:firstLine="0"/>
            </w:pPr>
            <w:r w:rsidRPr="0026420A">
              <w:t xml:space="preserve">La art. 57, alin. (7), prevederea atribuie Serviciului obligația furnizării inclusiv a evaluării </w:t>
            </w:r>
            <w:r w:rsidRPr="0026420A">
              <w:rPr>
                <w:i/>
                <w:iCs/>
              </w:rPr>
              <w:t xml:space="preserve">„nivelului de risc” </w:t>
            </w:r>
            <w:r w:rsidRPr="0026420A">
              <w:t>al solicitantului, înainte de autorizare și în lipsa unei activități efectiv desfășurate, ceea ce nu este pe deplin justificat, întrucât o asemenea evaluare nu se poate fundamenta în lipsa unor date operaționale reale, care nu sunt disponibile în etapa prealabilă autorizării. Or, în această etapă procedurală, evaluarea</w:t>
            </w:r>
            <w:r w:rsidR="0056693D" w:rsidRPr="0026420A">
              <w:t xml:space="preserve"> </w:t>
            </w:r>
            <w:r w:rsidRPr="0026420A">
              <w:t>poate viza exclusiv conformitatea cadrului intern prezentat de solicitant cu cerințele legislației în domeniul prevenirii și combaterii spălării banilor și finanțării terorismului.</w:t>
            </w:r>
            <w:r w:rsidRPr="0026420A">
              <w:tab/>
            </w:r>
          </w:p>
          <w:p w14:paraId="0C59171D" w14:textId="77777777" w:rsidR="00CB0A00" w:rsidRPr="0026420A" w:rsidRDefault="00CB0A00" w:rsidP="0056693D">
            <w:pPr>
              <w:tabs>
                <w:tab w:val="left" w:pos="1470"/>
              </w:tabs>
              <w:ind w:left="-57" w:firstLine="0"/>
            </w:pPr>
            <w:r w:rsidRPr="0026420A">
              <w:t>Prin urmare, se impune reformularea alineatului (7), după cum urmează:</w:t>
            </w:r>
          </w:p>
          <w:p w14:paraId="0ADDB7C8" w14:textId="1990F314" w:rsidR="00CB0A00" w:rsidRPr="0026420A" w:rsidRDefault="00CB0A00" w:rsidP="0056693D">
            <w:pPr>
              <w:tabs>
                <w:tab w:val="left" w:pos="1470"/>
              </w:tabs>
              <w:ind w:left="-57" w:firstLine="0"/>
            </w:pPr>
            <w:r w:rsidRPr="0026420A">
              <w:rPr>
                <w:i/>
                <w:iCs/>
              </w:rPr>
              <w:t xml:space="preserve">„(7) În sensul alin. (6), la solicitarea Comisiei Naționale și în termen de 30 de zile lucrătoare de la data primirii solicitării, Serviciul Prevenirea și Combaterea Spălării Banilor furnizează informații privind evaluarea conformității furnizorului de servicii de </w:t>
            </w:r>
            <w:proofErr w:type="spellStart"/>
            <w:r w:rsidRPr="0026420A">
              <w:rPr>
                <w:i/>
                <w:iCs/>
              </w:rPr>
              <w:t>criptoactive</w:t>
            </w:r>
            <w:proofErr w:type="spellEnd"/>
            <w:r w:rsidRPr="0026420A">
              <w:rPr>
                <w:i/>
                <w:iCs/>
              </w:rPr>
              <w:t xml:space="preserve"> solicitant, a informațiilor și documentelor prevăzute la art. 56, lit. i) și m) din prezenta lege, cu cerințele legislației în domeniul prevenirii și</w:t>
            </w:r>
            <w:r w:rsidR="0056693D" w:rsidRPr="0026420A">
              <w:rPr>
                <w:i/>
                <w:iCs/>
              </w:rPr>
              <w:t xml:space="preserve"> </w:t>
            </w:r>
            <w:r w:rsidRPr="0026420A">
              <w:rPr>
                <w:i/>
                <w:iCs/>
              </w:rPr>
              <w:t>combaterii spălării banilor și finanțării terorismului și ale actelor normative de punere în aplicare a acesteia.”</w:t>
            </w:r>
          </w:p>
        </w:tc>
        <w:tc>
          <w:tcPr>
            <w:tcW w:w="5281" w:type="dxa"/>
            <w:tcMar>
              <w:top w:w="0" w:type="dxa"/>
              <w:left w:w="108" w:type="dxa"/>
              <w:bottom w:w="0" w:type="dxa"/>
              <w:right w:w="108" w:type="dxa"/>
            </w:tcMar>
          </w:tcPr>
          <w:p w14:paraId="1E9E7220" w14:textId="6EEE729A" w:rsidR="00CB0A00" w:rsidRPr="0026420A" w:rsidRDefault="00CB0A00" w:rsidP="005637F1">
            <w:pPr>
              <w:ind w:firstLine="0"/>
            </w:pPr>
            <w:r w:rsidRPr="0026420A">
              <w:rPr>
                <w:b/>
                <w:bCs/>
              </w:rPr>
              <w:t>Se acceptă</w:t>
            </w:r>
            <w:r w:rsidR="00286D4F" w:rsidRPr="0026420A">
              <w:rPr>
                <w:b/>
                <w:bCs/>
              </w:rPr>
              <w:t xml:space="preserve"> parțial</w:t>
            </w:r>
            <w:r w:rsidRPr="0026420A">
              <w:rPr>
                <w:b/>
                <w:bCs/>
              </w:rPr>
              <w:t>.</w:t>
            </w:r>
            <w:r w:rsidRPr="0026420A">
              <w:t xml:space="preserve"> </w:t>
            </w:r>
          </w:p>
          <w:p w14:paraId="7802B2CB" w14:textId="77777777" w:rsidR="00C4196B" w:rsidRPr="0026420A" w:rsidRDefault="00C4196B" w:rsidP="00CB0A00">
            <w:pPr>
              <w:ind w:firstLine="0"/>
            </w:pPr>
            <w:r w:rsidRPr="0026420A">
              <w:t xml:space="preserve">Textul prevederii </w:t>
            </w:r>
            <w:r w:rsidR="00CB0A00" w:rsidRPr="0026420A">
              <w:t xml:space="preserve">la art. 57, alin (7) </w:t>
            </w:r>
            <w:r w:rsidRPr="0026420A">
              <w:t>din proiectul de Lege si ajustează după cum urmează:</w:t>
            </w:r>
          </w:p>
          <w:p w14:paraId="36BC1962" w14:textId="6C4AFECE" w:rsidR="00E64EF1" w:rsidRPr="0026420A" w:rsidRDefault="005772D3" w:rsidP="004632C0">
            <w:pPr>
              <w:ind w:firstLine="0"/>
              <w:rPr>
                <w:sz w:val="24"/>
                <w:szCs w:val="24"/>
              </w:rPr>
            </w:pPr>
            <w:r w:rsidRPr="0026420A">
              <w:rPr>
                <w:i/>
                <w:iCs/>
              </w:rPr>
              <w:t xml:space="preserve">„(7) </w:t>
            </w:r>
            <w:bookmarkStart w:id="1" w:name="_Hlk231807748"/>
            <w:r w:rsidRPr="0026420A">
              <w:rPr>
                <w:i/>
                <w:iCs/>
              </w:rPr>
              <w:t>În sensul alin. (6), la solicitarea Comisiei Naționale și în termen de 30 de zile lucrătoare de la data primirii solicitării, Serviciul Prevenirea și Combaterea Spălării Banilor furnizează informații</w:t>
            </w:r>
            <w:bookmarkEnd w:id="1"/>
            <w:r w:rsidR="00286D4F" w:rsidRPr="0026420A">
              <w:rPr>
                <w:i/>
                <w:iCs/>
              </w:rPr>
              <w:t xml:space="preserve">, </w:t>
            </w:r>
            <w:r w:rsidR="00731AFD" w:rsidRPr="0026420A">
              <w:rPr>
                <w:i/>
                <w:iCs/>
              </w:rPr>
              <w:t xml:space="preserve">opinii sau evaluări specializate privind conformitatea furnizorului de servicii de </w:t>
            </w:r>
            <w:proofErr w:type="spellStart"/>
            <w:r w:rsidR="00731AFD" w:rsidRPr="0026420A">
              <w:rPr>
                <w:i/>
                <w:iCs/>
              </w:rPr>
              <w:t>criptoactive</w:t>
            </w:r>
            <w:proofErr w:type="spellEnd"/>
            <w:r w:rsidR="00731AFD" w:rsidRPr="0026420A">
              <w:rPr>
                <w:i/>
                <w:iCs/>
              </w:rPr>
              <w:t xml:space="preserve"> solicitant</w:t>
            </w:r>
            <w:r w:rsidR="00286D4F" w:rsidRPr="0026420A">
              <w:rPr>
                <w:i/>
                <w:iCs/>
              </w:rPr>
              <w:t>, persoanel</w:t>
            </w:r>
            <w:r w:rsidR="00731AFD" w:rsidRPr="0026420A">
              <w:rPr>
                <w:i/>
                <w:iCs/>
              </w:rPr>
              <w:t>or</w:t>
            </w:r>
            <w:r w:rsidR="00286D4F" w:rsidRPr="0026420A">
              <w:rPr>
                <w:i/>
                <w:iCs/>
              </w:rPr>
              <w:t xml:space="preserve"> asociate acestuia</w:t>
            </w:r>
            <w:r w:rsidR="004632C0" w:rsidRPr="0026420A">
              <w:rPr>
                <w:i/>
                <w:iCs/>
              </w:rPr>
              <w:t xml:space="preserve">, riscurile de spălare a banilor și finanțare a terorismului aferente activității propuse, </w:t>
            </w:r>
            <w:r w:rsidR="00731AFD" w:rsidRPr="0026420A">
              <w:rPr>
                <w:i/>
                <w:iCs/>
              </w:rPr>
              <w:t>precum și</w:t>
            </w:r>
            <w:r w:rsidR="004632C0" w:rsidRPr="0026420A">
              <w:rPr>
                <w:i/>
                <w:iCs/>
              </w:rPr>
              <w:t>, după caz, conformitatea informațiilor și documentelor relevante prezentate conform art. 56 alin. (2)</w:t>
            </w:r>
            <w:r w:rsidRPr="0026420A">
              <w:rPr>
                <w:i/>
                <w:iCs/>
              </w:rPr>
              <w:t xml:space="preserve"> cu cerințele legislației în domeniul prevenirii și combaterii spălării banilor și finanțării terorismului și ale actelor normative de punere în aplicare a acesteia.</w:t>
            </w:r>
            <w:r w:rsidR="00731AFD" w:rsidRPr="0026420A">
              <w:rPr>
                <w:i/>
                <w:iCs/>
              </w:rPr>
              <w:t xml:space="preserve"> Informațiile, opiniile și evaluările furnizate de Serviciul Prevenirea și Combaterea Spălării Banilor au caracter consultativ</w:t>
            </w:r>
            <w:r w:rsidR="005850B1" w:rsidRPr="0026420A">
              <w:rPr>
                <w:i/>
                <w:iCs/>
              </w:rPr>
              <w:t>.</w:t>
            </w:r>
            <w:r w:rsidRPr="0026420A">
              <w:rPr>
                <w:i/>
                <w:iCs/>
              </w:rPr>
              <w:t>”</w:t>
            </w:r>
          </w:p>
          <w:p w14:paraId="76E01CF0" w14:textId="68BA6357" w:rsidR="00CB0A00" w:rsidRPr="0026420A" w:rsidRDefault="00CB0A00" w:rsidP="00CB0A00">
            <w:pPr>
              <w:ind w:firstLine="0"/>
            </w:pPr>
          </w:p>
        </w:tc>
      </w:tr>
      <w:tr w:rsidR="00CB0A00" w:rsidRPr="0026420A" w14:paraId="4B125C1B" w14:textId="77777777" w:rsidTr="001F4857">
        <w:trPr>
          <w:trHeight w:val="300"/>
        </w:trPr>
        <w:tc>
          <w:tcPr>
            <w:tcW w:w="2206" w:type="dxa"/>
            <w:vMerge/>
            <w:tcMar>
              <w:top w:w="0" w:type="dxa"/>
              <w:left w:w="108" w:type="dxa"/>
              <w:bottom w:w="0" w:type="dxa"/>
              <w:right w:w="108" w:type="dxa"/>
            </w:tcMar>
          </w:tcPr>
          <w:p w14:paraId="135A2823" w14:textId="77777777" w:rsidR="00CB0A00" w:rsidRPr="0026420A" w:rsidRDefault="00CB0A00" w:rsidP="00CB0A00">
            <w:pPr>
              <w:ind w:firstLine="0"/>
              <w:jc w:val="left"/>
              <w:rPr>
                <w:b/>
                <w:bCs/>
              </w:rPr>
            </w:pPr>
          </w:p>
        </w:tc>
        <w:tc>
          <w:tcPr>
            <w:tcW w:w="579" w:type="dxa"/>
            <w:tcMar>
              <w:top w:w="0" w:type="dxa"/>
              <w:left w:w="108" w:type="dxa"/>
              <w:bottom w:w="0" w:type="dxa"/>
              <w:right w:w="108" w:type="dxa"/>
            </w:tcMar>
          </w:tcPr>
          <w:p w14:paraId="04C293E5" w14:textId="77777777" w:rsidR="00CB0A00" w:rsidRPr="0026420A" w:rsidRDefault="00CB0A00" w:rsidP="00CB0A0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37B06F1D" w14:textId="2D56099C" w:rsidR="005D2CD7" w:rsidRPr="0026420A" w:rsidRDefault="00CB0A00" w:rsidP="0056693D">
            <w:pPr>
              <w:tabs>
                <w:tab w:val="left" w:pos="1470"/>
              </w:tabs>
              <w:ind w:left="-57" w:firstLine="0"/>
            </w:pPr>
            <w:r w:rsidRPr="0026420A">
              <w:t xml:space="preserve">Totodată, în vederea asigurării armonizării </w:t>
            </w:r>
            <w:r w:rsidRPr="0026420A">
              <w:rPr>
                <w:i/>
                <w:iCs/>
              </w:rPr>
              <w:t xml:space="preserve">Legii privind piața </w:t>
            </w:r>
            <w:proofErr w:type="spellStart"/>
            <w:r w:rsidRPr="0026420A">
              <w:rPr>
                <w:i/>
                <w:iCs/>
              </w:rPr>
              <w:t>criptoactivelor</w:t>
            </w:r>
            <w:proofErr w:type="spellEnd"/>
            <w:r w:rsidRPr="0026420A">
              <w:rPr>
                <w:i/>
                <w:iCs/>
              </w:rPr>
              <w:t xml:space="preserve"> </w:t>
            </w:r>
            <w:r w:rsidRPr="0026420A">
              <w:t xml:space="preserve">în ceea ce privește eliminarea interdicției de prestare a serviciilor aferente activelor virtuale stabilite prin Legea nr. 308/2017, includerea </w:t>
            </w:r>
            <w:r w:rsidRPr="0026420A">
              <w:rPr>
                <w:i/>
                <w:iCs/>
              </w:rPr>
              <w:t xml:space="preserve">furnizorilor de servicii privind </w:t>
            </w:r>
            <w:proofErr w:type="spellStart"/>
            <w:r w:rsidRPr="0026420A">
              <w:rPr>
                <w:i/>
                <w:iCs/>
              </w:rPr>
              <w:t>criptoactivele</w:t>
            </w:r>
            <w:proofErr w:type="spellEnd"/>
            <w:r w:rsidRPr="0026420A">
              <w:rPr>
                <w:i/>
                <w:iCs/>
              </w:rPr>
              <w:t xml:space="preserve"> </w:t>
            </w:r>
            <w:r w:rsidRPr="0026420A">
              <w:t xml:space="preserve">în categoria entităților raportoare, desemnarea autorității competente cu funcții de supraveghere a acestor furnizori, precum și alte aspecte conexe cerințelor cu privire la prevenirea și combaterea spălării banilor și finanțării terorismului, acestea nu vor fi reglementate în Anexa nr. 1 la prezentul proiect de lege, deoarece acestea au fost incluse în </w:t>
            </w:r>
            <w:r w:rsidRPr="0026420A">
              <w:rPr>
                <w:i/>
                <w:iCs/>
              </w:rPr>
              <w:t>noul proiect de lege cu privire la prevenirea și combaterea spălării banilor și finanțării terorismului</w:t>
            </w:r>
            <w:r w:rsidRPr="0026420A">
              <w:t>, ce are drept obiectiv alinierea cadrului normativ național la prevederile celui de-al șaselea pachet legislativ al Uniunii Europene în domeniu. Este de precizat că proiectul definitivat a fost transmis Consiliului Europei pentru expertizare și revizuire, urmând ca după integrarea propunerilor formulate să fie supus consultărilor publice conform procedurii.</w:t>
            </w:r>
          </w:p>
        </w:tc>
        <w:tc>
          <w:tcPr>
            <w:tcW w:w="5281" w:type="dxa"/>
            <w:tcMar>
              <w:top w:w="0" w:type="dxa"/>
              <w:left w:w="108" w:type="dxa"/>
              <w:bottom w:w="0" w:type="dxa"/>
              <w:right w:w="108" w:type="dxa"/>
            </w:tcMar>
          </w:tcPr>
          <w:p w14:paraId="2E40FE9C" w14:textId="77777777" w:rsidR="00CB0A00" w:rsidRPr="0026420A" w:rsidRDefault="00CB0A00" w:rsidP="005637F1">
            <w:pPr>
              <w:ind w:firstLine="0"/>
              <w:rPr>
                <w:b/>
                <w:bCs/>
              </w:rPr>
            </w:pPr>
            <w:r w:rsidRPr="0026420A">
              <w:rPr>
                <w:b/>
                <w:bCs/>
              </w:rPr>
              <w:t>Se acceptă.</w:t>
            </w:r>
          </w:p>
          <w:p w14:paraId="06A38AD9" w14:textId="2C09BCEF" w:rsidR="00CB0A00" w:rsidRPr="0026420A" w:rsidRDefault="00CB0A00" w:rsidP="00CB0A00">
            <w:pPr>
              <w:ind w:firstLine="0"/>
            </w:pPr>
            <w:r w:rsidRPr="0026420A">
              <w:t xml:space="preserve">Anexa </w:t>
            </w:r>
            <w:r w:rsidR="00491133" w:rsidRPr="0026420A">
              <w:t xml:space="preserve">la proiectul de Lege </w:t>
            </w:r>
            <w:r w:rsidRPr="0026420A">
              <w:t>„Modificarea unor acte normative” nu conține</w:t>
            </w:r>
            <w:r w:rsidR="00491133" w:rsidRPr="0026420A">
              <w:t xml:space="preserve"> și nu vor fi incluse modificări pentru Legea 30</w:t>
            </w:r>
            <w:r w:rsidR="00C603B5" w:rsidRPr="0026420A">
              <w:t>8</w:t>
            </w:r>
            <w:r w:rsidR="00491133" w:rsidRPr="0026420A">
              <w:t>/2017.</w:t>
            </w:r>
            <w:r w:rsidR="00491133" w:rsidRPr="0026420A">
              <w:br/>
              <w:t>Modificările pentru Legea 30</w:t>
            </w:r>
            <w:r w:rsidR="00641E10" w:rsidRPr="0026420A">
              <w:t>8</w:t>
            </w:r>
            <w:r w:rsidR="00491133" w:rsidRPr="0026420A">
              <w:t xml:space="preserve">/2017 aferente eliminării interdicției de prestare a serviciilor privind activele virtuale, includerii furnizorilor de servicii de </w:t>
            </w:r>
            <w:proofErr w:type="spellStart"/>
            <w:r w:rsidR="00491133" w:rsidRPr="0026420A">
              <w:t>criptoactive</w:t>
            </w:r>
            <w:proofErr w:type="spellEnd"/>
            <w:r w:rsidR="00491133" w:rsidRPr="0026420A">
              <w:t xml:space="preserve"> în categoria entităților raportoare, desemnării autorității competente cu funcții de supraveghere AML/CFT și altor aspecte conexe urmează a fi reglementate prin proiectul de lege separat în domeniul prevenirii și combaterii spălării banilor și finanțării terorismului, elaborat în contextul alinierii cadrului normativ național </w:t>
            </w:r>
            <w:r w:rsidR="00E03A81" w:rsidRPr="0026420A">
              <w:t>celui de-al șaselea pachet legislativ al UE î</w:t>
            </w:r>
            <w:r w:rsidR="00491133" w:rsidRPr="0026420A">
              <w:t>n domeniul AML/CFT.</w:t>
            </w:r>
          </w:p>
        </w:tc>
      </w:tr>
      <w:tr w:rsidR="00CB0A00" w:rsidRPr="0026420A" w14:paraId="37B7966D" w14:textId="77777777" w:rsidTr="001F4857">
        <w:trPr>
          <w:trHeight w:val="300"/>
        </w:trPr>
        <w:tc>
          <w:tcPr>
            <w:tcW w:w="2206" w:type="dxa"/>
            <w:vMerge/>
            <w:tcMar>
              <w:top w:w="0" w:type="dxa"/>
              <w:left w:w="108" w:type="dxa"/>
              <w:bottom w:w="0" w:type="dxa"/>
              <w:right w:w="108" w:type="dxa"/>
            </w:tcMar>
          </w:tcPr>
          <w:p w14:paraId="05A5F7D4" w14:textId="77777777" w:rsidR="00CB0A00" w:rsidRPr="0026420A" w:rsidRDefault="00CB0A00" w:rsidP="00CB0A00">
            <w:pPr>
              <w:ind w:firstLine="0"/>
              <w:jc w:val="left"/>
              <w:rPr>
                <w:b/>
                <w:bCs/>
              </w:rPr>
            </w:pPr>
          </w:p>
        </w:tc>
        <w:tc>
          <w:tcPr>
            <w:tcW w:w="579" w:type="dxa"/>
            <w:tcMar>
              <w:top w:w="0" w:type="dxa"/>
              <w:left w:w="108" w:type="dxa"/>
              <w:bottom w:w="0" w:type="dxa"/>
              <w:right w:w="108" w:type="dxa"/>
            </w:tcMar>
          </w:tcPr>
          <w:p w14:paraId="4B2142C7" w14:textId="77777777" w:rsidR="00CB0A00" w:rsidRPr="0026420A" w:rsidRDefault="00CB0A00" w:rsidP="00CB0A0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225FD0C4" w14:textId="77777777" w:rsidR="00CB0A00" w:rsidRPr="0026420A" w:rsidRDefault="00CB0A00" w:rsidP="0056693D">
            <w:pPr>
              <w:tabs>
                <w:tab w:val="left" w:pos="1470"/>
              </w:tabs>
              <w:ind w:left="-57" w:firstLine="0"/>
            </w:pPr>
            <w:r w:rsidRPr="0026420A">
              <w:t>Cu privire la art. 85-86, dispozițiile reglementează competențele autorităților, însă nu conțin o referință expresă la respectarea regimului juridic aplicabil informațiilor gestionate de Serviciu. În vederea evitării oricăror interpretări care ar putea afecta acest regim, se propune completarea art. 86, alin. (3) cu mențiunea:</w:t>
            </w:r>
          </w:p>
          <w:p w14:paraId="560BA010" w14:textId="5AD06B5A" w:rsidR="00CB0A00" w:rsidRPr="0026420A" w:rsidRDefault="00CB0A00" w:rsidP="0056693D">
            <w:pPr>
              <w:tabs>
                <w:tab w:val="left" w:pos="1470"/>
              </w:tabs>
              <w:ind w:left="-57" w:firstLine="0"/>
              <w:rPr>
                <w:i/>
                <w:iCs/>
              </w:rPr>
            </w:pPr>
            <w:r w:rsidRPr="0026420A">
              <w:rPr>
                <w:i/>
                <w:iCs/>
              </w:rPr>
              <w:lastRenderedPageBreak/>
              <w:t>„Exercitarea competențelor prevăzute de prezentul articol nu aduce atingere regimului special de confidențialitate și limitare a divulgării prevăzut de legislația în domeniul prevenirii și combaterii spălării banilor și finanțării terorismului.”</w:t>
            </w:r>
          </w:p>
        </w:tc>
        <w:tc>
          <w:tcPr>
            <w:tcW w:w="5281" w:type="dxa"/>
            <w:tcMar>
              <w:top w:w="0" w:type="dxa"/>
              <w:left w:w="108" w:type="dxa"/>
              <w:bottom w:w="0" w:type="dxa"/>
              <w:right w:w="108" w:type="dxa"/>
            </w:tcMar>
          </w:tcPr>
          <w:p w14:paraId="177C7C4E" w14:textId="77777777" w:rsidR="0071018A" w:rsidRPr="0026420A" w:rsidRDefault="0071018A" w:rsidP="005637F1">
            <w:pPr>
              <w:ind w:firstLine="0"/>
            </w:pPr>
            <w:r w:rsidRPr="0026420A">
              <w:rPr>
                <w:b/>
                <w:bCs/>
              </w:rPr>
              <w:lastRenderedPageBreak/>
              <w:t>Se acceptă parțial.</w:t>
            </w:r>
            <w:r w:rsidRPr="0026420A">
              <w:t xml:space="preserve"> </w:t>
            </w:r>
          </w:p>
          <w:p w14:paraId="7A1984AD" w14:textId="1A5FC4F6" w:rsidR="000D5D0F" w:rsidRPr="0026420A" w:rsidRDefault="0071018A" w:rsidP="000D5D0F">
            <w:pPr>
              <w:ind w:firstLine="0"/>
            </w:pPr>
            <w:r w:rsidRPr="0026420A">
              <w:t xml:space="preserve">Propunerea este rezonabilă ca finalitate, însă nu poate fi inclusă al articolul dat, având în vedere că art. 85–86 reglementează atribuțiile CNPF și ale BNM. </w:t>
            </w:r>
            <w:r w:rsidR="000D5D0F" w:rsidRPr="0026420A">
              <w:t xml:space="preserve"> Totuși, completarea urmează a fi formulată cu caracter general, în cadrul art. 87, astfel încât să nu </w:t>
            </w:r>
            <w:r w:rsidR="000D5D0F" w:rsidRPr="0026420A">
              <w:lastRenderedPageBreak/>
              <w:t xml:space="preserve">limiteze nejustificat competențele CNPF și ale BNM și să nu instituie un regim exclusiv aplicabil unei singure autorități. Prin urmare, propunerea se va </w:t>
            </w:r>
            <w:r w:rsidR="003E7775" w:rsidRPr="0026420A">
              <w:t xml:space="preserve">insera </w:t>
            </w:r>
            <w:r w:rsidR="000D5D0F" w:rsidRPr="0026420A">
              <w:t>printr-un alineat distinct la art. 87 care reglementează cooperarea dintre autoritățile competente și alte autorități relevante din Republica Moldova,  inclusiv nominalizează expres Serviciul ca parte a schimbului de informații.</w:t>
            </w:r>
          </w:p>
          <w:p w14:paraId="6D3516D6" w14:textId="77777777" w:rsidR="003E7775" w:rsidRPr="0026420A" w:rsidRDefault="003E7775" w:rsidP="000D5D0F">
            <w:pPr>
              <w:ind w:firstLine="0"/>
            </w:pPr>
            <w:r w:rsidRPr="0026420A">
              <w:t>C</w:t>
            </w:r>
            <w:r w:rsidR="000D5D0F" w:rsidRPr="0026420A">
              <w:t>omplet</w:t>
            </w:r>
            <w:r w:rsidRPr="0026420A">
              <w:t>are</w:t>
            </w:r>
            <w:r w:rsidR="000D5D0F" w:rsidRPr="0026420A">
              <w:t xml:space="preserve"> prevede că schimbul de informații se realizează cu respectarea regimurilor speciale de confidențialitate, protecție a surselor, protecție a datelor cu caracter personal, secret profesional, limitare a divulgării și utilizare a informațiilor, inclusiv a regimului special prevăzut de legislația în domeniul prevenirii și combaterii spălării banilor și finanțării terorismului</w:t>
            </w:r>
            <w:r w:rsidRPr="0026420A">
              <w:t xml:space="preserve">, și va avea </w:t>
            </w:r>
            <w:r w:rsidR="0071018A" w:rsidRPr="0026420A">
              <w:t>următorul cuprins:</w:t>
            </w:r>
          </w:p>
          <w:p w14:paraId="727CB7E0" w14:textId="465FC1EB" w:rsidR="000D5D0F" w:rsidRPr="0026420A" w:rsidRDefault="0071018A" w:rsidP="000D5D0F">
            <w:pPr>
              <w:ind w:firstLine="0"/>
              <w:rPr>
                <w:i/>
                <w:iCs/>
              </w:rPr>
            </w:pPr>
            <w:r w:rsidRPr="0026420A">
              <w:t>”</w:t>
            </w:r>
            <w:r w:rsidR="000D5D0F" w:rsidRPr="0026420A">
              <w:rPr>
                <w:i/>
                <w:iCs/>
              </w:rPr>
              <w:t xml:space="preserve">(7) Exercitarea competențelor de cooperare și schimbul de informații prevăzute de prezenta lege nu aduc atingere regimului special de confidențialitate, de protecție a surselor și de limitare a divulgării prevăzut de legislația în domeniul prevenirii și combaterii spălării banilor și finanțării terorismului și de actele normative de punere în aplicare a acesteia. Informațiile provenite de la Serviciul Prevenirea și Combaterea Spălării Banilor, inclusiv cele obținute de acesta în cadrul cooperării internaționale, se supun și regimului prevăzut de legislația în domeniul prevenirii și combaterii spălării banilor și finanțării terorismului, care prevalează în măsura în care instituie cerințe mai restrictive. </w:t>
            </w:r>
            <w:r w:rsidR="00BC7212" w:rsidRPr="0026420A">
              <w:rPr>
                <w:i/>
                <w:iCs/>
              </w:rPr>
              <w:t>D</w:t>
            </w:r>
            <w:r w:rsidR="000D5D0F" w:rsidRPr="0026420A">
              <w:rPr>
                <w:i/>
                <w:iCs/>
              </w:rPr>
              <w:t>ivulgare</w:t>
            </w:r>
            <w:r w:rsidR="00BC7212" w:rsidRPr="0026420A">
              <w:rPr>
                <w:i/>
                <w:iCs/>
              </w:rPr>
              <w:t>a</w:t>
            </w:r>
            <w:r w:rsidR="000D5D0F" w:rsidRPr="0026420A">
              <w:rPr>
                <w:i/>
                <w:iCs/>
              </w:rPr>
              <w:t xml:space="preserve"> sau utilizare</w:t>
            </w:r>
            <w:r w:rsidR="00BC7212" w:rsidRPr="0026420A">
              <w:rPr>
                <w:i/>
                <w:iCs/>
              </w:rPr>
              <w:t>a</w:t>
            </w:r>
            <w:r w:rsidR="000D5D0F" w:rsidRPr="0026420A">
              <w:rPr>
                <w:i/>
                <w:iCs/>
              </w:rPr>
              <w:t xml:space="preserve"> ulterioară a acestor informații se realizează doar cu acordul prealabil, scris, al Serviciului și exclusiv în scopul pentru care au fost furnizate. Informațiile transmise Serviciului Prevenirea și Combaterea Spălării Banilor de către autoritățile competente rămân supuse condițiilor de utilizare și divulgare stabilite de autoritatea care le-a furnizat.”</w:t>
            </w:r>
          </w:p>
          <w:p w14:paraId="17086280" w14:textId="42B4542A" w:rsidR="0071018A" w:rsidRPr="0026420A" w:rsidRDefault="0071018A" w:rsidP="00CB0A00">
            <w:pPr>
              <w:ind w:firstLine="0"/>
              <w:rPr>
                <w:b/>
                <w:bCs/>
              </w:rPr>
            </w:pPr>
          </w:p>
        </w:tc>
      </w:tr>
      <w:tr w:rsidR="00CB0A00" w:rsidRPr="0026420A" w14:paraId="1DEF7007" w14:textId="77777777" w:rsidTr="001F4857">
        <w:trPr>
          <w:trHeight w:val="300"/>
        </w:trPr>
        <w:tc>
          <w:tcPr>
            <w:tcW w:w="2206" w:type="dxa"/>
            <w:vMerge/>
            <w:tcMar>
              <w:top w:w="0" w:type="dxa"/>
              <w:left w:w="108" w:type="dxa"/>
              <w:bottom w:w="0" w:type="dxa"/>
              <w:right w:w="108" w:type="dxa"/>
            </w:tcMar>
          </w:tcPr>
          <w:p w14:paraId="0DDDCA89" w14:textId="77777777" w:rsidR="00CB0A00" w:rsidRPr="0026420A" w:rsidRDefault="00CB0A00" w:rsidP="00CB0A00">
            <w:pPr>
              <w:ind w:firstLine="0"/>
              <w:jc w:val="left"/>
              <w:rPr>
                <w:b/>
                <w:bCs/>
              </w:rPr>
            </w:pPr>
          </w:p>
        </w:tc>
        <w:tc>
          <w:tcPr>
            <w:tcW w:w="579" w:type="dxa"/>
            <w:tcMar>
              <w:top w:w="0" w:type="dxa"/>
              <w:left w:w="108" w:type="dxa"/>
              <w:bottom w:w="0" w:type="dxa"/>
              <w:right w:w="108" w:type="dxa"/>
            </w:tcMar>
          </w:tcPr>
          <w:p w14:paraId="10AFB2C1" w14:textId="77777777" w:rsidR="00CB0A00" w:rsidRPr="0026420A" w:rsidRDefault="00CB0A00" w:rsidP="00CB0A0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280298E2" w14:textId="77777777" w:rsidR="00CB0A00" w:rsidRPr="0026420A" w:rsidRDefault="00CB0A00" w:rsidP="0056693D">
            <w:pPr>
              <w:tabs>
                <w:tab w:val="left" w:pos="1470"/>
              </w:tabs>
              <w:ind w:left="-57" w:firstLine="0"/>
            </w:pPr>
            <w:r w:rsidRPr="0026420A">
              <w:t xml:space="preserve">Cu privire la art. 87, alin. (4)-(6), analiza acestor dispoziții evidențiază o corelare insuficientă cu regimul juridic aplicabil informațiilor deținute de Serviciu. Deși sunt stabilite condiții generale privind schimbul de informații, formularea actuală, în special sintagma de la alin. (5), lit. b) </w:t>
            </w:r>
            <w:r w:rsidRPr="0026420A">
              <w:rPr>
                <w:i/>
                <w:iCs/>
              </w:rPr>
              <w:t>„nu împiedică schimbul de informații”</w:t>
            </w:r>
            <w:r w:rsidRPr="0026420A">
              <w:t>, poate fi interpretată ca o derogare implicită de la regimul special aplicabil acestor informații.</w:t>
            </w:r>
          </w:p>
          <w:p w14:paraId="24EE353C" w14:textId="6B58DAE5" w:rsidR="00CB0A00" w:rsidRPr="0026420A" w:rsidRDefault="00CB0A00" w:rsidP="0056693D">
            <w:pPr>
              <w:tabs>
                <w:tab w:val="left" w:pos="1470"/>
              </w:tabs>
              <w:ind w:left="-57" w:firstLine="0"/>
            </w:pPr>
            <w:r w:rsidRPr="0026420A">
              <w:lastRenderedPageBreak/>
              <w:t>În lipsa unei precizări exprese privind prevalența regimului special, există riscul apariției unor interpretări divergente și unor dificultăți în aplicare, or Serviciul în cadrul cooperărilor internaționale cu privire la schimbul de informații solicită acordul expres al serviciilor cu competențe similare străine de diseminare a informațiilor obținute și care urmează a fi utilizate doar în scopul pentru care au fost solicitate, adică în scopul prevenirii și combaterii spălării banilor și finanțării terorismului.</w:t>
            </w:r>
          </w:p>
          <w:p w14:paraId="617D102B" w14:textId="77777777" w:rsidR="00CB0A00" w:rsidRPr="0026420A" w:rsidRDefault="00CB0A00" w:rsidP="0056693D">
            <w:pPr>
              <w:tabs>
                <w:tab w:val="left" w:pos="1470"/>
              </w:tabs>
              <w:ind w:left="-57" w:firstLine="0"/>
            </w:pPr>
            <w:r w:rsidRPr="0026420A">
              <w:t>Subsecvent, pentru asigurarea clarității și coerenței normative, se propune completarea art. 87 cu un nou alineat, după cum urmează:</w:t>
            </w:r>
          </w:p>
          <w:p w14:paraId="15E22581" w14:textId="77777777" w:rsidR="00CB0A00" w:rsidRPr="0026420A" w:rsidRDefault="00CB0A00" w:rsidP="0056693D">
            <w:pPr>
              <w:tabs>
                <w:tab w:val="left" w:pos="1470"/>
              </w:tabs>
              <w:ind w:left="-57" w:firstLine="0"/>
              <w:rPr>
                <w:i/>
                <w:iCs/>
              </w:rPr>
            </w:pPr>
            <w:r w:rsidRPr="0026420A">
              <w:rPr>
                <w:i/>
                <w:iCs/>
              </w:rPr>
              <w:t>„(7) Informațiile primite de la Serviciul Prevenirea și Combaterea Spălării Banilor de către autoritățile competente, în temeiul prezentului articol, se supun integral regimului de confidențialitate, limitării divulgării și condițiilor de utilizare prevăzute de legislația în domeniul prevenirii și combaterii spălării banilor și finanțării terorismului. Orice divulgare sau utilizare ulterioară a acestor informații se realizează doar cu acordul prealabil, scris, al Serviciului și exclusiv în scopul pentru</w:t>
            </w:r>
          </w:p>
          <w:p w14:paraId="3F694671" w14:textId="1FC57E36" w:rsidR="00CB0A00" w:rsidRPr="0026420A" w:rsidRDefault="00CB0A00" w:rsidP="0056693D">
            <w:pPr>
              <w:tabs>
                <w:tab w:val="left" w:pos="1470"/>
              </w:tabs>
              <w:ind w:left="-57" w:firstLine="0"/>
            </w:pPr>
            <w:r w:rsidRPr="0026420A">
              <w:rPr>
                <w:i/>
                <w:iCs/>
              </w:rPr>
              <w:t>care au fost solicitate.”</w:t>
            </w:r>
          </w:p>
        </w:tc>
        <w:tc>
          <w:tcPr>
            <w:tcW w:w="5281" w:type="dxa"/>
            <w:tcMar>
              <w:top w:w="0" w:type="dxa"/>
              <w:left w:w="108" w:type="dxa"/>
              <w:bottom w:w="0" w:type="dxa"/>
              <w:right w:w="108" w:type="dxa"/>
            </w:tcMar>
          </w:tcPr>
          <w:p w14:paraId="68BA740A" w14:textId="77777777" w:rsidR="00CB0A00" w:rsidRPr="0026420A" w:rsidRDefault="00CB0A00" w:rsidP="005637F1">
            <w:pPr>
              <w:ind w:firstLine="0"/>
              <w:rPr>
                <w:b/>
                <w:bCs/>
              </w:rPr>
            </w:pPr>
            <w:r w:rsidRPr="0026420A">
              <w:rPr>
                <w:b/>
                <w:bCs/>
              </w:rPr>
              <w:lastRenderedPageBreak/>
              <w:t>Nu se acceptă.</w:t>
            </w:r>
          </w:p>
          <w:p w14:paraId="44C03CF6" w14:textId="1A48CA8A" w:rsidR="00CB0A00" w:rsidRPr="0026420A" w:rsidRDefault="00E42332" w:rsidP="00CB0A00">
            <w:pPr>
              <w:ind w:firstLine="0"/>
            </w:pPr>
            <w:r w:rsidRPr="0026420A">
              <w:t xml:space="preserve">Propunerea </w:t>
            </w:r>
            <w:r w:rsidR="00921DF8" w:rsidRPr="0026420A">
              <w:t>este epuizată</w:t>
            </w:r>
            <w:r w:rsidRPr="0026420A">
              <w:t xml:space="preserve"> prin soluția </w:t>
            </w:r>
            <w:r w:rsidR="00462F3F" w:rsidRPr="0026420A">
              <w:t>indicată</w:t>
            </w:r>
            <w:r w:rsidRPr="0026420A">
              <w:t xml:space="preserve"> supra la pct.2</w:t>
            </w:r>
            <w:r w:rsidR="00462F3F" w:rsidRPr="0026420A">
              <w:t>8</w:t>
            </w:r>
            <w:r w:rsidRPr="0026420A">
              <w:t>.</w:t>
            </w:r>
            <w:r w:rsidR="00BC7212" w:rsidRPr="0026420A">
              <w:br/>
              <w:t>Noul alineat reglementează expres regimul aplicabil informațiilor provenite de la Serviciul Prevenirea și Combaterea Spălării Banilor, inclusiv celor obținute în cadrul cooperării internaționale, precum și condițiile de divulgare sau utilizare ulterioară.</w:t>
            </w:r>
          </w:p>
        </w:tc>
      </w:tr>
      <w:tr w:rsidR="00A539D0" w:rsidRPr="0026420A" w14:paraId="24EC1851" w14:textId="77777777" w:rsidTr="001F4857">
        <w:trPr>
          <w:trHeight w:val="2770"/>
        </w:trPr>
        <w:tc>
          <w:tcPr>
            <w:tcW w:w="2206" w:type="dxa"/>
            <w:vMerge/>
            <w:tcMar>
              <w:top w:w="0" w:type="dxa"/>
              <w:left w:w="108" w:type="dxa"/>
              <w:bottom w:w="0" w:type="dxa"/>
              <w:right w:w="108" w:type="dxa"/>
            </w:tcMar>
          </w:tcPr>
          <w:p w14:paraId="19F54C8E" w14:textId="77777777" w:rsidR="00A539D0" w:rsidRPr="0026420A" w:rsidRDefault="00A539D0" w:rsidP="00CB0A00">
            <w:pPr>
              <w:ind w:firstLine="0"/>
              <w:jc w:val="left"/>
              <w:rPr>
                <w:b/>
                <w:bCs/>
              </w:rPr>
            </w:pPr>
          </w:p>
        </w:tc>
        <w:tc>
          <w:tcPr>
            <w:tcW w:w="579" w:type="dxa"/>
            <w:tcMar>
              <w:top w:w="0" w:type="dxa"/>
              <w:left w:w="108" w:type="dxa"/>
              <w:bottom w:w="0" w:type="dxa"/>
              <w:right w:w="108" w:type="dxa"/>
            </w:tcMar>
          </w:tcPr>
          <w:p w14:paraId="7286B22F" w14:textId="77777777" w:rsidR="00A539D0" w:rsidRPr="0026420A" w:rsidRDefault="00A539D0" w:rsidP="00CB0A0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52032FA3" w14:textId="057943F6" w:rsidR="00A539D0" w:rsidRPr="0026420A" w:rsidRDefault="00A539D0" w:rsidP="0056693D">
            <w:pPr>
              <w:tabs>
                <w:tab w:val="left" w:pos="1470"/>
              </w:tabs>
              <w:ind w:left="-57" w:firstLine="0"/>
            </w:pPr>
            <w:r w:rsidRPr="0026420A">
              <w:t xml:space="preserve">Cu privire la referințele la </w:t>
            </w:r>
            <w:r w:rsidRPr="0026420A">
              <w:rPr>
                <w:i/>
                <w:iCs/>
              </w:rPr>
              <w:t>„Legea nr. 308/2017”</w:t>
            </w:r>
            <w:r w:rsidRPr="0026420A">
              <w:t xml:space="preserve">, având în vedere existența noului proiect de lege în domeniu destinat să înlocuiască cadrul normativ existent prin </w:t>
            </w:r>
            <w:r w:rsidRPr="0026420A">
              <w:rPr>
                <w:i/>
                <w:iCs/>
              </w:rPr>
              <w:t>abrogarea Legii nr. 308/2017 cu privire la prevenirea și combaterea spălării banilor și finanțării terorismului</w:t>
            </w:r>
            <w:r w:rsidRPr="0026420A">
              <w:t xml:space="preserve">, întru asigurarea stabilității și coerenței normelor se impune în textul proiectului utilizarea unei formulări generale, și anume </w:t>
            </w:r>
            <w:r w:rsidRPr="0026420A">
              <w:rPr>
                <w:i/>
                <w:iCs/>
              </w:rPr>
              <w:t>„legislația în domeniul prevenirii și combaterii spălării banilor și finanțării terorismului”</w:t>
            </w:r>
            <w:r w:rsidRPr="0026420A">
              <w:t xml:space="preserve">. Totodată, este de precizat faptul că aspectele ce țin de includerea </w:t>
            </w:r>
            <w:r w:rsidRPr="0026420A">
              <w:rPr>
                <w:i/>
                <w:iCs/>
              </w:rPr>
              <w:t xml:space="preserve">„furnizorilor de servicii de </w:t>
            </w:r>
            <w:proofErr w:type="spellStart"/>
            <w:r w:rsidRPr="0026420A">
              <w:rPr>
                <w:i/>
                <w:iCs/>
              </w:rPr>
              <w:t>criptoactive</w:t>
            </w:r>
            <w:proofErr w:type="spellEnd"/>
            <w:r w:rsidRPr="0026420A">
              <w:rPr>
                <w:i/>
                <w:iCs/>
              </w:rPr>
              <w:t xml:space="preserve">” </w:t>
            </w:r>
            <w:r w:rsidRPr="0026420A">
              <w:t>în categoria entităților raportoare, desemnarea autorității competente și alte elemente conexe urmează a fi reglementate la fel în cadrul noului proiect de lege</w:t>
            </w:r>
          </w:p>
          <w:p w14:paraId="346EA3AB" w14:textId="5F47684A" w:rsidR="00A539D0" w:rsidRPr="0026420A" w:rsidRDefault="00A539D0" w:rsidP="0056693D">
            <w:pPr>
              <w:tabs>
                <w:tab w:val="left" w:pos="1470"/>
              </w:tabs>
              <w:ind w:left="-57" w:firstLine="0"/>
            </w:pPr>
            <w:r w:rsidRPr="0026420A">
              <w:t>elaborat de Serviciu.</w:t>
            </w:r>
          </w:p>
        </w:tc>
        <w:tc>
          <w:tcPr>
            <w:tcW w:w="5281" w:type="dxa"/>
            <w:tcMar>
              <w:top w:w="0" w:type="dxa"/>
              <w:left w:w="108" w:type="dxa"/>
              <w:bottom w:w="0" w:type="dxa"/>
              <w:right w:w="108" w:type="dxa"/>
            </w:tcMar>
          </w:tcPr>
          <w:p w14:paraId="086973B2" w14:textId="77777777" w:rsidR="00A539D0" w:rsidRPr="0026420A" w:rsidRDefault="00A539D0" w:rsidP="00CB0A00">
            <w:pPr>
              <w:ind w:firstLine="0"/>
              <w:rPr>
                <w:b/>
                <w:bCs/>
              </w:rPr>
            </w:pPr>
            <w:r w:rsidRPr="0026420A">
              <w:rPr>
                <w:b/>
                <w:bCs/>
              </w:rPr>
              <w:t>Se acceptă.</w:t>
            </w:r>
          </w:p>
          <w:p w14:paraId="1389B4DC" w14:textId="4E9413E3" w:rsidR="00A539D0" w:rsidRPr="0026420A" w:rsidRDefault="00A539D0" w:rsidP="00CB0A00">
            <w:pPr>
              <w:ind w:firstLine="0"/>
            </w:pPr>
            <w:r w:rsidRPr="0026420A">
              <w:t xml:space="preserve">Se ajustează corespunzător textul proiectului de Lege. </w:t>
            </w:r>
          </w:p>
        </w:tc>
      </w:tr>
      <w:tr w:rsidR="00A539D0" w:rsidRPr="0026420A" w14:paraId="4C05D348" w14:textId="77777777" w:rsidTr="001F4857">
        <w:trPr>
          <w:trHeight w:val="1908"/>
        </w:trPr>
        <w:tc>
          <w:tcPr>
            <w:tcW w:w="2206" w:type="dxa"/>
            <w:vMerge w:val="restart"/>
            <w:tcMar>
              <w:top w:w="0" w:type="dxa"/>
              <w:left w:w="108" w:type="dxa"/>
              <w:bottom w:w="0" w:type="dxa"/>
              <w:right w:w="108" w:type="dxa"/>
            </w:tcMar>
          </w:tcPr>
          <w:p w14:paraId="2DE42F3A" w14:textId="77777777" w:rsidR="00A539D0" w:rsidRPr="0026420A" w:rsidRDefault="00A539D0" w:rsidP="00CB0A00">
            <w:pPr>
              <w:ind w:firstLine="0"/>
              <w:jc w:val="left"/>
              <w:rPr>
                <w:b/>
                <w:bCs/>
              </w:rPr>
            </w:pPr>
            <w:r w:rsidRPr="0026420A">
              <w:rPr>
                <w:b/>
                <w:bCs/>
              </w:rPr>
              <w:t>Ministerul Dezvoltării Economice și Digitalizării</w:t>
            </w:r>
          </w:p>
          <w:p w14:paraId="34ED5EB9" w14:textId="77777777" w:rsidR="00A539D0" w:rsidRPr="0026420A" w:rsidRDefault="00A539D0" w:rsidP="00CB0A00">
            <w:pPr>
              <w:ind w:firstLine="0"/>
              <w:rPr>
                <w:b/>
                <w:bCs/>
              </w:rPr>
            </w:pPr>
          </w:p>
          <w:p w14:paraId="6A91537D" w14:textId="77777777" w:rsidR="00A539D0" w:rsidRPr="0026420A" w:rsidRDefault="00A539D0" w:rsidP="00CB0A00">
            <w:pPr>
              <w:ind w:firstLine="0"/>
              <w:rPr>
                <w:b/>
                <w:bCs/>
              </w:rPr>
            </w:pPr>
          </w:p>
          <w:p w14:paraId="29A173A7" w14:textId="20E3F00F" w:rsidR="00A539D0" w:rsidRPr="0026420A" w:rsidRDefault="00A539D0" w:rsidP="00CB0A00">
            <w:pPr>
              <w:ind w:firstLine="0"/>
              <w:rPr>
                <w:i/>
                <w:iCs/>
              </w:rPr>
            </w:pPr>
            <w:r w:rsidRPr="0026420A">
              <w:rPr>
                <w:i/>
                <w:iCs/>
              </w:rPr>
              <w:t>Nr.  17-1551</w:t>
            </w:r>
          </w:p>
          <w:p w14:paraId="7C02E590" w14:textId="77777777" w:rsidR="00A539D0" w:rsidRPr="0026420A" w:rsidRDefault="00A539D0" w:rsidP="00CB0A00">
            <w:pPr>
              <w:ind w:firstLine="0"/>
              <w:rPr>
                <w:i/>
                <w:iCs/>
              </w:rPr>
            </w:pPr>
            <w:r w:rsidRPr="0026420A">
              <w:rPr>
                <w:i/>
                <w:iCs/>
              </w:rPr>
              <w:t>Din 07.05.2026</w:t>
            </w:r>
          </w:p>
          <w:p w14:paraId="4D48BB0C" w14:textId="77777777" w:rsidR="009A1A36" w:rsidRPr="0026420A" w:rsidRDefault="009A1A36" w:rsidP="00CB0A00">
            <w:pPr>
              <w:ind w:firstLine="0"/>
              <w:rPr>
                <w:i/>
                <w:iCs/>
              </w:rPr>
            </w:pPr>
          </w:p>
          <w:p w14:paraId="2A0C0026" w14:textId="77777777" w:rsidR="009A1A36" w:rsidRPr="0026420A" w:rsidRDefault="009A1A36" w:rsidP="00CB0A00">
            <w:pPr>
              <w:ind w:firstLine="0"/>
              <w:rPr>
                <w:i/>
                <w:iCs/>
              </w:rPr>
            </w:pPr>
          </w:p>
          <w:p w14:paraId="07AC0CCB" w14:textId="77777777" w:rsidR="009A1A36" w:rsidRPr="0026420A" w:rsidRDefault="009A1A36" w:rsidP="00CB0A00">
            <w:pPr>
              <w:ind w:firstLine="0"/>
              <w:rPr>
                <w:i/>
                <w:iCs/>
              </w:rPr>
            </w:pPr>
          </w:p>
          <w:p w14:paraId="08D79EEB" w14:textId="77777777" w:rsidR="009A1A36" w:rsidRPr="0026420A" w:rsidRDefault="009A1A36" w:rsidP="00CB0A00">
            <w:pPr>
              <w:ind w:firstLine="0"/>
              <w:rPr>
                <w:i/>
                <w:iCs/>
              </w:rPr>
            </w:pPr>
          </w:p>
          <w:p w14:paraId="75E58145" w14:textId="77777777" w:rsidR="009A1A36" w:rsidRPr="0026420A" w:rsidRDefault="009A1A36" w:rsidP="00CB0A00">
            <w:pPr>
              <w:ind w:firstLine="0"/>
              <w:rPr>
                <w:i/>
                <w:iCs/>
              </w:rPr>
            </w:pPr>
          </w:p>
          <w:p w14:paraId="5B3F3427" w14:textId="77777777" w:rsidR="009A1A36" w:rsidRPr="0026420A" w:rsidRDefault="009A1A36" w:rsidP="00CB0A00">
            <w:pPr>
              <w:ind w:firstLine="0"/>
              <w:rPr>
                <w:i/>
                <w:iCs/>
              </w:rPr>
            </w:pPr>
          </w:p>
          <w:p w14:paraId="21A18D66" w14:textId="77777777" w:rsidR="009A1A36" w:rsidRPr="0026420A" w:rsidRDefault="009A1A36" w:rsidP="00CB0A00">
            <w:pPr>
              <w:ind w:firstLine="0"/>
              <w:rPr>
                <w:i/>
                <w:iCs/>
              </w:rPr>
            </w:pPr>
          </w:p>
          <w:p w14:paraId="749D2E43" w14:textId="77777777" w:rsidR="009A1A36" w:rsidRPr="0026420A" w:rsidRDefault="009A1A36" w:rsidP="00CB0A00">
            <w:pPr>
              <w:ind w:firstLine="0"/>
              <w:rPr>
                <w:i/>
                <w:iCs/>
              </w:rPr>
            </w:pPr>
          </w:p>
          <w:p w14:paraId="3DE4A051" w14:textId="77777777" w:rsidR="009A1A36" w:rsidRPr="0026420A" w:rsidRDefault="009A1A36" w:rsidP="00CB0A00">
            <w:pPr>
              <w:ind w:firstLine="0"/>
              <w:rPr>
                <w:i/>
                <w:iCs/>
              </w:rPr>
            </w:pPr>
          </w:p>
          <w:p w14:paraId="1F6BC6DF" w14:textId="77777777" w:rsidR="009A1A36" w:rsidRPr="0026420A" w:rsidRDefault="009A1A36" w:rsidP="00CB0A00">
            <w:pPr>
              <w:ind w:firstLine="0"/>
              <w:rPr>
                <w:i/>
                <w:iCs/>
              </w:rPr>
            </w:pPr>
          </w:p>
          <w:p w14:paraId="04D62C44" w14:textId="77777777" w:rsidR="009A1A36" w:rsidRPr="0026420A" w:rsidRDefault="009A1A36" w:rsidP="00CB0A00">
            <w:pPr>
              <w:ind w:firstLine="0"/>
              <w:rPr>
                <w:i/>
                <w:iCs/>
              </w:rPr>
            </w:pPr>
          </w:p>
          <w:p w14:paraId="71655334" w14:textId="77777777" w:rsidR="009A1A36" w:rsidRPr="0026420A" w:rsidRDefault="009A1A36" w:rsidP="00CB0A00">
            <w:pPr>
              <w:ind w:firstLine="0"/>
              <w:rPr>
                <w:i/>
                <w:iCs/>
              </w:rPr>
            </w:pPr>
          </w:p>
          <w:p w14:paraId="0AC3DF6E" w14:textId="77777777" w:rsidR="009A1A36" w:rsidRPr="0026420A" w:rsidRDefault="009A1A36" w:rsidP="00CB0A00">
            <w:pPr>
              <w:ind w:firstLine="0"/>
              <w:rPr>
                <w:i/>
                <w:iCs/>
              </w:rPr>
            </w:pPr>
          </w:p>
          <w:p w14:paraId="62D1E719" w14:textId="77777777" w:rsidR="009A1A36" w:rsidRPr="0026420A" w:rsidRDefault="009A1A36" w:rsidP="00CB0A00">
            <w:pPr>
              <w:ind w:firstLine="0"/>
              <w:rPr>
                <w:i/>
                <w:iCs/>
              </w:rPr>
            </w:pPr>
          </w:p>
          <w:p w14:paraId="650A5C42" w14:textId="77777777" w:rsidR="009A1A36" w:rsidRPr="0026420A" w:rsidRDefault="009A1A36" w:rsidP="00CB0A00">
            <w:pPr>
              <w:ind w:firstLine="0"/>
              <w:rPr>
                <w:i/>
                <w:iCs/>
              </w:rPr>
            </w:pPr>
          </w:p>
          <w:p w14:paraId="6616A6A5" w14:textId="77777777" w:rsidR="009A1A36" w:rsidRPr="0026420A" w:rsidRDefault="009A1A36" w:rsidP="00CB0A00">
            <w:pPr>
              <w:ind w:firstLine="0"/>
              <w:rPr>
                <w:i/>
                <w:iCs/>
              </w:rPr>
            </w:pPr>
          </w:p>
          <w:p w14:paraId="188414A7" w14:textId="77777777" w:rsidR="009A1A36" w:rsidRPr="0026420A" w:rsidRDefault="009A1A36" w:rsidP="00CB0A00">
            <w:pPr>
              <w:ind w:firstLine="0"/>
              <w:rPr>
                <w:i/>
                <w:iCs/>
              </w:rPr>
            </w:pPr>
          </w:p>
          <w:p w14:paraId="7B23DCC9" w14:textId="77777777" w:rsidR="009A1A36" w:rsidRPr="0026420A" w:rsidRDefault="009A1A36" w:rsidP="00CB0A00">
            <w:pPr>
              <w:ind w:firstLine="0"/>
              <w:rPr>
                <w:i/>
                <w:iCs/>
              </w:rPr>
            </w:pPr>
          </w:p>
          <w:p w14:paraId="21B17817" w14:textId="77777777" w:rsidR="009A1A36" w:rsidRPr="0026420A" w:rsidRDefault="009A1A36" w:rsidP="00CB0A00">
            <w:pPr>
              <w:ind w:firstLine="0"/>
              <w:rPr>
                <w:i/>
                <w:iCs/>
              </w:rPr>
            </w:pPr>
          </w:p>
          <w:p w14:paraId="006B020A" w14:textId="77777777" w:rsidR="009A1A36" w:rsidRPr="0026420A" w:rsidRDefault="009A1A36" w:rsidP="00CB0A00">
            <w:pPr>
              <w:ind w:firstLine="0"/>
              <w:rPr>
                <w:i/>
                <w:iCs/>
              </w:rPr>
            </w:pPr>
          </w:p>
          <w:p w14:paraId="5555DFE1" w14:textId="77777777" w:rsidR="009A1A36" w:rsidRPr="0026420A" w:rsidRDefault="009A1A36" w:rsidP="00CB0A00">
            <w:pPr>
              <w:ind w:firstLine="0"/>
              <w:rPr>
                <w:i/>
                <w:iCs/>
              </w:rPr>
            </w:pPr>
          </w:p>
          <w:p w14:paraId="44632223" w14:textId="77777777" w:rsidR="009A1A36" w:rsidRPr="0026420A" w:rsidRDefault="009A1A36" w:rsidP="00CB0A00">
            <w:pPr>
              <w:ind w:firstLine="0"/>
              <w:rPr>
                <w:i/>
                <w:iCs/>
              </w:rPr>
            </w:pPr>
          </w:p>
          <w:p w14:paraId="7FC4E0D3" w14:textId="77777777" w:rsidR="009A1A36" w:rsidRPr="0026420A" w:rsidRDefault="009A1A36" w:rsidP="00CB0A00">
            <w:pPr>
              <w:ind w:firstLine="0"/>
              <w:rPr>
                <w:i/>
                <w:iCs/>
              </w:rPr>
            </w:pPr>
          </w:p>
          <w:p w14:paraId="1A7F2274" w14:textId="77777777" w:rsidR="009A1A36" w:rsidRPr="0026420A" w:rsidRDefault="009A1A36" w:rsidP="00CB0A00">
            <w:pPr>
              <w:ind w:firstLine="0"/>
              <w:rPr>
                <w:i/>
                <w:iCs/>
              </w:rPr>
            </w:pPr>
          </w:p>
          <w:p w14:paraId="52C34017" w14:textId="77777777" w:rsidR="009A1A36" w:rsidRPr="0026420A" w:rsidRDefault="009A1A36" w:rsidP="00CB0A00">
            <w:pPr>
              <w:ind w:firstLine="0"/>
              <w:rPr>
                <w:i/>
                <w:iCs/>
              </w:rPr>
            </w:pPr>
          </w:p>
          <w:p w14:paraId="57D73229" w14:textId="77777777" w:rsidR="009A1A36" w:rsidRPr="0026420A" w:rsidRDefault="009A1A36" w:rsidP="00CB0A00">
            <w:pPr>
              <w:ind w:firstLine="0"/>
              <w:rPr>
                <w:i/>
                <w:iCs/>
              </w:rPr>
            </w:pPr>
          </w:p>
          <w:p w14:paraId="5F9A89BF" w14:textId="77777777" w:rsidR="009A1A36" w:rsidRPr="0026420A" w:rsidRDefault="009A1A36" w:rsidP="00CB0A00">
            <w:pPr>
              <w:ind w:firstLine="0"/>
              <w:rPr>
                <w:i/>
                <w:iCs/>
              </w:rPr>
            </w:pPr>
          </w:p>
          <w:p w14:paraId="1B777C8C" w14:textId="77777777" w:rsidR="009A1A36" w:rsidRPr="0026420A" w:rsidRDefault="009A1A36" w:rsidP="00CB0A00">
            <w:pPr>
              <w:ind w:firstLine="0"/>
              <w:rPr>
                <w:i/>
                <w:iCs/>
              </w:rPr>
            </w:pPr>
          </w:p>
          <w:p w14:paraId="48C3B9F6" w14:textId="77777777" w:rsidR="009A1A36" w:rsidRPr="0026420A" w:rsidRDefault="009A1A36" w:rsidP="00CB0A00">
            <w:pPr>
              <w:ind w:firstLine="0"/>
              <w:rPr>
                <w:i/>
                <w:iCs/>
              </w:rPr>
            </w:pPr>
          </w:p>
          <w:p w14:paraId="6A641506" w14:textId="77777777" w:rsidR="009A1A36" w:rsidRPr="0026420A" w:rsidRDefault="009A1A36" w:rsidP="00CB0A00">
            <w:pPr>
              <w:ind w:firstLine="0"/>
              <w:rPr>
                <w:i/>
                <w:iCs/>
              </w:rPr>
            </w:pPr>
          </w:p>
          <w:p w14:paraId="4DC97345" w14:textId="77777777" w:rsidR="009A1A36" w:rsidRPr="0026420A" w:rsidRDefault="009A1A36" w:rsidP="00CB0A00">
            <w:pPr>
              <w:ind w:firstLine="0"/>
              <w:rPr>
                <w:i/>
                <w:iCs/>
              </w:rPr>
            </w:pPr>
          </w:p>
          <w:p w14:paraId="2A30AEC6" w14:textId="77777777" w:rsidR="009A1A36" w:rsidRPr="0026420A" w:rsidRDefault="009A1A36" w:rsidP="00CB0A00">
            <w:pPr>
              <w:ind w:firstLine="0"/>
              <w:rPr>
                <w:i/>
                <w:iCs/>
              </w:rPr>
            </w:pPr>
          </w:p>
          <w:p w14:paraId="6151DBDF" w14:textId="77777777" w:rsidR="009A1A36" w:rsidRPr="0026420A" w:rsidRDefault="009A1A36" w:rsidP="00CB0A00">
            <w:pPr>
              <w:ind w:firstLine="0"/>
              <w:rPr>
                <w:i/>
                <w:iCs/>
              </w:rPr>
            </w:pPr>
          </w:p>
          <w:p w14:paraId="74734491" w14:textId="77777777" w:rsidR="009A1A36" w:rsidRPr="0026420A" w:rsidRDefault="009A1A36" w:rsidP="00CB0A00">
            <w:pPr>
              <w:ind w:firstLine="0"/>
              <w:rPr>
                <w:i/>
                <w:iCs/>
              </w:rPr>
            </w:pPr>
          </w:p>
          <w:p w14:paraId="32999F08" w14:textId="77777777" w:rsidR="009A1A36" w:rsidRPr="0026420A" w:rsidRDefault="009A1A36" w:rsidP="00CB0A00">
            <w:pPr>
              <w:ind w:firstLine="0"/>
              <w:rPr>
                <w:i/>
                <w:iCs/>
              </w:rPr>
            </w:pPr>
          </w:p>
          <w:p w14:paraId="4C2AAA3D" w14:textId="77777777" w:rsidR="009A1A36" w:rsidRPr="0026420A" w:rsidRDefault="009A1A36" w:rsidP="00CB0A00">
            <w:pPr>
              <w:ind w:firstLine="0"/>
              <w:rPr>
                <w:i/>
                <w:iCs/>
              </w:rPr>
            </w:pPr>
          </w:p>
          <w:p w14:paraId="6F30B870" w14:textId="77777777" w:rsidR="009A1A36" w:rsidRPr="0026420A" w:rsidRDefault="009A1A36" w:rsidP="00CB0A00">
            <w:pPr>
              <w:ind w:firstLine="0"/>
              <w:rPr>
                <w:i/>
                <w:iCs/>
              </w:rPr>
            </w:pPr>
          </w:p>
          <w:p w14:paraId="792F3FD9" w14:textId="77777777" w:rsidR="009A1A36" w:rsidRPr="0026420A" w:rsidRDefault="009A1A36" w:rsidP="00CB0A00">
            <w:pPr>
              <w:ind w:firstLine="0"/>
              <w:rPr>
                <w:i/>
                <w:iCs/>
              </w:rPr>
            </w:pPr>
          </w:p>
          <w:p w14:paraId="15DD6B9E" w14:textId="77777777" w:rsidR="009A1A36" w:rsidRPr="0026420A" w:rsidRDefault="009A1A36" w:rsidP="00CB0A00">
            <w:pPr>
              <w:ind w:firstLine="0"/>
              <w:rPr>
                <w:i/>
                <w:iCs/>
              </w:rPr>
            </w:pPr>
          </w:p>
          <w:p w14:paraId="67C18235" w14:textId="77777777" w:rsidR="009A1A36" w:rsidRPr="0026420A" w:rsidRDefault="009A1A36" w:rsidP="00CB0A00">
            <w:pPr>
              <w:ind w:firstLine="0"/>
              <w:rPr>
                <w:i/>
                <w:iCs/>
              </w:rPr>
            </w:pPr>
          </w:p>
          <w:p w14:paraId="0629526D" w14:textId="77777777" w:rsidR="009A1A36" w:rsidRPr="0026420A" w:rsidRDefault="009A1A36" w:rsidP="00CB0A00">
            <w:pPr>
              <w:ind w:firstLine="0"/>
              <w:rPr>
                <w:i/>
                <w:iCs/>
              </w:rPr>
            </w:pPr>
          </w:p>
          <w:p w14:paraId="16CF9172" w14:textId="77777777" w:rsidR="009A1A36" w:rsidRPr="0026420A" w:rsidRDefault="009A1A36" w:rsidP="00CB0A00">
            <w:pPr>
              <w:ind w:firstLine="0"/>
              <w:rPr>
                <w:i/>
                <w:iCs/>
              </w:rPr>
            </w:pPr>
          </w:p>
          <w:p w14:paraId="531CB922" w14:textId="77777777" w:rsidR="009A1A36" w:rsidRPr="0026420A" w:rsidRDefault="009A1A36" w:rsidP="00CB0A00">
            <w:pPr>
              <w:ind w:firstLine="0"/>
              <w:rPr>
                <w:i/>
                <w:iCs/>
              </w:rPr>
            </w:pPr>
          </w:p>
          <w:p w14:paraId="1458658D" w14:textId="77777777" w:rsidR="009A1A36" w:rsidRPr="0026420A" w:rsidRDefault="009A1A36" w:rsidP="00CB0A00">
            <w:pPr>
              <w:ind w:firstLine="0"/>
              <w:rPr>
                <w:i/>
                <w:iCs/>
              </w:rPr>
            </w:pPr>
          </w:p>
          <w:p w14:paraId="1A2C1BD4" w14:textId="77777777" w:rsidR="009A1A36" w:rsidRPr="0026420A" w:rsidRDefault="009A1A36" w:rsidP="00CB0A00">
            <w:pPr>
              <w:ind w:firstLine="0"/>
              <w:rPr>
                <w:i/>
                <w:iCs/>
              </w:rPr>
            </w:pPr>
          </w:p>
          <w:p w14:paraId="589E2B39" w14:textId="77777777" w:rsidR="009A1A36" w:rsidRPr="0026420A" w:rsidRDefault="009A1A36" w:rsidP="00CB0A00">
            <w:pPr>
              <w:ind w:firstLine="0"/>
              <w:rPr>
                <w:i/>
                <w:iCs/>
              </w:rPr>
            </w:pPr>
          </w:p>
          <w:p w14:paraId="34D5D070" w14:textId="77777777" w:rsidR="009A1A36" w:rsidRPr="0026420A" w:rsidRDefault="009A1A36" w:rsidP="00CB0A00">
            <w:pPr>
              <w:ind w:firstLine="0"/>
              <w:rPr>
                <w:i/>
                <w:iCs/>
              </w:rPr>
            </w:pPr>
          </w:p>
          <w:p w14:paraId="633F3A2A" w14:textId="77777777" w:rsidR="009A1A36" w:rsidRPr="0026420A" w:rsidRDefault="009A1A36" w:rsidP="00CB0A00">
            <w:pPr>
              <w:ind w:firstLine="0"/>
              <w:rPr>
                <w:i/>
                <w:iCs/>
              </w:rPr>
            </w:pPr>
          </w:p>
          <w:p w14:paraId="376FF971" w14:textId="77777777" w:rsidR="009A1A36" w:rsidRPr="0026420A" w:rsidRDefault="009A1A36" w:rsidP="00CB0A00">
            <w:pPr>
              <w:ind w:firstLine="0"/>
              <w:rPr>
                <w:i/>
                <w:iCs/>
              </w:rPr>
            </w:pPr>
          </w:p>
          <w:p w14:paraId="726F83AB" w14:textId="77777777" w:rsidR="009A1A36" w:rsidRPr="0026420A" w:rsidRDefault="009A1A36" w:rsidP="00CB0A00">
            <w:pPr>
              <w:ind w:firstLine="0"/>
              <w:rPr>
                <w:i/>
                <w:iCs/>
              </w:rPr>
            </w:pPr>
          </w:p>
          <w:p w14:paraId="5F96C824" w14:textId="77777777" w:rsidR="009A1A36" w:rsidRPr="0026420A" w:rsidRDefault="009A1A36" w:rsidP="00CB0A00">
            <w:pPr>
              <w:ind w:firstLine="0"/>
              <w:rPr>
                <w:i/>
                <w:iCs/>
              </w:rPr>
            </w:pPr>
          </w:p>
          <w:p w14:paraId="0D62723C" w14:textId="77777777" w:rsidR="009A1A36" w:rsidRPr="0026420A" w:rsidRDefault="009A1A36" w:rsidP="00CB0A00">
            <w:pPr>
              <w:ind w:firstLine="0"/>
              <w:rPr>
                <w:i/>
                <w:iCs/>
              </w:rPr>
            </w:pPr>
          </w:p>
          <w:p w14:paraId="76E03A54" w14:textId="77777777" w:rsidR="009A1A36" w:rsidRPr="0026420A" w:rsidRDefault="009A1A36" w:rsidP="00CB0A00">
            <w:pPr>
              <w:ind w:firstLine="0"/>
              <w:rPr>
                <w:i/>
                <w:iCs/>
              </w:rPr>
            </w:pPr>
          </w:p>
          <w:p w14:paraId="3A1EF31C" w14:textId="77777777" w:rsidR="009A1A36" w:rsidRPr="0026420A" w:rsidRDefault="009A1A36" w:rsidP="00CB0A00">
            <w:pPr>
              <w:ind w:firstLine="0"/>
              <w:rPr>
                <w:i/>
                <w:iCs/>
              </w:rPr>
            </w:pPr>
          </w:p>
          <w:p w14:paraId="514EC3AE" w14:textId="77777777" w:rsidR="009A1A36" w:rsidRPr="0026420A" w:rsidRDefault="009A1A36" w:rsidP="00CB0A00">
            <w:pPr>
              <w:ind w:firstLine="0"/>
              <w:rPr>
                <w:i/>
                <w:iCs/>
              </w:rPr>
            </w:pPr>
          </w:p>
          <w:p w14:paraId="3CCF8D2D" w14:textId="77777777" w:rsidR="009A1A36" w:rsidRPr="0026420A" w:rsidRDefault="009A1A36" w:rsidP="00CB0A00">
            <w:pPr>
              <w:ind w:firstLine="0"/>
              <w:rPr>
                <w:i/>
                <w:iCs/>
              </w:rPr>
            </w:pPr>
          </w:p>
          <w:p w14:paraId="10CED35D" w14:textId="77777777" w:rsidR="009A1A36" w:rsidRPr="0026420A" w:rsidRDefault="009A1A36" w:rsidP="00CB0A00">
            <w:pPr>
              <w:ind w:firstLine="0"/>
              <w:rPr>
                <w:i/>
                <w:iCs/>
              </w:rPr>
            </w:pPr>
          </w:p>
          <w:p w14:paraId="499AF4D6" w14:textId="77777777" w:rsidR="009A1A36" w:rsidRPr="0026420A" w:rsidRDefault="009A1A36" w:rsidP="00CB0A00">
            <w:pPr>
              <w:ind w:firstLine="0"/>
              <w:rPr>
                <w:i/>
                <w:iCs/>
              </w:rPr>
            </w:pPr>
          </w:p>
          <w:p w14:paraId="51A1E57D" w14:textId="77777777" w:rsidR="009A1A36" w:rsidRPr="0026420A" w:rsidRDefault="009A1A36" w:rsidP="00CB0A00">
            <w:pPr>
              <w:ind w:firstLine="0"/>
              <w:rPr>
                <w:i/>
                <w:iCs/>
              </w:rPr>
            </w:pPr>
          </w:p>
          <w:p w14:paraId="6B2538BD" w14:textId="77777777" w:rsidR="009A1A36" w:rsidRPr="0026420A" w:rsidRDefault="009A1A36" w:rsidP="00CB0A00">
            <w:pPr>
              <w:ind w:firstLine="0"/>
              <w:rPr>
                <w:i/>
                <w:iCs/>
              </w:rPr>
            </w:pPr>
          </w:p>
          <w:p w14:paraId="6E96FCEC" w14:textId="77777777" w:rsidR="009A1A36" w:rsidRPr="0026420A" w:rsidRDefault="009A1A36" w:rsidP="00CB0A00">
            <w:pPr>
              <w:ind w:firstLine="0"/>
              <w:rPr>
                <w:i/>
                <w:iCs/>
              </w:rPr>
            </w:pPr>
          </w:p>
          <w:p w14:paraId="6C1357F3" w14:textId="77777777" w:rsidR="009A1A36" w:rsidRPr="0026420A" w:rsidRDefault="009A1A36" w:rsidP="00CB0A00">
            <w:pPr>
              <w:ind w:firstLine="0"/>
              <w:rPr>
                <w:i/>
                <w:iCs/>
              </w:rPr>
            </w:pPr>
          </w:p>
          <w:p w14:paraId="07DBD141" w14:textId="77777777" w:rsidR="009A1A36" w:rsidRPr="0026420A" w:rsidRDefault="009A1A36" w:rsidP="00CB0A00">
            <w:pPr>
              <w:ind w:firstLine="0"/>
              <w:rPr>
                <w:i/>
                <w:iCs/>
              </w:rPr>
            </w:pPr>
          </w:p>
          <w:p w14:paraId="4D023701" w14:textId="77777777" w:rsidR="009A1A36" w:rsidRPr="0026420A" w:rsidRDefault="009A1A36" w:rsidP="00CB0A00">
            <w:pPr>
              <w:ind w:firstLine="0"/>
              <w:rPr>
                <w:i/>
                <w:iCs/>
              </w:rPr>
            </w:pPr>
          </w:p>
          <w:p w14:paraId="17493572" w14:textId="77777777" w:rsidR="009A1A36" w:rsidRPr="0026420A" w:rsidRDefault="009A1A36" w:rsidP="00CB0A00">
            <w:pPr>
              <w:ind w:firstLine="0"/>
              <w:rPr>
                <w:i/>
                <w:iCs/>
              </w:rPr>
            </w:pPr>
          </w:p>
          <w:p w14:paraId="00668684" w14:textId="77777777" w:rsidR="009A1A36" w:rsidRPr="0026420A" w:rsidRDefault="009A1A36" w:rsidP="00CB0A00">
            <w:pPr>
              <w:ind w:firstLine="0"/>
              <w:rPr>
                <w:i/>
                <w:iCs/>
              </w:rPr>
            </w:pPr>
          </w:p>
          <w:p w14:paraId="101EAE6B" w14:textId="77777777" w:rsidR="009A1A36" w:rsidRPr="0026420A" w:rsidRDefault="009A1A36" w:rsidP="00CB0A00">
            <w:pPr>
              <w:ind w:firstLine="0"/>
              <w:rPr>
                <w:i/>
                <w:iCs/>
              </w:rPr>
            </w:pPr>
          </w:p>
          <w:p w14:paraId="17B6EAD5" w14:textId="77777777" w:rsidR="009A1A36" w:rsidRPr="0026420A" w:rsidRDefault="009A1A36" w:rsidP="00CB0A00">
            <w:pPr>
              <w:ind w:firstLine="0"/>
              <w:rPr>
                <w:i/>
                <w:iCs/>
              </w:rPr>
            </w:pPr>
          </w:p>
          <w:p w14:paraId="2FB1B6E6" w14:textId="77777777" w:rsidR="009A1A36" w:rsidRPr="0026420A" w:rsidRDefault="009A1A36" w:rsidP="00CB0A00">
            <w:pPr>
              <w:ind w:firstLine="0"/>
              <w:rPr>
                <w:i/>
                <w:iCs/>
              </w:rPr>
            </w:pPr>
          </w:p>
          <w:p w14:paraId="76AF8363" w14:textId="77777777" w:rsidR="009A1A36" w:rsidRPr="0026420A" w:rsidRDefault="009A1A36" w:rsidP="00CB0A00">
            <w:pPr>
              <w:ind w:firstLine="0"/>
              <w:rPr>
                <w:i/>
                <w:iCs/>
              </w:rPr>
            </w:pPr>
          </w:p>
          <w:p w14:paraId="0C383E0E" w14:textId="77777777" w:rsidR="009A1A36" w:rsidRPr="0026420A" w:rsidRDefault="009A1A36" w:rsidP="00CB0A00">
            <w:pPr>
              <w:ind w:firstLine="0"/>
              <w:rPr>
                <w:i/>
                <w:iCs/>
              </w:rPr>
            </w:pPr>
          </w:p>
          <w:p w14:paraId="4613B56B" w14:textId="77777777" w:rsidR="009A1A36" w:rsidRPr="0026420A" w:rsidRDefault="009A1A36" w:rsidP="00CB0A00">
            <w:pPr>
              <w:ind w:firstLine="0"/>
              <w:rPr>
                <w:i/>
                <w:iCs/>
              </w:rPr>
            </w:pPr>
          </w:p>
          <w:p w14:paraId="2CB8EAFF" w14:textId="77777777" w:rsidR="009A1A36" w:rsidRPr="0026420A" w:rsidRDefault="009A1A36" w:rsidP="00CB0A00">
            <w:pPr>
              <w:ind w:firstLine="0"/>
              <w:rPr>
                <w:i/>
                <w:iCs/>
              </w:rPr>
            </w:pPr>
          </w:p>
          <w:p w14:paraId="28F97E75" w14:textId="77777777" w:rsidR="009A1A36" w:rsidRPr="0026420A" w:rsidRDefault="009A1A36" w:rsidP="00CB0A00">
            <w:pPr>
              <w:ind w:firstLine="0"/>
              <w:rPr>
                <w:i/>
                <w:iCs/>
              </w:rPr>
            </w:pPr>
          </w:p>
          <w:p w14:paraId="5DB5894B" w14:textId="77777777" w:rsidR="009A1A36" w:rsidRPr="0026420A" w:rsidRDefault="009A1A36" w:rsidP="00CB0A00">
            <w:pPr>
              <w:ind w:firstLine="0"/>
              <w:rPr>
                <w:i/>
                <w:iCs/>
              </w:rPr>
            </w:pPr>
          </w:p>
          <w:p w14:paraId="1487DC2D" w14:textId="77777777" w:rsidR="009A1A36" w:rsidRPr="0026420A" w:rsidRDefault="009A1A36" w:rsidP="00CB0A00">
            <w:pPr>
              <w:ind w:firstLine="0"/>
              <w:rPr>
                <w:i/>
                <w:iCs/>
              </w:rPr>
            </w:pPr>
          </w:p>
          <w:p w14:paraId="3D062ED4" w14:textId="77777777" w:rsidR="009A1A36" w:rsidRPr="0026420A" w:rsidRDefault="009A1A36" w:rsidP="00CB0A00">
            <w:pPr>
              <w:ind w:firstLine="0"/>
              <w:rPr>
                <w:i/>
                <w:iCs/>
              </w:rPr>
            </w:pPr>
          </w:p>
          <w:p w14:paraId="5782A471" w14:textId="77777777" w:rsidR="009A1A36" w:rsidRPr="0026420A" w:rsidRDefault="009A1A36" w:rsidP="00CB0A00">
            <w:pPr>
              <w:ind w:firstLine="0"/>
              <w:rPr>
                <w:i/>
                <w:iCs/>
              </w:rPr>
            </w:pPr>
          </w:p>
          <w:p w14:paraId="3AC60697" w14:textId="77777777" w:rsidR="009A1A36" w:rsidRPr="0026420A" w:rsidRDefault="009A1A36" w:rsidP="00CB0A00">
            <w:pPr>
              <w:ind w:firstLine="0"/>
              <w:rPr>
                <w:i/>
                <w:iCs/>
              </w:rPr>
            </w:pPr>
          </w:p>
          <w:p w14:paraId="12B4CB6D" w14:textId="77777777" w:rsidR="009A1A36" w:rsidRPr="0026420A" w:rsidRDefault="009A1A36" w:rsidP="00CB0A00">
            <w:pPr>
              <w:ind w:firstLine="0"/>
              <w:rPr>
                <w:i/>
                <w:iCs/>
              </w:rPr>
            </w:pPr>
          </w:p>
          <w:p w14:paraId="58304AC8" w14:textId="77777777" w:rsidR="009A1A36" w:rsidRPr="0026420A" w:rsidRDefault="009A1A36" w:rsidP="00CB0A00">
            <w:pPr>
              <w:ind w:firstLine="0"/>
              <w:rPr>
                <w:i/>
                <w:iCs/>
              </w:rPr>
            </w:pPr>
          </w:p>
          <w:p w14:paraId="50DC5C7A" w14:textId="77777777" w:rsidR="009A1A36" w:rsidRPr="0026420A" w:rsidRDefault="009A1A36" w:rsidP="00CB0A00">
            <w:pPr>
              <w:ind w:firstLine="0"/>
              <w:rPr>
                <w:i/>
                <w:iCs/>
              </w:rPr>
            </w:pPr>
          </w:p>
          <w:p w14:paraId="1D65DDEA" w14:textId="77777777" w:rsidR="009A1A36" w:rsidRPr="0026420A" w:rsidRDefault="009A1A36" w:rsidP="00CB0A00">
            <w:pPr>
              <w:ind w:firstLine="0"/>
              <w:rPr>
                <w:i/>
                <w:iCs/>
              </w:rPr>
            </w:pPr>
          </w:p>
          <w:p w14:paraId="44399A25" w14:textId="77777777" w:rsidR="009A1A36" w:rsidRPr="0026420A" w:rsidRDefault="009A1A36" w:rsidP="00CB0A00">
            <w:pPr>
              <w:ind w:firstLine="0"/>
              <w:rPr>
                <w:i/>
                <w:iCs/>
              </w:rPr>
            </w:pPr>
          </w:p>
          <w:p w14:paraId="13748366" w14:textId="77777777" w:rsidR="009A1A36" w:rsidRPr="0026420A" w:rsidRDefault="009A1A36" w:rsidP="00CB0A00">
            <w:pPr>
              <w:ind w:firstLine="0"/>
              <w:rPr>
                <w:i/>
                <w:iCs/>
              </w:rPr>
            </w:pPr>
          </w:p>
          <w:p w14:paraId="003A98C1" w14:textId="77777777" w:rsidR="009A1A36" w:rsidRPr="0026420A" w:rsidRDefault="009A1A36" w:rsidP="00CB0A00">
            <w:pPr>
              <w:ind w:firstLine="0"/>
              <w:rPr>
                <w:i/>
                <w:iCs/>
              </w:rPr>
            </w:pPr>
          </w:p>
          <w:p w14:paraId="0AA8CC4E" w14:textId="77777777" w:rsidR="009A1A36" w:rsidRPr="0026420A" w:rsidRDefault="009A1A36" w:rsidP="00CB0A00">
            <w:pPr>
              <w:ind w:firstLine="0"/>
              <w:rPr>
                <w:i/>
                <w:iCs/>
              </w:rPr>
            </w:pPr>
          </w:p>
          <w:p w14:paraId="2BC750FA" w14:textId="77777777" w:rsidR="009A1A36" w:rsidRPr="0026420A" w:rsidRDefault="009A1A36" w:rsidP="00CB0A00">
            <w:pPr>
              <w:ind w:firstLine="0"/>
              <w:rPr>
                <w:i/>
                <w:iCs/>
              </w:rPr>
            </w:pPr>
          </w:p>
          <w:p w14:paraId="1551426A" w14:textId="77777777" w:rsidR="009A1A36" w:rsidRPr="0026420A" w:rsidRDefault="009A1A36" w:rsidP="00CB0A00">
            <w:pPr>
              <w:ind w:firstLine="0"/>
              <w:rPr>
                <w:i/>
                <w:iCs/>
              </w:rPr>
            </w:pPr>
          </w:p>
          <w:p w14:paraId="2476B1BC" w14:textId="77777777" w:rsidR="009A1A36" w:rsidRPr="0026420A" w:rsidRDefault="009A1A36" w:rsidP="00CB0A00">
            <w:pPr>
              <w:ind w:firstLine="0"/>
              <w:rPr>
                <w:i/>
                <w:iCs/>
              </w:rPr>
            </w:pPr>
          </w:p>
          <w:p w14:paraId="7E575410" w14:textId="187AAC63" w:rsidR="009A1A36" w:rsidRPr="0026420A" w:rsidRDefault="009A1A36" w:rsidP="00CB0A00">
            <w:pPr>
              <w:ind w:firstLine="0"/>
              <w:rPr>
                <w:i/>
                <w:iCs/>
              </w:rPr>
            </w:pPr>
          </w:p>
          <w:p w14:paraId="2740D08C" w14:textId="77777777" w:rsidR="009A1A36" w:rsidRPr="0026420A" w:rsidRDefault="009A1A36" w:rsidP="00CB0A00">
            <w:pPr>
              <w:ind w:firstLine="0"/>
              <w:rPr>
                <w:i/>
                <w:iCs/>
              </w:rPr>
            </w:pPr>
          </w:p>
          <w:p w14:paraId="5BD31DF6" w14:textId="77777777" w:rsidR="009A1A36" w:rsidRPr="0026420A" w:rsidRDefault="009A1A36" w:rsidP="00CB0A00">
            <w:pPr>
              <w:ind w:firstLine="0"/>
              <w:rPr>
                <w:i/>
                <w:iCs/>
              </w:rPr>
            </w:pPr>
          </w:p>
          <w:p w14:paraId="564C5B5A" w14:textId="77777777" w:rsidR="009A1A36" w:rsidRPr="0026420A" w:rsidRDefault="009A1A36" w:rsidP="00CB0A00">
            <w:pPr>
              <w:ind w:firstLine="0"/>
              <w:rPr>
                <w:i/>
                <w:iCs/>
              </w:rPr>
            </w:pPr>
          </w:p>
          <w:p w14:paraId="110D3C95" w14:textId="77777777" w:rsidR="009A1A36" w:rsidRPr="0026420A" w:rsidRDefault="009A1A36" w:rsidP="00CB0A00">
            <w:pPr>
              <w:ind w:firstLine="0"/>
              <w:rPr>
                <w:i/>
                <w:iCs/>
              </w:rPr>
            </w:pPr>
          </w:p>
          <w:p w14:paraId="6D72A6C0" w14:textId="0C0759D0" w:rsidR="009A1A36" w:rsidRPr="0026420A" w:rsidRDefault="009A1A36" w:rsidP="00CB0A00">
            <w:pPr>
              <w:ind w:firstLine="0"/>
              <w:rPr>
                <w:b/>
                <w:bCs/>
              </w:rPr>
            </w:pPr>
          </w:p>
        </w:tc>
        <w:tc>
          <w:tcPr>
            <w:tcW w:w="579" w:type="dxa"/>
            <w:tcMar>
              <w:top w:w="0" w:type="dxa"/>
              <w:left w:w="108" w:type="dxa"/>
              <w:bottom w:w="0" w:type="dxa"/>
              <w:right w:w="108" w:type="dxa"/>
            </w:tcMar>
          </w:tcPr>
          <w:p w14:paraId="6273F42E" w14:textId="39A25A98" w:rsidR="00A539D0" w:rsidRPr="0026420A" w:rsidRDefault="00A539D0" w:rsidP="001F4857">
            <w:pPr>
              <w:pStyle w:val="Listparagraf"/>
              <w:numPr>
                <w:ilvl w:val="0"/>
                <w:numId w:val="1"/>
              </w:numPr>
              <w:ind w:right="5" w:hanging="786"/>
              <w:contextualSpacing w:val="0"/>
              <w:jc w:val="left"/>
            </w:pPr>
          </w:p>
        </w:tc>
        <w:tc>
          <w:tcPr>
            <w:tcW w:w="5821" w:type="dxa"/>
            <w:tcMar>
              <w:top w:w="0" w:type="dxa"/>
              <w:left w:w="108" w:type="dxa"/>
              <w:bottom w:w="0" w:type="dxa"/>
              <w:right w:w="108" w:type="dxa"/>
            </w:tcMar>
          </w:tcPr>
          <w:p w14:paraId="156B8039" w14:textId="653BF64D" w:rsidR="00A539D0" w:rsidRPr="0026420A" w:rsidRDefault="00A539D0" w:rsidP="0056693D">
            <w:pPr>
              <w:ind w:left="-17" w:firstLine="0"/>
            </w:pPr>
            <w:r w:rsidRPr="0026420A">
              <w:t xml:space="preserve">La art. 4 </w:t>
            </w:r>
            <w:proofErr w:type="spellStart"/>
            <w:r w:rsidRPr="0026420A">
              <w:t>şi</w:t>
            </w:r>
            <w:proofErr w:type="spellEnd"/>
            <w:r w:rsidRPr="0026420A">
              <w:t xml:space="preserve"> art. 53, proiectul de lege restricționează gama de servicii de </w:t>
            </w:r>
            <w:proofErr w:type="spellStart"/>
            <w:r w:rsidRPr="0026420A">
              <w:t>criptoactive</w:t>
            </w:r>
            <w:proofErr w:type="spellEnd"/>
            <w:r w:rsidRPr="0026420A">
              <w:t xml:space="preserve"> pe care instituțiile de plată le pot furniza </w:t>
            </w:r>
            <w:proofErr w:type="spellStart"/>
            <w:r w:rsidRPr="0026420A">
              <w:t>şi</w:t>
            </w:r>
            <w:proofErr w:type="spellEnd"/>
            <w:r w:rsidRPr="0026420A">
              <w:t xml:space="preserve"> exclude entitățile străine de la excepțiile aplicabile ofertelor de valoare redusă (sub echivalentul a 1.000.000 EUR). Ministerul recomandă revizuirea acestor limite în sensul alinierii mai fidele la standardele </w:t>
            </w:r>
            <w:proofErr w:type="spellStart"/>
            <w:r w:rsidRPr="0026420A">
              <w:t>MiCA</w:t>
            </w:r>
            <w:proofErr w:type="spellEnd"/>
            <w:r w:rsidRPr="0026420A">
              <w:t xml:space="preserve">, astfel încât să fie stimulată competitivitatea pieței autohtone </w:t>
            </w:r>
            <w:proofErr w:type="spellStart"/>
            <w:r w:rsidRPr="0026420A">
              <w:t>şi</w:t>
            </w:r>
            <w:proofErr w:type="spellEnd"/>
            <w:r w:rsidRPr="0026420A">
              <w:t xml:space="preserve"> să fie evitată crearea unui dezavantaj concurențial față de operatorii din statele membre UE.</w:t>
            </w:r>
          </w:p>
        </w:tc>
        <w:tc>
          <w:tcPr>
            <w:tcW w:w="5281" w:type="dxa"/>
            <w:tcMar>
              <w:top w:w="0" w:type="dxa"/>
              <w:left w:w="108" w:type="dxa"/>
              <w:bottom w:w="0" w:type="dxa"/>
              <w:right w:w="108" w:type="dxa"/>
            </w:tcMar>
          </w:tcPr>
          <w:p w14:paraId="4906652E" w14:textId="77777777" w:rsidR="00A539D0" w:rsidRPr="0026420A" w:rsidRDefault="00A539D0" w:rsidP="00121DF9">
            <w:pPr>
              <w:ind w:firstLine="0"/>
              <w:rPr>
                <w:b/>
                <w:bCs/>
              </w:rPr>
            </w:pPr>
            <w:r w:rsidRPr="0026420A">
              <w:rPr>
                <w:b/>
                <w:bCs/>
              </w:rPr>
              <w:t>Nu se acceptă.</w:t>
            </w:r>
          </w:p>
          <w:p w14:paraId="156480C9" w14:textId="77777777" w:rsidR="00A539D0" w:rsidRPr="0026420A" w:rsidRDefault="00A539D0" w:rsidP="00121DF9">
            <w:pPr>
              <w:ind w:firstLine="0"/>
            </w:pPr>
            <w:r w:rsidRPr="0026420A">
              <w:t xml:space="preserve">Limitările prevăzute la art. 4 și art. 53 reflectă opțiunea de reglementare etapizată a pieței </w:t>
            </w:r>
            <w:proofErr w:type="spellStart"/>
            <w:r w:rsidRPr="0026420A">
              <w:t>criptoactivelor</w:t>
            </w:r>
            <w:proofErr w:type="spellEnd"/>
            <w:r w:rsidRPr="0026420A">
              <w:t xml:space="preserve">, raportată la nivelul actual de dezvoltare a pieței, capacitatea de supraveghere și profilul de risc asumat de Republica Moldova. Deși </w:t>
            </w:r>
            <w:proofErr w:type="spellStart"/>
            <w:r w:rsidRPr="0026420A">
              <w:t>MiCA</w:t>
            </w:r>
            <w:proofErr w:type="spellEnd"/>
            <w:r w:rsidRPr="0026420A">
              <w:t xml:space="preserve"> stabilește anumite excepții și mecanisme aplicabile în cadrul pieței interne a UE, aplicarea acestora în dreptul național trebuie corelată cu faptul că Republica Moldova nu </w:t>
            </w:r>
            <w:r w:rsidRPr="0026420A">
              <w:lastRenderedPageBreak/>
              <w:t xml:space="preserve">beneficiază, la această etapă, de mecanismele de </w:t>
            </w:r>
            <w:proofErr w:type="spellStart"/>
            <w:r w:rsidRPr="0026420A">
              <w:t>pașaportare</w:t>
            </w:r>
            <w:proofErr w:type="spellEnd"/>
            <w:r w:rsidRPr="0026420A">
              <w:t xml:space="preserve">, recunoaștere mutuală și cooperare europeană deplină. </w:t>
            </w:r>
          </w:p>
          <w:p w14:paraId="5822D9AE" w14:textId="4BAD6826" w:rsidR="00A539D0" w:rsidRPr="0026420A" w:rsidRDefault="00A539D0" w:rsidP="00121DF9">
            <w:pPr>
              <w:ind w:firstLine="0"/>
              <w:rPr>
                <w:b/>
                <w:bCs/>
              </w:rPr>
            </w:pPr>
            <w:r w:rsidRPr="0026420A">
              <w:t xml:space="preserve">Prin urmare, menținerea limitărilor propuse este justificată pentru asigurarea unei implementări prudente, proporționale și supravegheabile a cadrului privind piața </w:t>
            </w:r>
            <w:proofErr w:type="spellStart"/>
            <w:r w:rsidRPr="0026420A">
              <w:t>criptoactivelor</w:t>
            </w:r>
            <w:proofErr w:type="spellEnd"/>
            <w:r w:rsidRPr="0026420A">
              <w:t>.</w:t>
            </w:r>
          </w:p>
        </w:tc>
      </w:tr>
      <w:tr w:rsidR="00CB0A00" w:rsidRPr="0026420A" w14:paraId="56EF9C74" w14:textId="77777777" w:rsidTr="001F4857">
        <w:trPr>
          <w:trHeight w:val="300"/>
        </w:trPr>
        <w:tc>
          <w:tcPr>
            <w:tcW w:w="2206" w:type="dxa"/>
            <w:vMerge/>
            <w:tcMar>
              <w:top w:w="0" w:type="dxa"/>
              <w:left w:w="108" w:type="dxa"/>
              <w:bottom w:w="0" w:type="dxa"/>
              <w:right w:w="108" w:type="dxa"/>
            </w:tcMar>
          </w:tcPr>
          <w:p w14:paraId="164CEB70" w14:textId="77777777" w:rsidR="00CB0A00" w:rsidRPr="0026420A" w:rsidRDefault="00CB0A00" w:rsidP="00CB0A00">
            <w:pPr>
              <w:ind w:firstLine="0"/>
              <w:jc w:val="left"/>
              <w:rPr>
                <w:b/>
                <w:bCs/>
              </w:rPr>
            </w:pPr>
          </w:p>
        </w:tc>
        <w:tc>
          <w:tcPr>
            <w:tcW w:w="579" w:type="dxa"/>
            <w:tcMar>
              <w:top w:w="0" w:type="dxa"/>
              <w:left w:w="108" w:type="dxa"/>
              <w:bottom w:w="0" w:type="dxa"/>
              <w:right w:w="108" w:type="dxa"/>
            </w:tcMar>
          </w:tcPr>
          <w:p w14:paraId="1FF0EA4D" w14:textId="77777777" w:rsidR="00CB0A00" w:rsidRPr="0026420A" w:rsidRDefault="00CB0A00" w:rsidP="00CB0A0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785951CD" w14:textId="1CC1B507" w:rsidR="00CB0A00" w:rsidRPr="0026420A" w:rsidRDefault="00CB0A00" w:rsidP="0056693D">
            <w:pPr>
              <w:ind w:left="-17" w:firstLine="0"/>
            </w:pPr>
            <w:r w:rsidRPr="0026420A">
              <w:t xml:space="preserve">La art. 6 </w:t>
            </w:r>
            <w:proofErr w:type="spellStart"/>
            <w:r w:rsidRPr="0026420A">
              <w:t>şi</w:t>
            </w:r>
            <w:proofErr w:type="spellEnd"/>
            <w:r w:rsidRPr="0026420A">
              <w:t xml:space="preserve"> art. 19, proiectul de lege impune redactarea cărții albe exclusiv în limba română. Se recomandă examinarea oportunității de a permite redactarea acestui document </w:t>
            </w:r>
            <w:proofErr w:type="spellStart"/>
            <w:r w:rsidRPr="0026420A">
              <w:t>şi</w:t>
            </w:r>
            <w:proofErr w:type="spellEnd"/>
            <w:r w:rsidRPr="0026420A">
              <w:t xml:space="preserve"> în limba engleză, alternativ sau cumulativ, în scopul facilitării accesului emitenților internaționali pe piața autohtonă </w:t>
            </w:r>
            <w:proofErr w:type="spellStart"/>
            <w:r w:rsidRPr="0026420A">
              <w:t>şi</w:t>
            </w:r>
            <w:proofErr w:type="spellEnd"/>
            <w:r w:rsidRPr="0026420A">
              <w:t xml:space="preserve"> al reducerii costurilor de conformare pentru start-</w:t>
            </w:r>
            <w:proofErr w:type="spellStart"/>
            <w:r w:rsidRPr="0026420A">
              <w:t>up</w:t>
            </w:r>
            <w:proofErr w:type="spellEnd"/>
            <w:r w:rsidRPr="0026420A">
              <w:t>-urile cu activitate transfrontalieră. O astfel de reglementare ar fi concordantă cu practica statelor membre UE în aplicarea Regulamentului (UE) 2023/1114 (</w:t>
            </w:r>
            <w:proofErr w:type="spellStart"/>
            <w:r w:rsidRPr="0026420A">
              <w:t>MiCA</w:t>
            </w:r>
            <w:proofErr w:type="spellEnd"/>
            <w:r w:rsidRPr="0026420A">
              <w:t xml:space="preserve">) </w:t>
            </w:r>
            <w:proofErr w:type="spellStart"/>
            <w:r w:rsidRPr="0026420A">
              <w:t>şi</w:t>
            </w:r>
            <w:proofErr w:type="spellEnd"/>
            <w:r w:rsidRPr="0026420A">
              <w:t xml:space="preserve"> nu ar afecta capacitatea autorităților competente de supraveghere, întrucât actele adresate acestora pot rămâne în limba română.</w:t>
            </w:r>
          </w:p>
        </w:tc>
        <w:tc>
          <w:tcPr>
            <w:tcW w:w="5281" w:type="dxa"/>
            <w:tcMar>
              <w:top w:w="0" w:type="dxa"/>
              <w:left w:w="108" w:type="dxa"/>
              <w:bottom w:w="0" w:type="dxa"/>
              <w:right w:w="108" w:type="dxa"/>
            </w:tcMar>
          </w:tcPr>
          <w:p w14:paraId="078B2E85" w14:textId="5CC7C9DD" w:rsidR="00CB0A00" w:rsidRPr="0026420A" w:rsidRDefault="00CB0A00" w:rsidP="00CB0A00">
            <w:pPr>
              <w:ind w:firstLine="0"/>
              <w:rPr>
                <w:b/>
                <w:bCs/>
              </w:rPr>
            </w:pPr>
            <w:r w:rsidRPr="0026420A">
              <w:rPr>
                <w:b/>
                <w:bCs/>
              </w:rPr>
              <w:t>Nu se acceptă.</w:t>
            </w:r>
          </w:p>
          <w:p w14:paraId="15A430C4" w14:textId="4381EAD9" w:rsidR="00CB0A00" w:rsidRPr="0026420A" w:rsidRDefault="00D957E5" w:rsidP="00CB0A00">
            <w:pPr>
              <w:ind w:firstLine="0"/>
            </w:pPr>
            <w:r w:rsidRPr="0026420A">
              <w:t xml:space="preserve">Cerința redactării cărții albe în limba română este justificată de necesitatea asigurării accesului efectiv al deținătorilor și potențialilor deținători de </w:t>
            </w:r>
            <w:proofErr w:type="spellStart"/>
            <w:r w:rsidRPr="0026420A">
              <w:t>criptoactive</w:t>
            </w:r>
            <w:proofErr w:type="spellEnd"/>
            <w:r w:rsidRPr="0026420A">
              <w:t xml:space="preserve"> la informațiile esențiale privind oferta, riscurile, drepturile și obligațiile aferente </w:t>
            </w:r>
            <w:proofErr w:type="spellStart"/>
            <w:r w:rsidRPr="0026420A">
              <w:t>criptoactivelor</w:t>
            </w:r>
            <w:proofErr w:type="spellEnd"/>
            <w:r w:rsidRPr="0026420A">
              <w:t>, precum și de necesitatea desfășurării procedurilor administrative în limba oficială a statului. Totodată, limba română este una dintre limbile oficiale ale Uniunii Europene, iar utilizarea acesteia este pe deplin compatibilă cu obiectivul de armonizare a cadrului normativ național cu acquis-</w:t>
            </w:r>
            <w:proofErr w:type="spellStart"/>
            <w:r w:rsidRPr="0026420A">
              <w:t>ul</w:t>
            </w:r>
            <w:proofErr w:type="spellEnd"/>
            <w:r w:rsidRPr="0026420A">
              <w:t xml:space="preserve"> Uniunii Europene și cu cerințele de transparență și protecție a consumatorilor. Versiunile în alte limbi pot fi utilizate, după caz, în scopuri comerciale sau informative, însă versiunea în limba română trebuie să rămână versiunea oficială și relevantă pentru conformarea cu cerințele proiectului de lege, pentru exercitarea atribuțiilor autorităților competente și pentru asigurarea securității juridice.</w:t>
            </w:r>
          </w:p>
        </w:tc>
      </w:tr>
      <w:tr w:rsidR="00CB0A00" w:rsidRPr="0026420A" w14:paraId="53B72479" w14:textId="77777777" w:rsidTr="001F4857">
        <w:trPr>
          <w:trHeight w:val="300"/>
        </w:trPr>
        <w:tc>
          <w:tcPr>
            <w:tcW w:w="2206" w:type="dxa"/>
            <w:vMerge/>
            <w:tcMar>
              <w:top w:w="0" w:type="dxa"/>
              <w:left w:w="108" w:type="dxa"/>
              <w:bottom w:w="0" w:type="dxa"/>
              <w:right w:w="108" w:type="dxa"/>
            </w:tcMar>
          </w:tcPr>
          <w:p w14:paraId="5B676DB3" w14:textId="77777777" w:rsidR="00CB0A00" w:rsidRPr="0026420A" w:rsidRDefault="00CB0A00" w:rsidP="00CB0A00">
            <w:pPr>
              <w:ind w:firstLine="0"/>
              <w:jc w:val="left"/>
              <w:rPr>
                <w:b/>
                <w:bCs/>
              </w:rPr>
            </w:pPr>
          </w:p>
        </w:tc>
        <w:tc>
          <w:tcPr>
            <w:tcW w:w="579" w:type="dxa"/>
            <w:tcMar>
              <w:top w:w="0" w:type="dxa"/>
              <w:left w:w="108" w:type="dxa"/>
              <w:bottom w:w="0" w:type="dxa"/>
              <w:right w:w="108" w:type="dxa"/>
            </w:tcMar>
          </w:tcPr>
          <w:p w14:paraId="29E84438" w14:textId="77777777" w:rsidR="00CB0A00" w:rsidRPr="0026420A" w:rsidRDefault="00CB0A00" w:rsidP="00CB0A0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4E8DEA2A" w14:textId="7E2E90D8" w:rsidR="00CB0A00" w:rsidRPr="0026420A" w:rsidRDefault="00CB0A00" w:rsidP="0056693D">
            <w:pPr>
              <w:ind w:left="-17" w:firstLine="0"/>
            </w:pPr>
            <w:r w:rsidRPr="0026420A">
              <w:t xml:space="preserve">La art. 43 </w:t>
            </w:r>
            <w:proofErr w:type="spellStart"/>
            <w:r w:rsidRPr="0026420A">
              <w:t>şi</w:t>
            </w:r>
            <w:proofErr w:type="spellEnd"/>
            <w:r w:rsidRPr="0026420A">
              <w:t xml:space="preserve"> art. 52, termenele prevăzute pentru elaborarea </w:t>
            </w:r>
            <w:proofErr w:type="spellStart"/>
            <w:r w:rsidRPr="0026420A">
              <w:t>şi</w:t>
            </w:r>
            <w:proofErr w:type="spellEnd"/>
            <w:r w:rsidRPr="0026420A">
              <w:t xml:space="preserve"> activarea planurilor de redresare </w:t>
            </w:r>
            <w:proofErr w:type="spellStart"/>
            <w:r w:rsidRPr="0026420A">
              <w:t>şi</w:t>
            </w:r>
            <w:proofErr w:type="spellEnd"/>
            <w:r w:rsidRPr="0026420A">
              <w:t xml:space="preserve"> răscumpărare ale emitenților de </w:t>
            </w:r>
            <w:proofErr w:type="spellStart"/>
            <w:r w:rsidRPr="0026420A">
              <w:t>tokenuri</w:t>
            </w:r>
            <w:proofErr w:type="spellEnd"/>
            <w:r w:rsidRPr="0026420A">
              <w:t xml:space="preserve"> raportate la active </w:t>
            </w:r>
            <w:proofErr w:type="spellStart"/>
            <w:r w:rsidRPr="0026420A">
              <w:t>şi</w:t>
            </w:r>
            <w:proofErr w:type="spellEnd"/>
            <w:r w:rsidRPr="0026420A">
              <w:t xml:space="preserve"> de </w:t>
            </w:r>
            <w:proofErr w:type="spellStart"/>
            <w:r w:rsidRPr="0026420A">
              <w:t>tokenuri</w:t>
            </w:r>
            <w:proofErr w:type="spellEnd"/>
            <w:r w:rsidRPr="0026420A">
              <w:t xml:space="preserve"> de monedă electronică sunt, în unele situații, mai scurte decât cerințele stabilite de Regulamentul (UE) 2023/1114. Se recomandă revizuirea acestor termene în sensul alinierii la standardul european, având în vedere că termenele excesiv de scurte pot genera presiuni operaționale disproporționate pentru </w:t>
            </w:r>
            <w:proofErr w:type="spellStart"/>
            <w:r w:rsidRPr="0026420A">
              <w:t>emițenți</w:t>
            </w:r>
            <w:proofErr w:type="spellEnd"/>
            <w:r w:rsidRPr="0026420A">
              <w:t xml:space="preserve">, în special în contextul funcționării piețelor </w:t>
            </w:r>
            <w:proofErr w:type="spellStart"/>
            <w:r w:rsidRPr="0026420A">
              <w:t>criptoactivelor</w:t>
            </w:r>
            <w:proofErr w:type="spellEnd"/>
            <w:r w:rsidRPr="0026420A">
              <w:t xml:space="preserve"> în regim continuu.</w:t>
            </w:r>
          </w:p>
        </w:tc>
        <w:tc>
          <w:tcPr>
            <w:tcW w:w="5281" w:type="dxa"/>
            <w:tcMar>
              <w:top w:w="0" w:type="dxa"/>
              <w:left w:w="108" w:type="dxa"/>
              <w:bottom w:w="0" w:type="dxa"/>
              <w:right w:w="108" w:type="dxa"/>
            </w:tcMar>
          </w:tcPr>
          <w:p w14:paraId="7E331D85" w14:textId="77777777" w:rsidR="00F86A91" w:rsidRPr="0026420A" w:rsidRDefault="00CB0A00" w:rsidP="00F86A91">
            <w:pPr>
              <w:ind w:firstLine="0"/>
              <w:rPr>
                <w:b/>
                <w:bCs/>
              </w:rPr>
            </w:pPr>
            <w:r w:rsidRPr="0026420A">
              <w:rPr>
                <w:b/>
                <w:bCs/>
              </w:rPr>
              <w:t>Nu se acceptă.</w:t>
            </w:r>
          </w:p>
          <w:p w14:paraId="60C21995" w14:textId="798AC822" w:rsidR="00F86A91" w:rsidRPr="0026420A" w:rsidRDefault="00F86A91" w:rsidP="00F86A91">
            <w:pPr>
              <w:ind w:firstLine="0"/>
            </w:pPr>
            <w:r w:rsidRPr="0026420A">
              <w:t xml:space="preserve">Prevederile proiectului de lege stabilește clar termenul de  notificare autorităților competente  a planurilor de redresare </w:t>
            </w:r>
            <w:proofErr w:type="spellStart"/>
            <w:r w:rsidRPr="0026420A">
              <w:t>şi</w:t>
            </w:r>
            <w:proofErr w:type="spellEnd"/>
            <w:r w:rsidRPr="0026420A">
              <w:t xml:space="preserve"> răscumpărare, în cazul emitenților de </w:t>
            </w:r>
            <w:proofErr w:type="spellStart"/>
            <w:r w:rsidRPr="0026420A">
              <w:t>tokenuri</w:t>
            </w:r>
            <w:proofErr w:type="spellEnd"/>
            <w:r w:rsidRPr="0026420A">
              <w:t xml:space="preserve"> raportate la active, în termen de 6 luni de la data autorizării în temeiul art. 21 sau în termen de 6 luni de la data aprobării cărții albe pentru </w:t>
            </w:r>
            <w:proofErr w:type="spellStart"/>
            <w:r w:rsidRPr="0026420A">
              <w:t>criptoactive</w:t>
            </w:r>
            <w:proofErr w:type="spellEnd"/>
            <w:r w:rsidRPr="0026420A">
              <w:t xml:space="preserve"> în temeiul art. 17, iar în cazul emitenților de </w:t>
            </w:r>
            <w:proofErr w:type="spellStart"/>
            <w:r w:rsidRPr="0026420A">
              <w:t>tokenuri</w:t>
            </w:r>
            <w:proofErr w:type="spellEnd"/>
            <w:r w:rsidRPr="0026420A">
              <w:t xml:space="preserve"> de monedă electronică în termen de 6 luni de la data ofertei publice sau de la admiterea la tranzacționare.</w:t>
            </w:r>
          </w:p>
          <w:p w14:paraId="4A473B5B" w14:textId="67149A24" w:rsidR="00F86A91" w:rsidRPr="0026420A" w:rsidRDefault="00F86A91" w:rsidP="00F86A91">
            <w:pPr>
              <w:ind w:firstLine="0"/>
            </w:pPr>
            <w:proofErr w:type="spellStart"/>
            <w:r w:rsidRPr="0026420A">
              <w:t>Cît</w:t>
            </w:r>
            <w:proofErr w:type="spellEnd"/>
            <w:r w:rsidRPr="0026420A">
              <w:t xml:space="preserve"> privește temenele de punere în aplicare a măsurilor prevăzute  de planurilor de redresare </w:t>
            </w:r>
            <w:proofErr w:type="spellStart"/>
            <w:r w:rsidRPr="0026420A">
              <w:t>şi</w:t>
            </w:r>
            <w:proofErr w:type="spellEnd"/>
            <w:r w:rsidRPr="0026420A">
              <w:t xml:space="preserve"> răscumpărare, nici </w:t>
            </w:r>
            <w:proofErr w:type="spellStart"/>
            <w:r w:rsidRPr="0026420A">
              <w:t>MiCA</w:t>
            </w:r>
            <w:proofErr w:type="spellEnd"/>
            <w:r w:rsidRPr="0026420A">
              <w:t xml:space="preserve"> și nici cadrul secundar aplicabil nu stabilesc un termen exhaustiv după depășirea unui indicator prevăzut în plan. Conform orientărilor și standardelor relevante ale EBA, accentul este pus pe identificarea timpurie a deteriorării situației emitentului și pe capacitatea acestuia de a reacționa prompt. De </w:t>
            </w:r>
            <w:r w:rsidRPr="0026420A">
              <w:lastRenderedPageBreak/>
              <w:t xml:space="preserve">asemenea, </w:t>
            </w:r>
            <w:r w:rsidR="00E23255" w:rsidRPr="0026420A">
              <w:t>standardele UE</w:t>
            </w:r>
            <w:r w:rsidRPr="0026420A">
              <w:t xml:space="preserve"> stabi</w:t>
            </w:r>
            <w:r w:rsidR="00E23255" w:rsidRPr="0026420A">
              <w:t>lesc</w:t>
            </w:r>
            <w:r w:rsidRPr="0026420A">
              <w:t xml:space="preserve"> termene clare pentru escaladarea internă și notificarea autorității competente, inclusiv obligația de informare a organului de conducere și de notificare a autorității competente într-un termen de până la 24 de ore de la producerea evenimentelor relevante.</w:t>
            </w:r>
          </w:p>
          <w:p w14:paraId="0D920E7C" w14:textId="1C6A333E" w:rsidR="00E23255" w:rsidRPr="0026420A" w:rsidRDefault="00E23255" w:rsidP="00E23255">
            <w:pPr>
              <w:ind w:firstLine="0"/>
            </w:pPr>
            <w:r w:rsidRPr="0026420A">
              <w:t xml:space="preserve">Prin urmare, soluția prevăzută în proiect, potrivit căreia măsurile de redresare urmează a fi aplicate fără întârziere nejustificată, într-un interval cuprins între câteva ore și 72 de ore, este justificată de natura riscurilor aferente </w:t>
            </w:r>
            <w:proofErr w:type="spellStart"/>
            <w:r w:rsidRPr="0026420A">
              <w:t>tokenurilor</w:t>
            </w:r>
            <w:proofErr w:type="spellEnd"/>
            <w:r w:rsidRPr="0026420A">
              <w:t xml:space="preserve"> raportate la active. Acest interval permite intervenția promptă în cazul deteriorării poziției financiare a emitentului, reducerii valorii activelor de rezervă, disfuncționalităților operaționale sau retragerilor masive, fără a institui un termen unic și rigid.</w:t>
            </w:r>
          </w:p>
          <w:p w14:paraId="37425C5A" w14:textId="77777777" w:rsidR="00E23255" w:rsidRPr="0026420A" w:rsidRDefault="00E23255" w:rsidP="00E23255">
            <w:pPr>
              <w:ind w:firstLine="0"/>
            </w:pPr>
            <w:r w:rsidRPr="0026420A">
              <w:t>În mod similar, pentru planul de răscumpărare, proiectul prevede că plățile către deținători se efectuează fără întârziere nejustificată, într-un interval cuprins între 24 de ore și maximum 15 zile lucrătoare, în funcție de complexitatea situației, natura activelor de rezervă și condițiile de piață. Această soluție asigură atât protecția deținătorilor, cât și evitarea prejudiciilor economice nejustificate sau a unor efecte negative asupra stabilității piețelor activelor de rezervă.</w:t>
            </w:r>
          </w:p>
          <w:p w14:paraId="07DDB01B" w14:textId="09358FCA" w:rsidR="00E23255" w:rsidRPr="0026420A" w:rsidRDefault="00E23255" w:rsidP="00E23255">
            <w:pPr>
              <w:ind w:firstLine="0"/>
            </w:pPr>
            <w:r w:rsidRPr="0026420A">
              <w:t xml:space="preserve">În consecință, termenele prevăzute de proiect nu instituie obligații disproporționate, ci reprezintă mecanisme operaționale necesare pentru intervenția rapidă și eficientă în situații de criză, menținând flexibilitatea necesară adaptării la circumstanțele concrete ale fiecărui caz. Mai mult ca </w:t>
            </w:r>
            <w:proofErr w:type="spellStart"/>
            <w:r w:rsidRPr="0026420A">
              <w:t>atît</w:t>
            </w:r>
            <w:proofErr w:type="spellEnd"/>
            <w:r w:rsidRPr="0026420A">
              <w:t>, se reține că recomandarea MDED privind revizuirea termenelor nu este însoțită de o propunere concretă de modificare.</w:t>
            </w:r>
          </w:p>
          <w:p w14:paraId="355D3496" w14:textId="5EB9B341" w:rsidR="00CC4052" w:rsidRPr="0026420A" w:rsidRDefault="00CC4052" w:rsidP="00F86A91">
            <w:pPr>
              <w:ind w:firstLine="0"/>
            </w:pPr>
          </w:p>
        </w:tc>
      </w:tr>
      <w:tr w:rsidR="00CB0A00" w:rsidRPr="0026420A" w14:paraId="0777C011" w14:textId="77777777" w:rsidTr="001F4857">
        <w:trPr>
          <w:trHeight w:val="300"/>
        </w:trPr>
        <w:tc>
          <w:tcPr>
            <w:tcW w:w="2206" w:type="dxa"/>
            <w:vMerge/>
            <w:tcBorders>
              <w:bottom w:val="single" w:sz="4" w:space="0" w:color="auto"/>
            </w:tcBorders>
            <w:tcMar>
              <w:top w:w="0" w:type="dxa"/>
              <w:left w:w="108" w:type="dxa"/>
              <w:bottom w:w="0" w:type="dxa"/>
              <w:right w:w="108" w:type="dxa"/>
            </w:tcMar>
          </w:tcPr>
          <w:p w14:paraId="2EBC3CC9" w14:textId="77777777" w:rsidR="00CB0A00" w:rsidRPr="0026420A" w:rsidRDefault="00CB0A00" w:rsidP="00CB0A00">
            <w:pPr>
              <w:ind w:firstLine="0"/>
              <w:jc w:val="left"/>
              <w:rPr>
                <w:b/>
                <w:bCs/>
              </w:rPr>
            </w:pPr>
          </w:p>
        </w:tc>
        <w:tc>
          <w:tcPr>
            <w:tcW w:w="579" w:type="dxa"/>
            <w:tcBorders>
              <w:bottom w:val="single" w:sz="4" w:space="0" w:color="auto"/>
            </w:tcBorders>
            <w:tcMar>
              <w:top w:w="0" w:type="dxa"/>
              <w:left w:w="108" w:type="dxa"/>
              <w:bottom w:w="0" w:type="dxa"/>
              <w:right w:w="108" w:type="dxa"/>
            </w:tcMar>
          </w:tcPr>
          <w:p w14:paraId="0674C95C" w14:textId="77777777" w:rsidR="00CB0A00" w:rsidRPr="0026420A" w:rsidRDefault="00CB0A00" w:rsidP="00CB0A0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495D75D5" w14:textId="77BCA05E" w:rsidR="00CB0A00" w:rsidRPr="0026420A" w:rsidRDefault="00CB0A00" w:rsidP="0056693D">
            <w:pPr>
              <w:ind w:left="-17" w:firstLine="0"/>
            </w:pPr>
            <w:r w:rsidRPr="0026420A">
              <w:t xml:space="preserve">La art. 103, având în vedere costurile semnificative de conformare pe care le implică autorizarea în domeniul </w:t>
            </w:r>
            <w:proofErr w:type="spellStart"/>
            <w:r w:rsidRPr="0026420A">
              <w:t>criptoactivelor</w:t>
            </w:r>
            <w:proofErr w:type="spellEnd"/>
            <w:r w:rsidRPr="0026420A">
              <w:t xml:space="preserve">, se propune stabilirea unor taxe de autorizare </w:t>
            </w:r>
            <w:proofErr w:type="spellStart"/>
            <w:r w:rsidRPr="0026420A">
              <w:t>şi</w:t>
            </w:r>
            <w:proofErr w:type="spellEnd"/>
            <w:r w:rsidRPr="0026420A">
              <w:t xml:space="preserve"> supraveghere diferențiate, proporționale cu volumul tranzacțiilor </w:t>
            </w:r>
            <w:proofErr w:type="spellStart"/>
            <w:r w:rsidRPr="0026420A">
              <w:t>şi</w:t>
            </w:r>
            <w:proofErr w:type="spellEnd"/>
            <w:r w:rsidRPr="0026420A">
              <w:t xml:space="preserve"> cu categoria de servicii prestate, în conformitate cu principiul proporționalității prevăzut de Regulamentul (UE) 2023/1114. Totodată, se recomandă introducerea unui mecanism de testare reglementată (“</w:t>
            </w:r>
            <w:proofErr w:type="spellStart"/>
            <w:r w:rsidRPr="0026420A">
              <w:t>Regulatory</w:t>
            </w:r>
            <w:proofErr w:type="spellEnd"/>
            <w:r w:rsidRPr="0026420A">
              <w:t xml:space="preserve"> </w:t>
            </w:r>
            <w:proofErr w:type="spellStart"/>
            <w:r w:rsidRPr="0026420A">
              <w:t>Sandbox</w:t>
            </w:r>
            <w:proofErr w:type="spellEnd"/>
            <w:r w:rsidRPr="0026420A">
              <w:t xml:space="preserve">”), care să permită companiilor </w:t>
            </w:r>
            <w:proofErr w:type="spellStart"/>
            <w:r w:rsidRPr="0026420A">
              <w:t>fintech</w:t>
            </w:r>
            <w:proofErr w:type="spellEnd"/>
            <w:r w:rsidRPr="0026420A">
              <w:t xml:space="preserve"> să experimenteze soluții inovatoare sub supravegherea BNM </w:t>
            </w:r>
            <w:proofErr w:type="spellStart"/>
            <w:r w:rsidRPr="0026420A">
              <w:t>şi</w:t>
            </w:r>
            <w:proofErr w:type="spellEnd"/>
            <w:r w:rsidRPr="0026420A">
              <w:t xml:space="preserve">/sau a Comisiei Naționale a Pieței Financiare, în baza unor derogări temporare </w:t>
            </w:r>
            <w:proofErr w:type="spellStart"/>
            <w:r w:rsidRPr="0026420A">
              <w:t>şi</w:t>
            </w:r>
            <w:proofErr w:type="spellEnd"/>
            <w:r w:rsidRPr="0026420A">
              <w:t xml:space="preserve"> condiționate de la anumite cerințe de autorizare. Un astfel de regim ar stimula inovarea tehnologică </w:t>
            </w:r>
            <w:proofErr w:type="spellStart"/>
            <w:r w:rsidRPr="0026420A">
              <w:t>şi</w:t>
            </w:r>
            <w:proofErr w:type="spellEnd"/>
            <w:r w:rsidRPr="0026420A">
              <w:t xml:space="preserve"> ar atrage investitorii din sectorul economiei digitale.</w:t>
            </w:r>
          </w:p>
        </w:tc>
        <w:tc>
          <w:tcPr>
            <w:tcW w:w="5281" w:type="dxa"/>
            <w:tcMar>
              <w:top w:w="0" w:type="dxa"/>
              <w:left w:w="108" w:type="dxa"/>
              <w:bottom w:w="0" w:type="dxa"/>
              <w:right w:w="108" w:type="dxa"/>
            </w:tcMar>
          </w:tcPr>
          <w:p w14:paraId="3E778116" w14:textId="77777777" w:rsidR="00CB0A00" w:rsidRPr="0026420A" w:rsidRDefault="00CB0A00" w:rsidP="00CB0A00">
            <w:pPr>
              <w:ind w:firstLine="0"/>
            </w:pPr>
            <w:r w:rsidRPr="0026420A">
              <w:rPr>
                <w:b/>
                <w:bCs/>
              </w:rPr>
              <w:t>Nu se acceptă</w:t>
            </w:r>
            <w:r w:rsidRPr="0026420A">
              <w:t>.</w:t>
            </w:r>
          </w:p>
          <w:p w14:paraId="2CA5C5C9" w14:textId="77777777" w:rsidR="001918A0" w:rsidRPr="0026420A" w:rsidRDefault="001918A0" w:rsidP="001918A0">
            <w:pPr>
              <w:ind w:firstLine="0"/>
            </w:pPr>
            <w:r w:rsidRPr="0026420A">
              <w:t xml:space="preserve">Proiectul de lege reglementează deja cadrul general privind taxele de autorizare și supraveghere a pieței </w:t>
            </w:r>
            <w:proofErr w:type="spellStart"/>
            <w:r w:rsidRPr="0026420A">
              <w:t>criptoactivelor</w:t>
            </w:r>
            <w:proofErr w:type="spellEnd"/>
            <w:r w:rsidRPr="0026420A">
              <w:t>. Potrivit art. 103, autoritățile competente pot percepe taxe pentru examinarea cererilor de autorizare, notificare sau aprobare, precum și taxe anuale de supraveghere, iar cuantumul acestora, procedura de percepere și categoriile de persoane sau entități obligate la plată urmează să fie stabilite prin actele normative de punere în aplicare ale autorităților competente. Totodată, cuantumul taxelor se determină în baza principiului recuperării costurilor aferente activităților de autorizare și supraveghere.</w:t>
            </w:r>
          </w:p>
          <w:p w14:paraId="45A2D50F" w14:textId="77777777" w:rsidR="001918A0" w:rsidRPr="0026420A" w:rsidRDefault="001918A0" w:rsidP="001918A0">
            <w:pPr>
              <w:ind w:firstLine="0"/>
            </w:pPr>
            <w:r w:rsidRPr="0026420A">
              <w:lastRenderedPageBreak/>
              <w:t>În aceste condiții, aspectele privind eventuala diferențiere a taxelor în funcție de categoria entităților, dimensiunea activității sau profilul de risc pot fi analizate și reglementate la nivelul actelor normative de punere în aplicare, fără a fi necesară modificarea proiectului de lege.</w:t>
            </w:r>
          </w:p>
          <w:p w14:paraId="217E5B0D" w14:textId="52500649" w:rsidR="00CB0A00" w:rsidRPr="0026420A" w:rsidRDefault="001918A0" w:rsidP="001918A0">
            <w:pPr>
              <w:ind w:firstLine="0"/>
            </w:pPr>
            <w:r w:rsidRPr="0026420A">
              <w:t>În ceea ce privește instituirea unui mecanism de testare reglementată de tip „</w:t>
            </w:r>
            <w:proofErr w:type="spellStart"/>
            <w:r w:rsidRPr="0026420A">
              <w:t>regulatory</w:t>
            </w:r>
            <w:proofErr w:type="spellEnd"/>
            <w:r w:rsidRPr="0026420A">
              <w:t xml:space="preserve"> </w:t>
            </w:r>
            <w:proofErr w:type="spellStart"/>
            <w:r w:rsidRPr="0026420A">
              <w:t>sandbox</w:t>
            </w:r>
            <w:proofErr w:type="spellEnd"/>
            <w:r w:rsidRPr="0026420A">
              <w:t xml:space="preserve">”, aceasta presupune o analiză distinctă privind impactul bugetar, capacitatea de supraveghere, criteriile de eligibilitate, protecția clienților, limitele derogărilor, mecanismele de monitorizare și condițiile de ieșire din regimul de testare. Aceste aspecte </w:t>
            </w:r>
            <w:proofErr w:type="spellStart"/>
            <w:r w:rsidRPr="0026420A">
              <w:t>exced</w:t>
            </w:r>
            <w:proofErr w:type="spellEnd"/>
            <w:r w:rsidRPr="0026420A">
              <w:t xml:space="preserve"> obiectul principal al proiectului de lege, care urmărește instituirea cadrului de reglementare și supraveghere a pieței </w:t>
            </w:r>
            <w:proofErr w:type="spellStart"/>
            <w:r w:rsidRPr="0026420A">
              <w:t>criptoactivelor</w:t>
            </w:r>
            <w:proofErr w:type="spellEnd"/>
            <w:r w:rsidRPr="0026420A">
              <w:t xml:space="preserve"> în conformitate cu principiile </w:t>
            </w:r>
            <w:proofErr w:type="spellStart"/>
            <w:r w:rsidRPr="0026420A">
              <w:t>MiCA</w:t>
            </w:r>
            <w:proofErr w:type="spellEnd"/>
            <w:r w:rsidRPr="0026420A">
              <w:t>. Prin urmare, propunerea ar putea fi examinată separat, în contextul elaborării unui cadru normativ dedicat inovării financiare și testării reglementate.</w:t>
            </w:r>
          </w:p>
        </w:tc>
      </w:tr>
      <w:tr w:rsidR="009A1A36" w:rsidRPr="0026420A" w14:paraId="75939237" w14:textId="77777777" w:rsidTr="001F4857">
        <w:trPr>
          <w:trHeight w:val="330"/>
        </w:trPr>
        <w:tc>
          <w:tcPr>
            <w:tcW w:w="2206" w:type="dxa"/>
            <w:vMerge w:val="restart"/>
            <w:tcMar>
              <w:top w:w="0" w:type="dxa"/>
              <w:left w:w="108" w:type="dxa"/>
              <w:bottom w:w="0" w:type="dxa"/>
              <w:right w:w="108" w:type="dxa"/>
            </w:tcMar>
          </w:tcPr>
          <w:p w14:paraId="3C3405DC" w14:textId="77777777" w:rsidR="009A1A36" w:rsidRPr="0026420A" w:rsidRDefault="009A1A36" w:rsidP="009A1A36">
            <w:pPr>
              <w:ind w:firstLine="0"/>
              <w:jc w:val="left"/>
              <w:rPr>
                <w:b/>
                <w:bCs/>
              </w:rPr>
            </w:pPr>
            <w:r w:rsidRPr="0026420A">
              <w:rPr>
                <w:b/>
                <w:bCs/>
              </w:rPr>
              <w:lastRenderedPageBreak/>
              <w:t>Asociația Băncilor din Moldova</w:t>
            </w:r>
          </w:p>
          <w:p w14:paraId="2FA2E169" w14:textId="77777777" w:rsidR="009A1A36" w:rsidRPr="0026420A" w:rsidRDefault="009A1A36" w:rsidP="009A1A36">
            <w:pPr>
              <w:ind w:firstLine="0"/>
              <w:jc w:val="left"/>
              <w:rPr>
                <w:b/>
                <w:bCs/>
              </w:rPr>
            </w:pPr>
          </w:p>
          <w:p w14:paraId="354E4647" w14:textId="77777777" w:rsidR="009A1A36" w:rsidRPr="0026420A" w:rsidRDefault="009A1A36" w:rsidP="009A1A36">
            <w:pPr>
              <w:ind w:firstLine="0"/>
              <w:jc w:val="left"/>
              <w:rPr>
                <w:b/>
                <w:bCs/>
              </w:rPr>
            </w:pPr>
          </w:p>
          <w:p w14:paraId="34DCA82C" w14:textId="77777777" w:rsidR="009A1A36" w:rsidRPr="0026420A" w:rsidRDefault="009A1A36" w:rsidP="009A1A36">
            <w:pPr>
              <w:ind w:firstLine="0"/>
              <w:jc w:val="left"/>
              <w:rPr>
                <w:b/>
                <w:bCs/>
              </w:rPr>
            </w:pPr>
          </w:p>
          <w:p w14:paraId="102C71BC" w14:textId="7893533E" w:rsidR="009A1A36" w:rsidRPr="0026420A" w:rsidRDefault="009A1A36" w:rsidP="009A1A36">
            <w:pPr>
              <w:ind w:firstLine="0"/>
              <w:jc w:val="left"/>
              <w:rPr>
                <w:i/>
                <w:iCs/>
              </w:rPr>
            </w:pPr>
            <w:r w:rsidRPr="0026420A">
              <w:rPr>
                <w:i/>
                <w:iCs/>
              </w:rPr>
              <w:t xml:space="preserve">Nr. 02-06/128 </w:t>
            </w:r>
          </w:p>
          <w:p w14:paraId="799521AF" w14:textId="1413F34B" w:rsidR="009A1A36" w:rsidRPr="0026420A" w:rsidRDefault="009A1A36" w:rsidP="009A1A36">
            <w:pPr>
              <w:ind w:firstLine="0"/>
              <w:jc w:val="left"/>
              <w:rPr>
                <w:b/>
                <w:bCs/>
              </w:rPr>
            </w:pPr>
            <w:r w:rsidRPr="0026420A">
              <w:rPr>
                <w:i/>
                <w:iCs/>
              </w:rPr>
              <w:t>din 11.05.2026</w:t>
            </w:r>
          </w:p>
        </w:tc>
        <w:tc>
          <w:tcPr>
            <w:tcW w:w="579" w:type="dxa"/>
            <w:tcBorders>
              <w:bottom w:val="single" w:sz="4" w:space="0" w:color="auto"/>
            </w:tcBorders>
            <w:tcMar>
              <w:top w:w="0" w:type="dxa"/>
              <w:left w:w="108" w:type="dxa"/>
              <w:bottom w:w="0" w:type="dxa"/>
              <w:right w:w="108" w:type="dxa"/>
            </w:tcMar>
          </w:tcPr>
          <w:p w14:paraId="693A37D3" w14:textId="77777777" w:rsidR="009A1A36" w:rsidRPr="0026420A" w:rsidRDefault="009A1A36" w:rsidP="009A1A36">
            <w:pPr>
              <w:pStyle w:val="Listparagraf"/>
              <w:numPr>
                <w:ilvl w:val="0"/>
                <w:numId w:val="1"/>
              </w:numPr>
              <w:ind w:left="0" w:right="5" w:firstLine="0"/>
              <w:contextualSpacing w:val="0"/>
            </w:pPr>
          </w:p>
        </w:tc>
        <w:tc>
          <w:tcPr>
            <w:tcW w:w="5821" w:type="dxa"/>
            <w:tcBorders>
              <w:bottom w:val="single" w:sz="4" w:space="0" w:color="auto"/>
            </w:tcBorders>
            <w:tcMar>
              <w:top w:w="0" w:type="dxa"/>
              <w:left w:w="108" w:type="dxa"/>
              <w:bottom w:w="0" w:type="dxa"/>
              <w:right w:w="108" w:type="dxa"/>
            </w:tcMar>
          </w:tcPr>
          <w:p w14:paraId="175D8003" w14:textId="77777777" w:rsidR="009A1A36" w:rsidRPr="0026420A" w:rsidRDefault="009A1A36" w:rsidP="009A1A36">
            <w:pPr>
              <w:tabs>
                <w:tab w:val="left" w:pos="1635"/>
              </w:tabs>
              <w:ind w:firstLine="0"/>
              <w:rPr>
                <w:b/>
                <w:bCs/>
              </w:rPr>
            </w:pPr>
            <w:r w:rsidRPr="0026420A">
              <w:rPr>
                <w:b/>
                <w:bCs/>
              </w:rPr>
              <w:t>1. Observații generale privind cadrul normativ, aplicabilitatea și delimitarea competențelor</w:t>
            </w:r>
          </w:p>
          <w:p w14:paraId="7904AF2E" w14:textId="77777777" w:rsidR="009A1A36" w:rsidRPr="0026420A" w:rsidRDefault="009A1A36" w:rsidP="009A1A36">
            <w:pPr>
              <w:tabs>
                <w:tab w:val="left" w:pos="1635"/>
              </w:tabs>
              <w:ind w:firstLine="0"/>
            </w:pPr>
            <w:r w:rsidRPr="0026420A">
              <w:t xml:space="preserve">Proiectul transpune parțial Regulamentul (UE) 2023/1114 privind piețele </w:t>
            </w:r>
            <w:proofErr w:type="spellStart"/>
            <w:r w:rsidRPr="0026420A">
              <w:t>criptoactivelor</w:t>
            </w:r>
            <w:proofErr w:type="spellEnd"/>
            <w:r w:rsidRPr="0026420A">
              <w:t xml:space="preserve">, cunoscut drept </w:t>
            </w:r>
            <w:proofErr w:type="spellStart"/>
            <w:r w:rsidRPr="0026420A">
              <w:t>MiCA</w:t>
            </w:r>
            <w:proofErr w:type="spellEnd"/>
            <w:r w:rsidRPr="0026420A">
              <w:t xml:space="preserve">, și instituie un cadru complex de autorizare și supraveghere pentru emitenții de </w:t>
            </w:r>
            <w:proofErr w:type="spellStart"/>
            <w:r w:rsidRPr="0026420A">
              <w:t>criptoactive</w:t>
            </w:r>
            <w:proofErr w:type="spellEnd"/>
            <w:r w:rsidRPr="0026420A">
              <w:t xml:space="preserve"> și furnizorii de servicii privind </w:t>
            </w:r>
            <w:proofErr w:type="spellStart"/>
            <w:r w:rsidRPr="0026420A">
              <w:t>criptoactivele</w:t>
            </w:r>
            <w:proofErr w:type="spellEnd"/>
            <w:r w:rsidRPr="0026420A">
              <w:t xml:space="preserve">, în continuare </w:t>
            </w:r>
            <w:r w:rsidRPr="0026420A">
              <w:rPr>
                <w:b/>
                <w:bCs/>
              </w:rPr>
              <w:t>CASP</w:t>
            </w:r>
            <w:r w:rsidRPr="0026420A">
              <w:t>.</w:t>
            </w:r>
          </w:p>
          <w:p w14:paraId="43C16B7A" w14:textId="77777777" w:rsidR="009A1A36" w:rsidRPr="0026420A" w:rsidRDefault="009A1A36" w:rsidP="009A1A36">
            <w:pPr>
              <w:tabs>
                <w:tab w:val="left" w:pos="1635"/>
              </w:tabs>
              <w:ind w:firstLine="0"/>
            </w:pPr>
            <w:r w:rsidRPr="0026420A">
              <w:t>În ansamblu, abordarea este oportună. Totuși, pentru asigurarea securității juridice și a aplicării uniforme, considerăm necesară consolidarea unor prevederi direct la nivelul legii, nu exclusiv prin acte normative subsecvente, în special în privința elementelor esențiale ale regimului de autorizare, supraveghere, segregare a fondurilor, interacțiune cu infrastructura bancară și gestionare a riscurilor.</w:t>
            </w:r>
          </w:p>
          <w:p w14:paraId="6E44F338" w14:textId="77777777" w:rsidR="009A1A36" w:rsidRPr="0026420A" w:rsidRDefault="009A1A36" w:rsidP="009A1A36">
            <w:pPr>
              <w:tabs>
                <w:tab w:val="left" w:pos="1635"/>
              </w:tabs>
              <w:ind w:firstLine="0"/>
            </w:pPr>
            <w:r w:rsidRPr="0026420A">
              <w:t>În acest context, se recomandă:</w:t>
            </w:r>
          </w:p>
          <w:p w14:paraId="6633AB9E" w14:textId="77777777" w:rsidR="009A1A36" w:rsidRPr="0026420A" w:rsidRDefault="009A1A36" w:rsidP="009A1A36">
            <w:pPr>
              <w:tabs>
                <w:tab w:val="left" w:pos="1635"/>
              </w:tabs>
              <w:ind w:firstLine="0"/>
            </w:pPr>
            <w:r w:rsidRPr="0026420A">
              <w:t>a) clarificarea expresă a delimitării competențelor dintre Comisia Națională a Pieței Financiare și Banca Națională a Moldovei, inclusiv în situațiile în care aceeași instituție desfășoară activități reglementate concomitent de Proiect, de Legea nr. 114/2012 privind serviciile de plată și moneda electronică și de Legea nr. 202/2017 privind activitatea băncilor;</w:t>
            </w:r>
          </w:p>
          <w:p w14:paraId="674BCB66" w14:textId="77777777" w:rsidR="009A1A36" w:rsidRPr="0026420A" w:rsidRDefault="009A1A36" w:rsidP="009A1A36">
            <w:pPr>
              <w:tabs>
                <w:tab w:val="left" w:pos="1635"/>
              </w:tabs>
              <w:ind w:firstLine="0"/>
            </w:pPr>
            <w:r w:rsidRPr="0026420A">
              <w:t xml:space="preserve">b) evitarea suprapunerilor de competență și a lacunelor operaționale între autoritățile de supraveghere, în special în cazul instituțiilor de credit, emitenților de monedă electronică și prestatorilor de servicii de plată care ar putea desfășura activități aferente </w:t>
            </w:r>
            <w:proofErr w:type="spellStart"/>
            <w:r w:rsidRPr="0026420A">
              <w:t>criptoactivelor</w:t>
            </w:r>
            <w:proofErr w:type="spellEnd"/>
            <w:r w:rsidRPr="0026420A">
              <w:t>;</w:t>
            </w:r>
          </w:p>
          <w:p w14:paraId="61C703AF" w14:textId="77777777" w:rsidR="009A1A36" w:rsidRPr="0026420A" w:rsidRDefault="009A1A36" w:rsidP="009A1A36">
            <w:pPr>
              <w:tabs>
                <w:tab w:val="left" w:pos="1635"/>
              </w:tabs>
              <w:ind w:firstLine="0"/>
            </w:pPr>
            <w:r w:rsidRPr="0026420A">
              <w:t xml:space="preserve">c) reducerea dependenței de acte normative subsecvente pentru elementele esențiale ale regimului juridic, precum criteriile tehnice, </w:t>
            </w:r>
            <w:r w:rsidRPr="0026420A">
              <w:lastRenderedPageBreak/>
              <w:t>cerințele operaționale critice, procedurile de segregare a fondurilor, standardele minime de interoperabilitate, cerințele de raportare și cerințele privind accesul autorităților la date;</w:t>
            </w:r>
          </w:p>
          <w:p w14:paraId="2AE5458A" w14:textId="77777777" w:rsidR="009A1A36" w:rsidRPr="0026420A" w:rsidRDefault="009A1A36" w:rsidP="009A1A36">
            <w:pPr>
              <w:tabs>
                <w:tab w:val="left" w:pos="1635"/>
              </w:tabs>
              <w:ind w:firstLine="0"/>
            </w:pPr>
            <w:r w:rsidRPr="0026420A">
              <w:t>d) corelarea expresă a Proiectului cu regimul de prevenire și combatere a spălării banilor și finanțării terorismului prevăzut de Legea nr. 308/2017, inclusiv în relația dintre bănci și CASP, pentru a asigura un echilibru adecvat între accesul la servicii bancare și dreptul instituțiilor financiare de a aplica măsuri justificate de reducere a riscurilor, inclusiv măsuri de tip de-</w:t>
            </w:r>
            <w:proofErr w:type="spellStart"/>
            <w:r w:rsidRPr="0026420A">
              <w:t>risking</w:t>
            </w:r>
            <w:proofErr w:type="spellEnd"/>
            <w:r w:rsidRPr="0026420A">
              <w:t>.</w:t>
            </w:r>
            <w:r w:rsidRPr="0026420A">
              <w:tab/>
            </w:r>
          </w:p>
          <w:p w14:paraId="38A9875D" w14:textId="77777777" w:rsidR="009A1A36" w:rsidRPr="0026420A" w:rsidRDefault="009A1A36" w:rsidP="009A1A36">
            <w:pPr>
              <w:tabs>
                <w:tab w:val="left" w:pos="1635"/>
              </w:tabs>
              <w:ind w:firstLine="0"/>
            </w:pPr>
          </w:p>
          <w:p w14:paraId="5ABAD885" w14:textId="77777777" w:rsidR="009A1A36" w:rsidRPr="0026420A" w:rsidRDefault="009A1A36" w:rsidP="009A1A36">
            <w:pPr>
              <w:tabs>
                <w:tab w:val="left" w:pos="1635"/>
              </w:tabs>
              <w:ind w:firstLine="0"/>
            </w:pPr>
          </w:p>
          <w:p w14:paraId="797C803A" w14:textId="0EFE74EC" w:rsidR="009A1A36" w:rsidRPr="0026420A" w:rsidRDefault="009A1A36" w:rsidP="009A1A36">
            <w:pPr>
              <w:tabs>
                <w:tab w:val="left" w:pos="1635"/>
              </w:tabs>
              <w:ind w:firstLine="0"/>
              <w:rPr>
                <w:highlight w:val="yellow"/>
              </w:rPr>
            </w:pPr>
          </w:p>
        </w:tc>
        <w:tc>
          <w:tcPr>
            <w:tcW w:w="5281" w:type="dxa"/>
            <w:tcBorders>
              <w:bottom w:val="single" w:sz="4" w:space="0" w:color="auto"/>
            </w:tcBorders>
            <w:tcMar>
              <w:top w:w="0" w:type="dxa"/>
              <w:left w:w="108" w:type="dxa"/>
              <w:bottom w:w="0" w:type="dxa"/>
              <w:right w:w="108" w:type="dxa"/>
            </w:tcMar>
          </w:tcPr>
          <w:p w14:paraId="4D114912" w14:textId="77777777" w:rsidR="009A1A36" w:rsidRPr="0026420A" w:rsidRDefault="009A1A36" w:rsidP="009A1A36">
            <w:pPr>
              <w:ind w:firstLine="0"/>
              <w:rPr>
                <w:b/>
                <w:bCs/>
              </w:rPr>
            </w:pPr>
            <w:r w:rsidRPr="0026420A">
              <w:rPr>
                <w:b/>
                <w:bCs/>
              </w:rPr>
              <w:lastRenderedPageBreak/>
              <w:t>Se acceptă parțial</w:t>
            </w:r>
          </w:p>
          <w:p w14:paraId="2B2D20D1" w14:textId="77777777" w:rsidR="009A1A36" w:rsidRPr="0026420A" w:rsidRDefault="009A1A36" w:rsidP="009A1A36">
            <w:pPr>
              <w:ind w:firstLine="0"/>
            </w:pPr>
            <w:r w:rsidRPr="0026420A">
              <w:t xml:space="preserve">Proiectul de lege instituie cadrul primar de reglementare, autorizare și supraveghere a pieței </w:t>
            </w:r>
            <w:proofErr w:type="spellStart"/>
            <w:r w:rsidRPr="0026420A">
              <w:t>criptoactivelor</w:t>
            </w:r>
            <w:proofErr w:type="spellEnd"/>
            <w:r w:rsidRPr="0026420A">
              <w:t xml:space="preserve">, în conformitate cu cerințele </w:t>
            </w:r>
            <w:proofErr w:type="spellStart"/>
            <w:r w:rsidRPr="0026420A">
              <w:t>MiCA</w:t>
            </w:r>
            <w:proofErr w:type="spellEnd"/>
            <w:r w:rsidRPr="0026420A">
              <w:t xml:space="preserve">, și stabilește elementele esențiale ale regimului aplicabil emitenților de </w:t>
            </w:r>
            <w:proofErr w:type="spellStart"/>
            <w:r w:rsidRPr="0026420A">
              <w:t>criptoactive</w:t>
            </w:r>
            <w:proofErr w:type="spellEnd"/>
            <w:r w:rsidRPr="0026420A">
              <w:t xml:space="preserve">, ofertanților, persoanelor care solicită admiterea la tranzacționare și furnizorilor de servicii de </w:t>
            </w:r>
            <w:proofErr w:type="spellStart"/>
            <w:r w:rsidRPr="0026420A">
              <w:t>criptoactive</w:t>
            </w:r>
            <w:proofErr w:type="spellEnd"/>
            <w:r w:rsidRPr="0026420A">
              <w:t>. Totodată, proiectul delimitează atribuțiile de bază ale autorităților competente la art. 85 și instituie, prin art. 87, cadrul legal necesar cooperării interinstituționale, schimbului de informații, consultării și coordonării activităților de supraveghere, investigare, control și aplicare a legii, inclusiv în cazul entităților care pot intra simultan sub incidența mai multor regimuri de supraveghere.</w:t>
            </w:r>
          </w:p>
          <w:p w14:paraId="7D50AD44" w14:textId="77777777" w:rsidR="009A1A36" w:rsidRPr="0026420A" w:rsidRDefault="009A1A36" w:rsidP="009A1A36">
            <w:pPr>
              <w:ind w:firstLine="0"/>
            </w:pPr>
            <w:r w:rsidRPr="0026420A">
              <w:t>Cerințele privind armonizarea legislației cu legislația UE impun formularea prevederilor naționale într-o manieră cât mai apropiată de textul și logica regulamentului european, pentru a evita apariția unor divergențe de interpretare, dificultăți de aplicare și riscuri de implementare neuniformă a cadrului normativ.</w:t>
            </w:r>
          </w:p>
          <w:p w14:paraId="1B140483" w14:textId="77777777" w:rsidR="009A1A36" w:rsidRPr="0026420A" w:rsidRDefault="009A1A36" w:rsidP="009A1A36">
            <w:pPr>
              <w:ind w:firstLine="0"/>
            </w:pPr>
            <w:r w:rsidRPr="0026420A">
              <w:t xml:space="preserve">Clarificarea elementelor invocate privind procedurile operaționale, formularele, standardele de raportare, criteriile metodologice, cerințele tehnice, interoperabilitatea, accesul la date, mecanismele de cooperare și ghidurile de supraveghere reprezintă aspecte de aplicare care urmează să fie dezvoltate </w:t>
            </w:r>
            <w:r w:rsidRPr="0026420A">
              <w:lastRenderedPageBreak/>
              <w:t>prin cadrul normativ secundar. Această abordare este necesară pentru a asigura flexibilitatea reglementării, adaptarea la evoluțiile tehnologice și alinierea la standardele tehnice elaborate la nivel european de ESMA și EBA și aprobate de Comisia Europeană prin regulamente delegate și de punere în aplicare.</w:t>
            </w:r>
          </w:p>
          <w:p w14:paraId="38502476" w14:textId="69FDE456" w:rsidR="009A1A36" w:rsidRPr="0026420A" w:rsidRDefault="009A1A36" w:rsidP="009A1A36">
            <w:pPr>
              <w:ind w:firstLine="0"/>
              <w:rPr>
                <w:b/>
                <w:bCs/>
                <w:highlight w:val="yellow"/>
              </w:rPr>
            </w:pPr>
            <w:r w:rsidRPr="0026420A">
              <w:t>În ceea ce privește corelarea cu regimul de prevenire și combatere a spălării banilor și finanțării terorismului, aceasta se realizează prin legislația specială AML/CFT și prin actele normative de punere în aplicare a acesteia. Aspectele privind relația bănci–CASP, accesul la servicii bancare, aplicarea măsurilor de cunoaștere a clientelei, monitorizarea tranzacțiilor, raportarea activităților suspecte și măsurile de reducere a riscurilor, inclusiv practicile de tip de-</w:t>
            </w:r>
            <w:proofErr w:type="spellStart"/>
            <w:r w:rsidRPr="0026420A">
              <w:t>risking</w:t>
            </w:r>
            <w:proofErr w:type="spellEnd"/>
            <w:r w:rsidRPr="0026420A">
              <w:t xml:space="preserve">, depășesc obiectul principal al proiectului de Lege privind piața </w:t>
            </w:r>
            <w:proofErr w:type="spellStart"/>
            <w:r w:rsidRPr="0026420A">
              <w:t>criptoactivelor</w:t>
            </w:r>
            <w:proofErr w:type="spellEnd"/>
            <w:r w:rsidRPr="0026420A">
              <w:t xml:space="preserve"> și urmează a fi abordate în cadrul legislației speciale și al reglementărilor sectoriale aplicabile.</w:t>
            </w:r>
          </w:p>
        </w:tc>
      </w:tr>
      <w:tr w:rsidR="009A1A36" w:rsidRPr="0026420A" w14:paraId="6A6DDFD6" w14:textId="77777777" w:rsidTr="001F4857">
        <w:trPr>
          <w:trHeight w:val="345"/>
        </w:trPr>
        <w:tc>
          <w:tcPr>
            <w:tcW w:w="2206" w:type="dxa"/>
            <w:vMerge/>
            <w:tcMar>
              <w:top w:w="0" w:type="dxa"/>
              <w:left w:w="108" w:type="dxa"/>
              <w:bottom w:w="0" w:type="dxa"/>
              <w:right w:w="108" w:type="dxa"/>
            </w:tcMar>
          </w:tcPr>
          <w:p w14:paraId="1F0E934E" w14:textId="77777777" w:rsidR="009A1A36" w:rsidRPr="0026420A" w:rsidRDefault="009A1A36" w:rsidP="009A1A36">
            <w:pPr>
              <w:ind w:firstLine="0"/>
              <w:jc w:val="left"/>
              <w:rPr>
                <w:b/>
                <w:bCs/>
              </w:rPr>
            </w:pPr>
          </w:p>
        </w:tc>
        <w:tc>
          <w:tcPr>
            <w:tcW w:w="579" w:type="dxa"/>
            <w:tcBorders>
              <w:top w:val="single" w:sz="4" w:space="0" w:color="auto"/>
              <w:bottom w:val="single" w:sz="4" w:space="0" w:color="auto"/>
            </w:tcBorders>
            <w:tcMar>
              <w:top w:w="0" w:type="dxa"/>
              <w:left w:w="108" w:type="dxa"/>
              <w:bottom w:w="0" w:type="dxa"/>
              <w:right w:w="108" w:type="dxa"/>
            </w:tcMar>
          </w:tcPr>
          <w:p w14:paraId="0D35CA24" w14:textId="77777777" w:rsidR="009A1A36" w:rsidRPr="0026420A" w:rsidRDefault="009A1A36" w:rsidP="009A1A36">
            <w:pPr>
              <w:pStyle w:val="Listparagraf"/>
              <w:numPr>
                <w:ilvl w:val="0"/>
                <w:numId w:val="1"/>
              </w:numPr>
              <w:ind w:left="0" w:right="5" w:firstLine="0"/>
              <w:contextualSpacing w:val="0"/>
            </w:pPr>
          </w:p>
        </w:tc>
        <w:tc>
          <w:tcPr>
            <w:tcW w:w="5821" w:type="dxa"/>
            <w:tcBorders>
              <w:top w:val="single" w:sz="4" w:space="0" w:color="auto"/>
              <w:bottom w:val="single" w:sz="4" w:space="0" w:color="auto"/>
            </w:tcBorders>
            <w:tcMar>
              <w:top w:w="0" w:type="dxa"/>
              <w:left w:w="108" w:type="dxa"/>
              <w:bottom w:w="0" w:type="dxa"/>
              <w:right w:w="108" w:type="dxa"/>
            </w:tcMar>
          </w:tcPr>
          <w:p w14:paraId="4C2DB3C6" w14:textId="77777777" w:rsidR="009A1A36" w:rsidRPr="0026420A" w:rsidRDefault="009A1A36" w:rsidP="009A1A36">
            <w:pPr>
              <w:tabs>
                <w:tab w:val="left" w:pos="1635"/>
              </w:tabs>
              <w:ind w:firstLine="0"/>
              <w:rPr>
                <w:b/>
                <w:bCs/>
              </w:rPr>
            </w:pPr>
            <w:r w:rsidRPr="0026420A">
              <w:rPr>
                <w:b/>
                <w:bCs/>
              </w:rPr>
              <w:t xml:space="preserve">2. Utilizarea </w:t>
            </w:r>
            <w:proofErr w:type="spellStart"/>
            <w:r w:rsidRPr="0026420A">
              <w:rPr>
                <w:b/>
                <w:bCs/>
              </w:rPr>
              <w:t>criptoactivelor</w:t>
            </w:r>
            <w:proofErr w:type="spellEnd"/>
            <w:r w:rsidRPr="0026420A">
              <w:rPr>
                <w:b/>
                <w:bCs/>
              </w:rPr>
              <w:t xml:space="preserve"> ca mijloc de plată și interacțiunea cu infrastructura bancară de plăți</w:t>
            </w:r>
          </w:p>
          <w:p w14:paraId="1056886D" w14:textId="77777777" w:rsidR="009A1A36" w:rsidRPr="0026420A" w:rsidRDefault="009A1A36" w:rsidP="009A1A36">
            <w:pPr>
              <w:tabs>
                <w:tab w:val="left" w:pos="1635"/>
              </w:tabs>
              <w:ind w:firstLine="0"/>
            </w:pPr>
            <w:r w:rsidRPr="0026420A">
              <w:t>Din perspectiva băncilor responsabile de acceptarea plăților în mediul fizic și digital, inclusiv prin POS terminale, e-</w:t>
            </w:r>
            <w:proofErr w:type="spellStart"/>
            <w:r w:rsidRPr="0026420A">
              <w:t>commerce</w:t>
            </w:r>
            <w:proofErr w:type="spellEnd"/>
            <w:r w:rsidRPr="0026420A">
              <w:t xml:space="preserve"> și sistemul MIA, Proiectul este binevenit, însă impactul asupra infrastructurii bancare de plăți este abordat limitat și necesită clarificări suplimentare.</w:t>
            </w:r>
          </w:p>
          <w:p w14:paraId="62BC7ABD" w14:textId="77777777" w:rsidR="009A1A36" w:rsidRPr="0026420A" w:rsidRDefault="009A1A36" w:rsidP="009A1A36">
            <w:pPr>
              <w:tabs>
                <w:tab w:val="left" w:pos="1635"/>
              </w:tabs>
              <w:ind w:firstLine="0"/>
            </w:pPr>
            <w:r w:rsidRPr="0026420A">
              <w:t xml:space="preserve">În forma actuală, Proiectul descrie doar succint procesarea plăților în monedă fiduciară aferente tranzacționării </w:t>
            </w:r>
            <w:proofErr w:type="spellStart"/>
            <w:r w:rsidRPr="0026420A">
              <w:t>criptoactivelor</w:t>
            </w:r>
            <w:proofErr w:type="spellEnd"/>
            <w:r w:rsidRPr="0026420A">
              <w:t xml:space="preserve">, realizată prin platforme dedicate și prin furnizori autorizați de servicii privind </w:t>
            </w:r>
            <w:proofErr w:type="spellStart"/>
            <w:r w:rsidRPr="0026420A">
              <w:t>criptoactivele</w:t>
            </w:r>
            <w:proofErr w:type="spellEnd"/>
            <w:r w:rsidRPr="0026420A">
              <w:t>, fără a defini explicit rolul băncilor în calitate de acceptatori ai plăților prin POS, e-</w:t>
            </w:r>
            <w:proofErr w:type="spellStart"/>
            <w:r w:rsidRPr="0026420A">
              <w:t>commerce</w:t>
            </w:r>
            <w:proofErr w:type="spellEnd"/>
            <w:r w:rsidRPr="0026420A">
              <w:t>, MIA sau alte infrastructuri de plată.</w:t>
            </w:r>
          </w:p>
          <w:p w14:paraId="73BD86E3" w14:textId="77777777" w:rsidR="009A1A36" w:rsidRPr="0026420A" w:rsidRDefault="009A1A36" w:rsidP="009A1A36">
            <w:pPr>
              <w:tabs>
                <w:tab w:val="left" w:pos="1635"/>
              </w:tabs>
              <w:ind w:firstLine="0"/>
            </w:pPr>
            <w:r w:rsidRPr="0026420A">
              <w:t xml:space="preserve">De asemenea, Proiectul nu reglementează expres situațiile în care </w:t>
            </w:r>
            <w:proofErr w:type="spellStart"/>
            <w:r w:rsidRPr="0026420A">
              <w:t>criptoactivele</w:t>
            </w:r>
            <w:proofErr w:type="spellEnd"/>
            <w:r w:rsidRPr="0026420A">
              <w:t xml:space="preserve"> sunt utilizate pentru achitarea bunurilor și serviciilor, respectiv ca mijloc de plată. Lipsa unor prevederi clare poate genera incertitudini operaționale, de conformitate și de responsabilitate pentru bănci, prestatori de servicii de plată, comercianți și CASP.</w:t>
            </w:r>
          </w:p>
          <w:p w14:paraId="48ECB7B0" w14:textId="77777777" w:rsidR="009A1A36" w:rsidRPr="0026420A" w:rsidRDefault="009A1A36" w:rsidP="009A1A36">
            <w:pPr>
              <w:tabs>
                <w:tab w:val="left" w:pos="1635"/>
              </w:tabs>
              <w:ind w:firstLine="0"/>
            </w:pPr>
            <w:r w:rsidRPr="0026420A">
              <w:t>În acest context, considerăm necesară delimitarea expresă între:</w:t>
            </w:r>
          </w:p>
          <w:p w14:paraId="3C4FB347" w14:textId="77777777" w:rsidR="009A1A36" w:rsidRPr="0026420A" w:rsidRDefault="009A1A36" w:rsidP="009A1A36">
            <w:pPr>
              <w:tabs>
                <w:tab w:val="left" w:pos="1635"/>
              </w:tabs>
              <w:ind w:firstLine="0"/>
            </w:pPr>
            <w:r w:rsidRPr="0026420A">
              <w:t xml:space="preserve">a) acceptarea plăților în monedă fiduciară pentru achiziția, vânzarea sau tranzacționarea </w:t>
            </w:r>
            <w:proofErr w:type="spellStart"/>
            <w:r w:rsidRPr="0026420A">
              <w:t>criptoactivelor</w:t>
            </w:r>
            <w:proofErr w:type="spellEnd"/>
            <w:r w:rsidRPr="0026420A">
              <w:t>, situație în care rolul băncilor poate fi limitat la cel de acceptator de plăți sau prestator de servicii de plată;</w:t>
            </w:r>
          </w:p>
          <w:p w14:paraId="589D8A8D" w14:textId="77777777" w:rsidR="009A1A36" w:rsidRPr="0026420A" w:rsidRDefault="009A1A36" w:rsidP="009A1A36">
            <w:pPr>
              <w:tabs>
                <w:tab w:val="left" w:pos="1635"/>
              </w:tabs>
              <w:ind w:firstLine="0"/>
            </w:pPr>
            <w:r w:rsidRPr="0026420A">
              <w:t xml:space="preserve">b) utilizarea </w:t>
            </w:r>
            <w:proofErr w:type="spellStart"/>
            <w:r w:rsidRPr="0026420A">
              <w:t>criptoactivelor</w:t>
            </w:r>
            <w:proofErr w:type="spellEnd"/>
            <w:r w:rsidRPr="0026420A">
              <w:t xml:space="preserve"> ca mijloc de plată pentru bunuri și servicii, situație care implică riscuri și responsabilități distincte privind conversia, decontarea, transparența cursului, aplicarea comisioanelor, </w:t>
            </w:r>
            <w:r w:rsidRPr="0026420A">
              <w:lastRenderedPageBreak/>
              <w:t xml:space="preserve">soluționarea disputelor, returnările, </w:t>
            </w:r>
            <w:proofErr w:type="spellStart"/>
            <w:r w:rsidRPr="0026420A">
              <w:t>chargeback-ul</w:t>
            </w:r>
            <w:proofErr w:type="spellEnd"/>
            <w:r w:rsidRPr="0026420A">
              <w:t>, prevenirea fraudelor și protecția consumatorilor.</w:t>
            </w:r>
          </w:p>
          <w:p w14:paraId="2ED9224F" w14:textId="77777777" w:rsidR="009A1A36" w:rsidRPr="0026420A" w:rsidRDefault="009A1A36" w:rsidP="009A1A36">
            <w:pPr>
              <w:tabs>
                <w:tab w:val="left" w:pos="1635"/>
              </w:tabs>
              <w:ind w:firstLine="0"/>
            </w:pPr>
            <w:r w:rsidRPr="0026420A">
              <w:t xml:space="preserve">Totodată, se recomandă clarificarea poziției legislative privind acceptarea </w:t>
            </w:r>
            <w:proofErr w:type="spellStart"/>
            <w:r w:rsidRPr="0026420A">
              <w:t>criptoactivelor</w:t>
            </w:r>
            <w:proofErr w:type="spellEnd"/>
            <w:r w:rsidRPr="0026420A">
              <w:t xml:space="preserve"> ca mijloc de plată pe teritoriul Republicii Moldova, respectiv dacă această utilizare este interzisă, permisă limitat sau permisă condiționat. În lipsa unei asemenea clarificări, pot apărea interpretări divergente privind calificarea </w:t>
            </w:r>
            <w:proofErr w:type="spellStart"/>
            <w:r w:rsidRPr="0026420A">
              <w:t>criptoactivelor</w:t>
            </w:r>
            <w:proofErr w:type="spellEnd"/>
            <w:r w:rsidRPr="0026420A">
              <w:t xml:space="preserve"> drept monedă, instrument financiar, bun digital sau altă categorie juridică.</w:t>
            </w:r>
          </w:p>
          <w:p w14:paraId="5B05F76E" w14:textId="77777777" w:rsidR="009A1A36" w:rsidRPr="0026420A" w:rsidRDefault="009A1A36" w:rsidP="009A1A36">
            <w:pPr>
              <w:tabs>
                <w:tab w:val="left" w:pos="1635"/>
              </w:tabs>
              <w:ind w:firstLine="0"/>
            </w:pPr>
            <w:r w:rsidRPr="0026420A">
              <w:t xml:space="preserve">În cazul în care se permite acceptarea </w:t>
            </w:r>
            <w:proofErr w:type="spellStart"/>
            <w:r w:rsidRPr="0026420A">
              <w:t>criptoactivelor</w:t>
            </w:r>
            <w:proofErr w:type="spellEnd"/>
            <w:r w:rsidRPr="0026420A">
              <w:t xml:space="preserve"> ca mijloc de plată, este necesară reglementarea obligațiilor comercianților, băncilor </w:t>
            </w:r>
            <w:proofErr w:type="spellStart"/>
            <w:r w:rsidRPr="0026420A">
              <w:t>acceptatoare</w:t>
            </w:r>
            <w:proofErr w:type="spellEnd"/>
            <w:r w:rsidRPr="0026420A">
              <w:t>, prestatorilor de servicii de plată, emitentului/participanților la MIA și CASP în materie de:</w:t>
            </w:r>
          </w:p>
          <w:p w14:paraId="0EF222C9" w14:textId="77777777" w:rsidR="009A1A36" w:rsidRPr="0026420A" w:rsidRDefault="009A1A36" w:rsidP="009A1A36">
            <w:pPr>
              <w:tabs>
                <w:tab w:val="left" w:pos="1635"/>
              </w:tabs>
              <w:ind w:firstLine="0"/>
            </w:pPr>
            <w:r w:rsidRPr="0026420A">
              <w:t>a) identificare și cunoaștere a clientelei, inclusiv cerințe KYC/AML/CFT;</w:t>
            </w:r>
          </w:p>
          <w:p w14:paraId="7A2D3B1A" w14:textId="77777777" w:rsidR="009A1A36" w:rsidRPr="0026420A" w:rsidRDefault="009A1A36" w:rsidP="009A1A36">
            <w:pPr>
              <w:tabs>
                <w:tab w:val="left" w:pos="1635"/>
              </w:tabs>
              <w:ind w:firstLine="0"/>
            </w:pPr>
            <w:r w:rsidRPr="0026420A">
              <w:t>b) conversie în monedă fiduciară;</w:t>
            </w:r>
          </w:p>
          <w:p w14:paraId="34415C97" w14:textId="77777777" w:rsidR="009A1A36" w:rsidRPr="0026420A" w:rsidRDefault="009A1A36" w:rsidP="009A1A36">
            <w:pPr>
              <w:tabs>
                <w:tab w:val="left" w:pos="1635"/>
              </w:tabs>
              <w:ind w:firstLine="0"/>
            </w:pPr>
            <w:r w:rsidRPr="0026420A">
              <w:t>c) transparență a cursului de schimb și a comisioanelor;</w:t>
            </w:r>
          </w:p>
          <w:p w14:paraId="4A89E858" w14:textId="77777777" w:rsidR="009A1A36" w:rsidRPr="0026420A" w:rsidRDefault="009A1A36" w:rsidP="009A1A36">
            <w:pPr>
              <w:tabs>
                <w:tab w:val="left" w:pos="1635"/>
              </w:tabs>
              <w:ind w:firstLine="0"/>
            </w:pPr>
            <w:r w:rsidRPr="0026420A">
              <w:t>d) soluționare a disputelor, returnărilor și reclamațiilor;</w:t>
            </w:r>
          </w:p>
          <w:p w14:paraId="27A3497E" w14:textId="77777777" w:rsidR="009A1A36" w:rsidRPr="0026420A" w:rsidRDefault="009A1A36" w:rsidP="009A1A36">
            <w:pPr>
              <w:tabs>
                <w:tab w:val="left" w:pos="1635"/>
              </w:tabs>
              <w:ind w:firstLine="0"/>
            </w:pPr>
            <w:r w:rsidRPr="0026420A">
              <w:t>e) gestionare a riscurilor operaționale și de fraudă;</w:t>
            </w:r>
          </w:p>
          <w:p w14:paraId="3E47323A" w14:textId="77777777" w:rsidR="009A1A36" w:rsidRPr="0026420A" w:rsidRDefault="009A1A36" w:rsidP="009A1A36">
            <w:pPr>
              <w:tabs>
                <w:tab w:val="left" w:pos="1635"/>
              </w:tabs>
              <w:ind w:firstLine="0"/>
            </w:pPr>
            <w:r w:rsidRPr="0026420A">
              <w:t>f) monitorizare a tranzacțiilor și screening al sancțiunilor;</w:t>
            </w:r>
          </w:p>
          <w:p w14:paraId="4C5EB18A" w14:textId="77777777" w:rsidR="009A1A36" w:rsidRPr="0026420A" w:rsidRDefault="009A1A36" w:rsidP="009A1A36">
            <w:pPr>
              <w:tabs>
                <w:tab w:val="left" w:pos="1635"/>
              </w:tabs>
              <w:ind w:firstLine="0"/>
            </w:pPr>
            <w:r w:rsidRPr="0026420A">
              <w:t>g) gestionare a incidentelor operaționale și de securitate.</w:t>
            </w:r>
          </w:p>
          <w:p w14:paraId="67CDC622" w14:textId="77777777" w:rsidR="009A1A36" w:rsidRPr="0026420A" w:rsidRDefault="009A1A36" w:rsidP="009A1A36">
            <w:pPr>
              <w:tabs>
                <w:tab w:val="left" w:pos="1635"/>
              </w:tabs>
              <w:ind w:firstLine="0"/>
            </w:pPr>
            <w:r w:rsidRPr="0026420A">
              <w:t>De asemenea, se recomandă emiterea sau cel puțin anunțarea expresă a unor standarde tehnice de interoperabilitate și securitate pentru integrarea CASP cu infrastructura bancară, inclusiv în privința API-urilor, monitorizării tranzacțiilor, screening-ului de sancțiuni, raportării incidentelor și cooperării operaționale între entitățile implicate.</w:t>
            </w:r>
          </w:p>
          <w:p w14:paraId="63988065" w14:textId="5C36FFBC" w:rsidR="009A1A36" w:rsidRPr="0026420A" w:rsidRDefault="009A1A36" w:rsidP="009A1A36">
            <w:pPr>
              <w:tabs>
                <w:tab w:val="left" w:pos="1635"/>
              </w:tabs>
              <w:ind w:firstLine="0"/>
              <w:rPr>
                <w:b/>
                <w:bCs/>
              </w:rPr>
            </w:pPr>
            <w:r w:rsidRPr="0026420A">
              <w:t>O asemenea clarificare este esențială pentru aplicarea coerentă și predictibilă a noului cadru legal și pentru evitarea unor interpretări neuniforme în practică.</w:t>
            </w:r>
          </w:p>
        </w:tc>
        <w:tc>
          <w:tcPr>
            <w:tcW w:w="5281" w:type="dxa"/>
            <w:tcBorders>
              <w:top w:val="single" w:sz="4" w:space="0" w:color="auto"/>
              <w:bottom w:val="single" w:sz="4" w:space="0" w:color="auto"/>
            </w:tcBorders>
            <w:tcMar>
              <w:top w:w="0" w:type="dxa"/>
              <w:left w:w="108" w:type="dxa"/>
              <w:bottom w:w="0" w:type="dxa"/>
              <w:right w:w="108" w:type="dxa"/>
            </w:tcMar>
          </w:tcPr>
          <w:p w14:paraId="44FDB307" w14:textId="77777777" w:rsidR="009A1A36" w:rsidRPr="0026420A" w:rsidRDefault="009A1A36" w:rsidP="009A1A36">
            <w:pPr>
              <w:ind w:firstLine="0"/>
            </w:pPr>
            <w:r w:rsidRPr="0026420A">
              <w:rPr>
                <w:b/>
                <w:bCs/>
              </w:rPr>
              <w:lastRenderedPageBreak/>
              <w:t>Se acceptă parțial</w:t>
            </w:r>
          </w:p>
          <w:p w14:paraId="53C9E451" w14:textId="77777777" w:rsidR="009A1A36" w:rsidRPr="0026420A" w:rsidRDefault="009A1A36" w:rsidP="009A1A36">
            <w:pPr>
              <w:ind w:firstLine="0"/>
            </w:pPr>
            <w:r w:rsidRPr="0026420A">
              <w:t xml:space="preserve">Proiectul de lege are ca obiect transpunerea cadrului </w:t>
            </w:r>
            <w:proofErr w:type="spellStart"/>
            <w:r w:rsidRPr="0026420A">
              <w:t>MiCA</w:t>
            </w:r>
            <w:proofErr w:type="spellEnd"/>
            <w:r w:rsidRPr="0026420A">
              <w:t xml:space="preserve"> privind emiterea, oferta, admiterea la tranzacționare și furnizarea serviciilor de </w:t>
            </w:r>
            <w:proofErr w:type="spellStart"/>
            <w:r w:rsidRPr="0026420A">
              <w:t>criptoactive</w:t>
            </w:r>
            <w:proofErr w:type="spellEnd"/>
            <w:r w:rsidRPr="0026420A">
              <w:t>, fără a reglementa infrastructura națională de plăți, activitatea de acceptare a plăților prin POS, e-</w:t>
            </w:r>
            <w:proofErr w:type="spellStart"/>
            <w:r w:rsidRPr="0026420A">
              <w:t>commerce</w:t>
            </w:r>
            <w:proofErr w:type="spellEnd"/>
            <w:r w:rsidRPr="0026420A">
              <w:t xml:space="preserve">, MIA, mecanismele de decontare, </w:t>
            </w:r>
            <w:proofErr w:type="spellStart"/>
            <w:r w:rsidRPr="0026420A">
              <w:t>chargeback</w:t>
            </w:r>
            <w:proofErr w:type="spellEnd"/>
            <w:r w:rsidRPr="0026420A">
              <w:t>, returnări sau disputele aferente plăților de retail.</w:t>
            </w:r>
          </w:p>
          <w:p w14:paraId="0348C9ED" w14:textId="77777777" w:rsidR="009A1A36" w:rsidRPr="0026420A" w:rsidRDefault="009A1A36" w:rsidP="009A1A36">
            <w:pPr>
              <w:ind w:firstLine="0"/>
            </w:pPr>
            <w:r w:rsidRPr="0026420A">
              <w:t xml:space="preserve">Potrivit Constituției Republicii Moldova și Legii nr. 1232/1992 cu privire la bani, leul moldovenesc este unicul mijloc legal de plată pe teritoriul Republicii Moldova, iar proiectul nu conferă </w:t>
            </w:r>
            <w:proofErr w:type="spellStart"/>
            <w:r w:rsidRPr="0026420A">
              <w:t>criptoactivelor</w:t>
            </w:r>
            <w:proofErr w:type="spellEnd"/>
            <w:r w:rsidRPr="0026420A">
              <w:t xml:space="preserve"> calitatea de mijloc legal de plată. Corelarea cu regimul serviciilor de plată și al monedei electronice este asigurată în cazul </w:t>
            </w:r>
            <w:proofErr w:type="spellStart"/>
            <w:r w:rsidRPr="0026420A">
              <w:t>tokenurilor</w:t>
            </w:r>
            <w:proofErr w:type="spellEnd"/>
            <w:r w:rsidRPr="0026420A">
              <w:t xml:space="preserve"> de monedă electronică, prin aplicarea corespunzătoare a Legii nr. 114/2012, în măsura prevăzută de proiect, fără a afecta regimul monedei naționale ca mijloc legal de plată.</w:t>
            </w:r>
          </w:p>
          <w:p w14:paraId="1A773C0D" w14:textId="77777777" w:rsidR="009A1A36" w:rsidRPr="0026420A" w:rsidRDefault="009A1A36" w:rsidP="009A1A36">
            <w:pPr>
              <w:ind w:firstLine="0"/>
            </w:pPr>
            <w:r w:rsidRPr="0026420A">
              <w:t>Cerințele privind armonizarea legislației cu acquis-</w:t>
            </w:r>
            <w:proofErr w:type="spellStart"/>
            <w:r w:rsidRPr="0026420A">
              <w:t>ul</w:t>
            </w:r>
            <w:proofErr w:type="spellEnd"/>
            <w:r w:rsidRPr="0026420A">
              <w:t xml:space="preserve"> UE impun formularea prevederilor naționale într-o manieră cât mai apropiată de obiectul, structura și logica Regulamentului </w:t>
            </w:r>
            <w:proofErr w:type="spellStart"/>
            <w:r w:rsidRPr="0026420A">
              <w:t>MiCA</w:t>
            </w:r>
            <w:proofErr w:type="spellEnd"/>
            <w:r w:rsidRPr="0026420A">
              <w:t>, pentru a evita divergențele de interpretare, dificultățile de aplicare și riscurile de implementare neuniformă.</w:t>
            </w:r>
          </w:p>
          <w:p w14:paraId="6C82A12B" w14:textId="6B4785FB" w:rsidR="009A1A36" w:rsidRPr="0026420A" w:rsidRDefault="009A1A36" w:rsidP="009A1A36">
            <w:pPr>
              <w:ind w:firstLine="0"/>
              <w:rPr>
                <w:b/>
                <w:bCs/>
              </w:rPr>
            </w:pPr>
            <w:r w:rsidRPr="0026420A">
              <w:t>Aspectele privind relația bănci–CASP, interoperabilitatea tehnică, API-urile, screening-</w:t>
            </w:r>
            <w:proofErr w:type="spellStart"/>
            <w:r w:rsidRPr="0026420A">
              <w:t>ul</w:t>
            </w:r>
            <w:proofErr w:type="spellEnd"/>
            <w:r w:rsidRPr="0026420A">
              <w:t xml:space="preserve"> de sancțiuni, monitorizarea </w:t>
            </w:r>
            <w:r w:rsidRPr="0026420A">
              <w:lastRenderedPageBreak/>
              <w:t xml:space="preserve">tranzacțiilor, soluționarea disputelor și gestionarea incidentelor țin de legislația sectorială, reglementările BNM și actele normative subsecvente, iar includerea lor în proiect ar crea paralelism legislativ și ar depăși obiectul reglementării </w:t>
            </w:r>
            <w:proofErr w:type="spellStart"/>
            <w:r w:rsidRPr="0026420A">
              <w:t>MiCA</w:t>
            </w:r>
            <w:proofErr w:type="spellEnd"/>
            <w:r w:rsidRPr="0026420A">
              <w:t>.</w:t>
            </w:r>
          </w:p>
        </w:tc>
      </w:tr>
      <w:tr w:rsidR="009A1A36" w:rsidRPr="0026420A" w14:paraId="1E655F7F" w14:textId="77777777" w:rsidTr="001F4857">
        <w:trPr>
          <w:trHeight w:val="11894"/>
        </w:trPr>
        <w:tc>
          <w:tcPr>
            <w:tcW w:w="2206" w:type="dxa"/>
            <w:vMerge/>
            <w:tcMar>
              <w:top w:w="0" w:type="dxa"/>
              <w:left w:w="108" w:type="dxa"/>
              <w:bottom w:w="0" w:type="dxa"/>
              <w:right w:w="108" w:type="dxa"/>
            </w:tcMar>
          </w:tcPr>
          <w:p w14:paraId="1299AEDB" w14:textId="77777777" w:rsidR="009A1A36" w:rsidRPr="0026420A" w:rsidRDefault="009A1A36" w:rsidP="00CB0A00">
            <w:pPr>
              <w:ind w:firstLine="0"/>
              <w:jc w:val="left"/>
              <w:rPr>
                <w:b/>
                <w:bCs/>
              </w:rPr>
            </w:pPr>
          </w:p>
        </w:tc>
        <w:tc>
          <w:tcPr>
            <w:tcW w:w="579" w:type="dxa"/>
            <w:tcBorders>
              <w:top w:val="single" w:sz="4" w:space="0" w:color="auto"/>
            </w:tcBorders>
            <w:tcMar>
              <w:top w:w="0" w:type="dxa"/>
              <w:left w:w="108" w:type="dxa"/>
              <w:bottom w:w="0" w:type="dxa"/>
              <w:right w:w="108" w:type="dxa"/>
            </w:tcMar>
          </w:tcPr>
          <w:p w14:paraId="2CD5CE84" w14:textId="77777777" w:rsidR="009A1A36" w:rsidRPr="0026420A" w:rsidRDefault="009A1A36" w:rsidP="00CB0A00">
            <w:pPr>
              <w:pStyle w:val="Listparagraf"/>
              <w:numPr>
                <w:ilvl w:val="0"/>
                <w:numId w:val="1"/>
              </w:numPr>
              <w:ind w:left="0" w:right="5" w:firstLine="0"/>
              <w:contextualSpacing w:val="0"/>
            </w:pPr>
          </w:p>
        </w:tc>
        <w:tc>
          <w:tcPr>
            <w:tcW w:w="5821" w:type="dxa"/>
            <w:tcBorders>
              <w:top w:val="single" w:sz="4" w:space="0" w:color="auto"/>
            </w:tcBorders>
            <w:tcMar>
              <w:top w:w="0" w:type="dxa"/>
              <w:left w:w="108" w:type="dxa"/>
              <w:bottom w:w="0" w:type="dxa"/>
              <w:right w:w="108" w:type="dxa"/>
            </w:tcMar>
          </w:tcPr>
          <w:p w14:paraId="008D93B2" w14:textId="77777777" w:rsidR="009A1A36" w:rsidRPr="0026420A" w:rsidRDefault="009A1A36" w:rsidP="009A1A36">
            <w:pPr>
              <w:tabs>
                <w:tab w:val="left" w:pos="1635"/>
              </w:tabs>
              <w:ind w:firstLine="0"/>
              <w:rPr>
                <w:b/>
                <w:bCs/>
              </w:rPr>
            </w:pPr>
            <w:r w:rsidRPr="0026420A">
              <w:rPr>
                <w:b/>
                <w:bCs/>
              </w:rPr>
              <w:t xml:space="preserve">3. </w:t>
            </w:r>
            <w:proofErr w:type="spellStart"/>
            <w:r w:rsidRPr="0026420A">
              <w:rPr>
                <w:b/>
                <w:bCs/>
              </w:rPr>
              <w:t>Tokenuri</w:t>
            </w:r>
            <w:proofErr w:type="spellEnd"/>
            <w:r w:rsidRPr="0026420A">
              <w:rPr>
                <w:b/>
                <w:bCs/>
              </w:rPr>
              <w:t xml:space="preserve"> de monedă electronică, </w:t>
            </w:r>
            <w:proofErr w:type="spellStart"/>
            <w:r w:rsidRPr="0026420A">
              <w:rPr>
                <w:b/>
                <w:bCs/>
              </w:rPr>
              <w:t>stablecoins</w:t>
            </w:r>
            <w:proofErr w:type="spellEnd"/>
            <w:r w:rsidRPr="0026420A">
              <w:rPr>
                <w:b/>
                <w:bCs/>
              </w:rPr>
              <w:t xml:space="preserve"> și regimul EMT</w:t>
            </w:r>
          </w:p>
          <w:p w14:paraId="5267B54E" w14:textId="77777777" w:rsidR="009A1A36" w:rsidRPr="0026420A" w:rsidRDefault="009A1A36" w:rsidP="009A1A36">
            <w:pPr>
              <w:tabs>
                <w:tab w:val="left" w:pos="1635"/>
              </w:tabs>
              <w:ind w:firstLine="0"/>
            </w:pPr>
            <w:r w:rsidRPr="0026420A">
              <w:t xml:space="preserve">Proiectul califică </w:t>
            </w:r>
            <w:proofErr w:type="spellStart"/>
            <w:r w:rsidRPr="0026420A">
              <w:t>tokenurile</w:t>
            </w:r>
            <w:proofErr w:type="spellEnd"/>
            <w:r w:rsidRPr="0026420A">
              <w:t xml:space="preserve"> de monedă electronică, în continuare EMT, drept monedă electronică și le supune, în principal, regimului Legii nr. 114/2012, cu particularitățile prevăzute de Proiect. În practică, este esențială delimitarea clară între operațiunile de plată, activitatea de emitere a monedei electronice și serviciile privind </w:t>
            </w:r>
            <w:proofErr w:type="spellStart"/>
            <w:r w:rsidRPr="0026420A">
              <w:t>criptoactivele</w:t>
            </w:r>
            <w:proofErr w:type="spellEnd"/>
            <w:r w:rsidRPr="0026420A">
              <w:t>, pentru a evita dubla licențiere, interpretările divergente și suprapunerea neclară a obligațiilor prudențiale și operaționale.</w:t>
            </w:r>
          </w:p>
          <w:p w14:paraId="6FA36087" w14:textId="77777777" w:rsidR="009A1A36" w:rsidRPr="0026420A" w:rsidRDefault="009A1A36" w:rsidP="009A1A36">
            <w:pPr>
              <w:tabs>
                <w:tab w:val="left" w:pos="1635"/>
              </w:tabs>
              <w:ind w:firstLine="0"/>
            </w:pPr>
            <w:r w:rsidRPr="0026420A">
              <w:t>În acest sens, considerăm necesară clarificarea expresă a următoarelor aspecte:</w:t>
            </w:r>
          </w:p>
          <w:p w14:paraId="69BB15A0" w14:textId="77777777" w:rsidR="009A1A36" w:rsidRPr="0026420A" w:rsidRDefault="009A1A36" w:rsidP="009A1A36">
            <w:pPr>
              <w:tabs>
                <w:tab w:val="left" w:pos="1635"/>
              </w:tabs>
              <w:ind w:firstLine="0"/>
            </w:pPr>
            <w:r w:rsidRPr="0026420A">
              <w:t xml:space="preserve">a) dacă este admisă emiterea și/sau utilizarea </w:t>
            </w:r>
            <w:proofErr w:type="spellStart"/>
            <w:r w:rsidRPr="0026420A">
              <w:t>stablecoins</w:t>
            </w:r>
            <w:proofErr w:type="spellEnd"/>
            <w:r w:rsidRPr="0026420A">
              <w:t xml:space="preserve"> ori EMT denominate în lei moldovenești;</w:t>
            </w:r>
          </w:p>
          <w:p w14:paraId="49397B42" w14:textId="77777777" w:rsidR="009A1A36" w:rsidRPr="0026420A" w:rsidRDefault="009A1A36" w:rsidP="009A1A36">
            <w:pPr>
              <w:tabs>
                <w:tab w:val="left" w:pos="1635"/>
              </w:tabs>
              <w:ind w:firstLine="0"/>
            </w:pPr>
            <w:r w:rsidRPr="0026420A">
              <w:t>b) în cazul admiterii EMT denominate în MDL, care sunt criteriile de evaluare a riscurilor asupra suveranității monetare, transmisiei politicii monetare și stabilității financiare, precum și rolul BNM în această evaluare;</w:t>
            </w:r>
          </w:p>
          <w:p w14:paraId="3D3A6E8A" w14:textId="77777777" w:rsidR="009A1A36" w:rsidRPr="0026420A" w:rsidRDefault="009A1A36" w:rsidP="009A1A36">
            <w:pPr>
              <w:tabs>
                <w:tab w:val="left" w:pos="1635"/>
              </w:tabs>
              <w:ind w:firstLine="0"/>
            </w:pPr>
            <w:r w:rsidRPr="0026420A">
              <w:t xml:space="preserve">c) dacă activitatea de emitere și transfer a EMT de către un emitent de monedă electronică licențiat este acoperită integral de licența existentă sau necesită o autorizare suplimentară în calitate de CASP, în special pentru serviciile de transfer de </w:t>
            </w:r>
            <w:proofErr w:type="spellStart"/>
            <w:r w:rsidRPr="0026420A">
              <w:t>criptoactive</w:t>
            </w:r>
            <w:proofErr w:type="spellEnd"/>
            <w:r w:rsidRPr="0026420A">
              <w:t xml:space="preserve">; </w:t>
            </w:r>
          </w:p>
          <w:p w14:paraId="05AF7CA1" w14:textId="77777777" w:rsidR="009A1A36" w:rsidRPr="0026420A" w:rsidRDefault="009A1A36" w:rsidP="009A1A36">
            <w:pPr>
              <w:tabs>
                <w:tab w:val="left" w:pos="1635"/>
              </w:tabs>
              <w:ind w:firstLine="0"/>
            </w:pPr>
            <w:r w:rsidRPr="0026420A">
              <w:t xml:space="preserve">d) dacă transferurile de EMT între clienții aceleiași instituții sunt considerate operațiuni de plată în sensul Legii nr. 114/2012 sau servicii privind </w:t>
            </w:r>
            <w:proofErr w:type="spellStart"/>
            <w:r w:rsidRPr="0026420A">
              <w:t>criptoactivele</w:t>
            </w:r>
            <w:proofErr w:type="spellEnd"/>
            <w:r w:rsidRPr="0026420A">
              <w:t xml:space="preserve">, cu implicații asupra cerințelor prudențiale, raportărilor, responsabilității instituției și obligațiilor față de client; </w:t>
            </w:r>
          </w:p>
          <w:p w14:paraId="384CCD75" w14:textId="77777777" w:rsidR="009A1A36" w:rsidRPr="0026420A" w:rsidRDefault="009A1A36" w:rsidP="009A1A36">
            <w:pPr>
              <w:tabs>
                <w:tab w:val="left" w:pos="1635"/>
              </w:tabs>
              <w:ind w:firstLine="0"/>
            </w:pPr>
            <w:r w:rsidRPr="0026420A">
              <w:t xml:space="preserve">e) în ce condiții se aplică dreptul de răscumpărare la valoarea nominală pentru EMT, inclusiv termenele operaționale, mijloacele de plată admise și măsurile de gestionare a lichidității, inclusiv în scenarii de stres; </w:t>
            </w:r>
          </w:p>
          <w:p w14:paraId="7572D858" w14:textId="77777777" w:rsidR="009A1A36" w:rsidRPr="0026420A" w:rsidRDefault="009A1A36" w:rsidP="009A1A36">
            <w:pPr>
              <w:tabs>
                <w:tab w:val="left" w:pos="1635"/>
              </w:tabs>
              <w:ind w:firstLine="0"/>
            </w:pPr>
            <w:r w:rsidRPr="0026420A">
              <w:t xml:space="preserve">f) care sunt cerințele privind fondurile de rezervă aferente EMT, inclusiv dacă acestea pot fi păstrate în bilanțul propriu al instituției emitente sau trebuie </w:t>
            </w:r>
            <w:proofErr w:type="spellStart"/>
            <w:r w:rsidRPr="0026420A">
              <w:t>externalizate</w:t>
            </w:r>
            <w:proofErr w:type="spellEnd"/>
            <w:r w:rsidRPr="0026420A">
              <w:t xml:space="preserve"> și/sau separate la o altă instituție de credit; </w:t>
            </w:r>
          </w:p>
          <w:p w14:paraId="51E295D0" w14:textId="77777777" w:rsidR="009A1A36" w:rsidRPr="0026420A" w:rsidRDefault="009A1A36" w:rsidP="009A1A36">
            <w:pPr>
              <w:tabs>
                <w:tab w:val="left" w:pos="1635"/>
              </w:tabs>
              <w:ind w:firstLine="0"/>
            </w:pPr>
            <w:r w:rsidRPr="0026420A">
              <w:t xml:space="preserve">g) dacă, în situația în care emitentul sau CASP este și instituție de credit, plasarea fondurilor clienților în conturi deschise în cadrul aceleiași instituții este considerată conformă cerințelor de segregare și protecție a fondurilor; </w:t>
            </w:r>
          </w:p>
          <w:p w14:paraId="7C9A317D" w14:textId="77777777" w:rsidR="009A1A36" w:rsidRPr="0026420A" w:rsidRDefault="009A1A36" w:rsidP="009A1A36">
            <w:pPr>
              <w:tabs>
                <w:tab w:val="left" w:pos="1635"/>
              </w:tabs>
              <w:ind w:firstLine="0"/>
            </w:pPr>
            <w:r w:rsidRPr="0026420A">
              <w:t xml:space="preserve">h) ce tipuri de conturi sunt considerate conforme pentru segregarea fondurilor clienților și a fondurilor de rezervă, inclusiv conturi fiduciare, conturi </w:t>
            </w:r>
            <w:proofErr w:type="spellStart"/>
            <w:r w:rsidRPr="0026420A">
              <w:t>escrow</w:t>
            </w:r>
            <w:proofErr w:type="spellEnd"/>
            <w:r w:rsidRPr="0026420A">
              <w:t xml:space="preserve"> sau conturi interne distincte; </w:t>
            </w:r>
          </w:p>
          <w:p w14:paraId="42697BF3" w14:textId="77777777" w:rsidR="009A1A36" w:rsidRPr="0026420A" w:rsidRDefault="009A1A36" w:rsidP="009A1A36">
            <w:pPr>
              <w:tabs>
                <w:tab w:val="left" w:pos="1635"/>
              </w:tabs>
              <w:ind w:firstLine="0"/>
            </w:pPr>
            <w:r w:rsidRPr="0026420A">
              <w:t>i) dacă cerința de capital minim pentru emiterea EMT se aplică la nivelul instituției emitente sau separat pentru fiecare emisiune/</w:t>
            </w:r>
            <w:proofErr w:type="spellStart"/>
            <w:r w:rsidRPr="0026420A">
              <w:t>token</w:t>
            </w:r>
            <w:proofErr w:type="spellEnd"/>
            <w:r w:rsidRPr="0026420A">
              <w:t xml:space="preserve">; </w:t>
            </w:r>
          </w:p>
          <w:p w14:paraId="63C4F6B6" w14:textId="77777777" w:rsidR="009A1A36" w:rsidRPr="0026420A" w:rsidRDefault="009A1A36" w:rsidP="009A1A36">
            <w:pPr>
              <w:tabs>
                <w:tab w:val="left" w:pos="1635"/>
              </w:tabs>
              <w:ind w:firstLine="0"/>
            </w:pPr>
            <w:r w:rsidRPr="0026420A">
              <w:lastRenderedPageBreak/>
              <w:t xml:space="preserve">j) dacă, în cazul emiterii de EMT în mai multe valute, de exemplu MDL, EUR și USD, în cadrul aceluiași program, cerințele de capital se aplică în mod consolidat sau separat pentru fiecare categorie de </w:t>
            </w:r>
            <w:proofErr w:type="spellStart"/>
            <w:r w:rsidRPr="0026420A">
              <w:t>token</w:t>
            </w:r>
            <w:proofErr w:type="spellEnd"/>
            <w:r w:rsidRPr="0026420A">
              <w:t>/valută;</w:t>
            </w:r>
          </w:p>
          <w:p w14:paraId="1639915E" w14:textId="77777777" w:rsidR="009A1A36" w:rsidRPr="0026420A" w:rsidRDefault="009A1A36" w:rsidP="009A1A36">
            <w:pPr>
              <w:tabs>
                <w:tab w:val="left" w:pos="1635"/>
              </w:tabs>
              <w:ind w:firstLine="0"/>
            </w:pPr>
            <w:r w:rsidRPr="0026420A">
              <w:t xml:space="preserve">k) dacă există cerințe suplimentare de capital determinate de volumul EMT emis, valoarea tranzacțiilor procesate sau numărul de utilizatori/clienți. </w:t>
            </w:r>
          </w:p>
          <w:p w14:paraId="21607852" w14:textId="398A702E" w:rsidR="009A1A36" w:rsidRPr="0026420A" w:rsidRDefault="009A1A36" w:rsidP="009A1A36">
            <w:pPr>
              <w:tabs>
                <w:tab w:val="left" w:pos="1635"/>
              </w:tabs>
              <w:ind w:firstLine="0"/>
              <w:rPr>
                <w:b/>
                <w:bCs/>
              </w:rPr>
            </w:pPr>
            <w:r w:rsidRPr="0026420A">
              <w:t>Considerăm că evaluarea adecvată a capacităților reale de integrare ale băncilor în acest domeniu va fi posibilă doar în condițiile unui cadru clar și predictibil, în special din perspectiva gestionării riscurilor, conformității AML/CFT, cerințelor de capital, protecției fondurilor clienților și adaptării infrastructurii IT.</w:t>
            </w:r>
          </w:p>
        </w:tc>
        <w:tc>
          <w:tcPr>
            <w:tcW w:w="5281" w:type="dxa"/>
            <w:tcBorders>
              <w:top w:val="single" w:sz="4" w:space="0" w:color="auto"/>
            </w:tcBorders>
            <w:tcMar>
              <w:top w:w="0" w:type="dxa"/>
              <w:left w:w="108" w:type="dxa"/>
              <w:bottom w:w="0" w:type="dxa"/>
              <w:right w:w="108" w:type="dxa"/>
            </w:tcMar>
          </w:tcPr>
          <w:p w14:paraId="5C3E80EE" w14:textId="77777777" w:rsidR="009A1A36" w:rsidRPr="0026420A" w:rsidRDefault="009A1A36" w:rsidP="009A1A36">
            <w:pPr>
              <w:ind w:firstLine="0"/>
              <w:rPr>
                <w:b/>
                <w:bCs/>
              </w:rPr>
            </w:pPr>
            <w:r w:rsidRPr="0026420A">
              <w:rPr>
                <w:b/>
                <w:bCs/>
              </w:rPr>
              <w:lastRenderedPageBreak/>
              <w:t>Se acceptă parțial</w:t>
            </w:r>
          </w:p>
          <w:p w14:paraId="64E50A4B" w14:textId="77777777" w:rsidR="009A1A36" w:rsidRPr="0026420A" w:rsidRDefault="009A1A36" w:rsidP="009A1A36">
            <w:pPr>
              <w:ind w:firstLine="0"/>
            </w:pPr>
            <w:r w:rsidRPr="0026420A">
              <w:t xml:space="preserve">Proiectul de lege reglementează regimul </w:t>
            </w:r>
            <w:proofErr w:type="spellStart"/>
            <w:r w:rsidRPr="0026420A">
              <w:t>tokenurilor</w:t>
            </w:r>
            <w:proofErr w:type="spellEnd"/>
            <w:r w:rsidRPr="0026420A">
              <w:t xml:space="preserve"> de monedă electronică în conformitate cu logica </w:t>
            </w:r>
            <w:proofErr w:type="spellStart"/>
            <w:r w:rsidRPr="0026420A">
              <w:t>MiCA</w:t>
            </w:r>
            <w:proofErr w:type="spellEnd"/>
            <w:r w:rsidRPr="0026420A">
              <w:t xml:space="preserve">, prin calificarea acestora drept monedă electronică și aplicarea corespunzătoare a prevederilor Legii nr. 114/2012 privind serviciile de plată și moneda electronică, cu particularitățile prevăzute de proiect. Definițiile de la art. 3 permit raportarea </w:t>
            </w:r>
            <w:proofErr w:type="spellStart"/>
            <w:r w:rsidRPr="0026420A">
              <w:t>tokenurilor</w:t>
            </w:r>
            <w:proofErr w:type="spellEnd"/>
            <w:r w:rsidRPr="0026420A">
              <w:t xml:space="preserve"> raportate la active și a </w:t>
            </w:r>
            <w:proofErr w:type="spellStart"/>
            <w:r w:rsidRPr="0026420A">
              <w:t>tokenurilor</w:t>
            </w:r>
            <w:proofErr w:type="spellEnd"/>
            <w:r w:rsidRPr="0026420A">
              <w:t xml:space="preserve"> de monedă electronică la o monedă oficială, iar noțiunea de „monedă oficială” include, prin trimitere la Legea nr. 1232/1992 cu privire la bani, și leul moldovenesc.</w:t>
            </w:r>
          </w:p>
          <w:p w14:paraId="41C8C54C" w14:textId="77777777" w:rsidR="009A1A36" w:rsidRPr="0026420A" w:rsidRDefault="009A1A36" w:rsidP="009A1A36">
            <w:pPr>
              <w:ind w:firstLine="0"/>
            </w:pPr>
            <w:r w:rsidRPr="0026420A">
              <w:t xml:space="preserve">Rolul Băncii Naționale a Moldovei în evaluarea riscurilor privind stabilitatea financiară, buna funcționare a sistemelor de plăți, transmisia politicii monetare și suveranitatea monetară este reflectat în proiect prin mecanismele de consultare și avizare prevăzute pentru </w:t>
            </w:r>
            <w:proofErr w:type="spellStart"/>
            <w:r w:rsidRPr="0026420A">
              <w:t>tokenurile</w:t>
            </w:r>
            <w:proofErr w:type="spellEnd"/>
            <w:r w:rsidRPr="0026420A">
              <w:t xml:space="preserve"> raportate la active și </w:t>
            </w:r>
            <w:proofErr w:type="spellStart"/>
            <w:r w:rsidRPr="0026420A">
              <w:t>tokenurile</w:t>
            </w:r>
            <w:proofErr w:type="spellEnd"/>
            <w:r w:rsidRPr="0026420A">
              <w:t xml:space="preserve"> de monedă electronică. În cazul </w:t>
            </w:r>
            <w:proofErr w:type="spellStart"/>
            <w:r w:rsidRPr="0026420A">
              <w:t>tokenurilor</w:t>
            </w:r>
            <w:proofErr w:type="spellEnd"/>
            <w:r w:rsidRPr="0026420A">
              <w:t xml:space="preserve"> de monedă electronică, activitatea de emitere se realizează de entitățile autorizate potrivit legislației privind moneda electronică, iar prestarea serviciilor de </w:t>
            </w:r>
            <w:proofErr w:type="spellStart"/>
            <w:r w:rsidRPr="0026420A">
              <w:t>criptoactive</w:t>
            </w:r>
            <w:proofErr w:type="spellEnd"/>
            <w:r w:rsidRPr="0026420A">
              <w:t xml:space="preserve"> aferente, inclusiv serviciile de transfer, urmează regimul de notificare prevăzut de proiect, fără instituirea unei autorizări paralele nejustificate, în măsura în care entitatea se încadrează în categoria subiecților eligibili pentru acest regim.</w:t>
            </w:r>
          </w:p>
          <w:p w14:paraId="4E45DD95" w14:textId="77777777" w:rsidR="009A1A36" w:rsidRPr="0026420A" w:rsidRDefault="009A1A36" w:rsidP="009A1A36">
            <w:pPr>
              <w:ind w:firstLine="0"/>
            </w:pPr>
            <w:r w:rsidRPr="0026420A">
              <w:t xml:space="preserve">Dreptul de răscumpărare la valoarea nominală este reglementat la art. 46 din proiect, iar aspectele operaționale privind termenele de executare, mijloacele de plată, scenariile de stres, lichiditatea, tipurile de conturi, segregarea fondurilor și plasarea acestora urmează să fie detaliate prin acte normative subsecvente, în corelare cu Legea nr. 114/2012 și cu particularitățile cadrului </w:t>
            </w:r>
            <w:proofErr w:type="spellStart"/>
            <w:r w:rsidRPr="0026420A">
              <w:t>MiCA</w:t>
            </w:r>
            <w:proofErr w:type="spellEnd"/>
            <w:r w:rsidRPr="0026420A">
              <w:t>.</w:t>
            </w:r>
          </w:p>
          <w:p w14:paraId="69528953" w14:textId="77777777" w:rsidR="009A1A36" w:rsidRPr="0026420A" w:rsidRDefault="009A1A36" w:rsidP="009A1A36">
            <w:pPr>
              <w:ind w:firstLine="0"/>
            </w:pPr>
            <w:r w:rsidRPr="0026420A">
              <w:t xml:space="preserve">În ceea ce privește cerințele de capital, acestea se aplică la nivelul instituției emitente, potrivit regimului prudențial aplicabil monedei electronice, și nu separat pentru fiecare </w:t>
            </w:r>
            <w:proofErr w:type="spellStart"/>
            <w:r w:rsidRPr="0026420A">
              <w:t>token</w:t>
            </w:r>
            <w:proofErr w:type="spellEnd"/>
            <w:r w:rsidRPr="0026420A">
              <w:t xml:space="preserve"> sau valută, cu excepția cazului în care cadrul normativ subsecvent va stabili cerințe suplimentare justificate de profilul de risc. Proiectul se corelează cu prevederile Legii nr. 114/2012, inclusiv în partea ce ține de capitalul minim și capitalul reglementat raportat la valoarea medie a monedei electronice aflate în circulație, aplicabile corespunzător </w:t>
            </w:r>
            <w:proofErr w:type="spellStart"/>
            <w:r w:rsidRPr="0026420A">
              <w:t>tokenurilor</w:t>
            </w:r>
            <w:proofErr w:type="spellEnd"/>
            <w:r w:rsidRPr="0026420A">
              <w:t xml:space="preserve"> de monedă electronică.</w:t>
            </w:r>
          </w:p>
          <w:p w14:paraId="0CF49784" w14:textId="0830ACEF" w:rsidR="009A1A36" w:rsidRPr="0026420A" w:rsidRDefault="009A1A36" w:rsidP="00933DC9">
            <w:pPr>
              <w:ind w:firstLine="0"/>
              <w:rPr>
                <w:b/>
                <w:bCs/>
              </w:rPr>
            </w:pPr>
            <w:r w:rsidRPr="0026420A">
              <w:lastRenderedPageBreak/>
              <w:t>Clarificarea aspectelor invocate, inclusiv a detaliilor operaționale privind termenele de plată, scenariile de stres, tipurile de conturi, segregarea și plasarea fondurilor, reprezintă elemente tehnice de aplicare care urmează să fie dezvoltate prin cadrul normativ secundar. Această abordare este necesară pentru a asigura flexibilitatea reglementării, adaptarea la evoluțiile tehnologice și alinierea la standardele tehnice elaborate la nivel european de ESMA și EBA și aprobate de Comisia Europeană prin regulamente delegate și de punere în aplicare. Introducerea acestor elemente în legea primară ar rigidiza nejustificat cadrul normativ și ar limita capacitatea autorităților competente de a adapta cerințele la profilul de risc și la evoluțiile pieței</w:t>
            </w:r>
          </w:p>
        </w:tc>
      </w:tr>
      <w:tr w:rsidR="009A1A36" w:rsidRPr="0026420A" w14:paraId="737367EA" w14:textId="77777777" w:rsidTr="001F4857">
        <w:trPr>
          <w:trHeight w:val="300"/>
        </w:trPr>
        <w:tc>
          <w:tcPr>
            <w:tcW w:w="2206" w:type="dxa"/>
            <w:vMerge/>
            <w:tcMar>
              <w:top w:w="0" w:type="dxa"/>
              <w:left w:w="108" w:type="dxa"/>
              <w:bottom w:w="0" w:type="dxa"/>
              <w:right w:w="108" w:type="dxa"/>
            </w:tcMar>
          </w:tcPr>
          <w:p w14:paraId="4FB85787" w14:textId="77777777" w:rsidR="009A1A36" w:rsidRPr="0026420A" w:rsidRDefault="009A1A36" w:rsidP="00CB0A00">
            <w:pPr>
              <w:ind w:firstLine="0"/>
              <w:jc w:val="left"/>
              <w:rPr>
                <w:b/>
                <w:bCs/>
              </w:rPr>
            </w:pPr>
          </w:p>
        </w:tc>
        <w:tc>
          <w:tcPr>
            <w:tcW w:w="579" w:type="dxa"/>
            <w:tcMar>
              <w:top w:w="0" w:type="dxa"/>
              <w:left w:w="108" w:type="dxa"/>
              <w:bottom w:w="0" w:type="dxa"/>
              <w:right w:w="108" w:type="dxa"/>
            </w:tcMar>
          </w:tcPr>
          <w:p w14:paraId="6E02AEC1" w14:textId="77777777" w:rsidR="009A1A36" w:rsidRPr="0026420A" w:rsidRDefault="009A1A36" w:rsidP="00CB0A0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356CA28D" w14:textId="77777777" w:rsidR="009A1A36" w:rsidRPr="0026420A" w:rsidRDefault="009A1A36" w:rsidP="00CB0A00">
            <w:pPr>
              <w:tabs>
                <w:tab w:val="left" w:pos="1635"/>
              </w:tabs>
              <w:ind w:firstLine="0"/>
              <w:rPr>
                <w:b/>
                <w:bCs/>
              </w:rPr>
            </w:pPr>
            <w:r w:rsidRPr="0026420A">
              <w:rPr>
                <w:b/>
                <w:bCs/>
              </w:rPr>
              <w:t xml:space="preserve">4. </w:t>
            </w:r>
            <w:proofErr w:type="spellStart"/>
            <w:r w:rsidRPr="0026420A">
              <w:rPr>
                <w:b/>
                <w:bCs/>
              </w:rPr>
              <w:t>Tokenuri</w:t>
            </w:r>
            <w:proofErr w:type="spellEnd"/>
            <w:r w:rsidRPr="0026420A">
              <w:rPr>
                <w:b/>
                <w:bCs/>
              </w:rPr>
              <w:t xml:space="preserve"> raportate la active, rezerve, custodie și impact sistemic </w:t>
            </w:r>
          </w:p>
          <w:p w14:paraId="23A4D24B" w14:textId="77777777" w:rsidR="009A1A36" w:rsidRPr="0026420A" w:rsidRDefault="009A1A36" w:rsidP="00CB0A00">
            <w:pPr>
              <w:tabs>
                <w:tab w:val="left" w:pos="1635"/>
              </w:tabs>
              <w:ind w:firstLine="0"/>
            </w:pPr>
            <w:r w:rsidRPr="0026420A">
              <w:t xml:space="preserve">Regimul </w:t>
            </w:r>
            <w:proofErr w:type="spellStart"/>
            <w:r w:rsidRPr="0026420A">
              <w:t>tokenurilor</w:t>
            </w:r>
            <w:proofErr w:type="spellEnd"/>
            <w:r w:rsidRPr="0026420A">
              <w:t xml:space="preserve"> raportate la active, în continuare ART, este unul prudent, având în vedere cerințele privind rezerva de active separată juridic, politicile de custodie și auditul periodic. Totuși, anumite elemente necesită clarificare pentru aplicarea practică și pentru evaluarea riscului bancar în relația cu emitentul, custodele sau CASP distribuitor. </w:t>
            </w:r>
          </w:p>
          <w:p w14:paraId="05243D46" w14:textId="77777777" w:rsidR="009A1A36" w:rsidRPr="0026420A" w:rsidRDefault="009A1A36" w:rsidP="00CB0A00">
            <w:pPr>
              <w:tabs>
                <w:tab w:val="left" w:pos="1635"/>
              </w:tabs>
              <w:ind w:firstLine="0"/>
            </w:pPr>
            <w:r w:rsidRPr="0026420A">
              <w:t xml:space="preserve">În acest sens, se recomandă clarificarea următoarelor aspecte: </w:t>
            </w:r>
          </w:p>
          <w:p w14:paraId="5A4F587B" w14:textId="77777777" w:rsidR="009A1A36" w:rsidRPr="0026420A" w:rsidRDefault="009A1A36" w:rsidP="00CB0A00">
            <w:pPr>
              <w:tabs>
                <w:tab w:val="left" w:pos="1635"/>
              </w:tabs>
              <w:ind w:firstLine="0"/>
            </w:pPr>
            <w:r w:rsidRPr="0026420A">
              <w:t xml:space="preserve">a) în ce măsură se aplică cerințele minime de lichiditate, inclusiv pragul de mijloace bănești păstrate ca depozite la instituții de credit; </w:t>
            </w:r>
          </w:p>
          <w:p w14:paraId="31024D69" w14:textId="77777777" w:rsidR="009A1A36" w:rsidRPr="0026420A" w:rsidRDefault="009A1A36" w:rsidP="00CB0A00">
            <w:pPr>
              <w:tabs>
                <w:tab w:val="left" w:pos="1635"/>
              </w:tabs>
              <w:ind w:firstLine="0"/>
            </w:pPr>
            <w:r w:rsidRPr="0026420A">
              <w:t xml:space="preserve">b) cum se tratează situația în care rezerva este constituită în mai multe valute, de exemplu MDL, EUR și USD; </w:t>
            </w:r>
          </w:p>
          <w:p w14:paraId="4060901C" w14:textId="77777777" w:rsidR="009A1A36" w:rsidRPr="0026420A" w:rsidRDefault="009A1A36" w:rsidP="00CB0A00">
            <w:pPr>
              <w:tabs>
                <w:tab w:val="left" w:pos="1635"/>
              </w:tabs>
              <w:ind w:firstLine="0"/>
            </w:pPr>
            <w:r w:rsidRPr="0026420A">
              <w:t xml:space="preserve">c) care sunt criteriile concrete de evaluare </w:t>
            </w:r>
            <w:proofErr w:type="spellStart"/>
            <w:r w:rsidRPr="0026420A">
              <w:t>mark</w:t>
            </w:r>
            <w:proofErr w:type="spellEnd"/>
            <w:r w:rsidRPr="0026420A">
              <w:t>-</w:t>
            </w:r>
            <w:proofErr w:type="spellStart"/>
            <w:r w:rsidRPr="0026420A">
              <w:t>to</w:t>
            </w:r>
            <w:proofErr w:type="spellEnd"/>
            <w:r w:rsidRPr="0026420A">
              <w:t xml:space="preserve">-market și </w:t>
            </w:r>
            <w:proofErr w:type="spellStart"/>
            <w:r w:rsidRPr="0026420A">
              <w:t>mark</w:t>
            </w:r>
            <w:proofErr w:type="spellEnd"/>
            <w:r w:rsidRPr="0026420A">
              <w:t>-</w:t>
            </w:r>
            <w:proofErr w:type="spellStart"/>
            <w:r w:rsidRPr="0026420A">
              <w:t>to</w:t>
            </w:r>
            <w:proofErr w:type="spellEnd"/>
            <w:r w:rsidRPr="0026420A">
              <w:t xml:space="preserve">-model și cum se asigură calitatea datelor de piață în absența unor piețe locale lichide pentru anumite active de rezervă; </w:t>
            </w:r>
          </w:p>
          <w:p w14:paraId="53854947" w14:textId="77777777" w:rsidR="009A1A36" w:rsidRPr="0026420A" w:rsidRDefault="009A1A36" w:rsidP="00CB0A00">
            <w:pPr>
              <w:tabs>
                <w:tab w:val="left" w:pos="1635"/>
              </w:tabs>
              <w:ind w:firstLine="0"/>
            </w:pPr>
            <w:r w:rsidRPr="0026420A">
              <w:t xml:space="preserve">d) cum se gestionează riscul de concentrare atunci când custodele este parte a aceluiași grup cu emitentul sau cu un CASP distribuitor; </w:t>
            </w:r>
          </w:p>
          <w:p w14:paraId="3B591118" w14:textId="77777777" w:rsidR="009A1A36" w:rsidRPr="0026420A" w:rsidRDefault="009A1A36" w:rsidP="00CB0A00">
            <w:pPr>
              <w:tabs>
                <w:tab w:val="left" w:pos="1635"/>
              </w:tabs>
              <w:ind w:firstLine="0"/>
            </w:pPr>
            <w:r w:rsidRPr="0026420A">
              <w:t xml:space="preserve">e) dacă se impun limite explicite de concentrare și mecanisme de raportare periodică; </w:t>
            </w:r>
          </w:p>
          <w:p w14:paraId="62F19990" w14:textId="77777777" w:rsidR="009A1A36" w:rsidRPr="0026420A" w:rsidRDefault="009A1A36" w:rsidP="00CB0A00">
            <w:pPr>
              <w:tabs>
                <w:tab w:val="left" w:pos="1635"/>
              </w:tabs>
              <w:ind w:firstLine="0"/>
            </w:pPr>
            <w:r w:rsidRPr="0026420A">
              <w:t xml:space="preserve">f) care este procedura de calcul și verificare a pragurilor în cazul în care ART este utilizat pe scară largă ca mijloc de schimb și Proiectul prevede măsuri de sistare a emiterii; </w:t>
            </w:r>
          </w:p>
          <w:p w14:paraId="699D0CF7" w14:textId="77777777" w:rsidR="009A1A36" w:rsidRPr="0026420A" w:rsidRDefault="009A1A36" w:rsidP="00CB0A00">
            <w:pPr>
              <w:tabs>
                <w:tab w:val="left" w:pos="1635"/>
              </w:tabs>
              <w:ind w:firstLine="0"/>
            </w:pPr>
            <w:r w:rsidRPr="0026420A">
              <w:t xml:space="preserve">g) care este rolul băncilor în furnizarea de date relevante pentru verificarea pragurilor și monitorizarea utilizării ART. </w:t>
            </w:r>
          </w:p>
          <w:p w14:paraId="68E05C20" w14:textId="77777777" w:rsidR="009A1A36" w:rsidRPr="0026420A" w:rsidRDefault="009A1A36" w:rsidP="00CB0A00">
            <w:pPr>
              <w:tabs>
                <w:tab w:val="left" w:pos="1635"/>
              </w:tabs>
              <w:ind w:firstLine="0"/>
            </w:pPr>
            <w:r w:rsidRPr="0026420A">
              <w:t>Aceste clarificări sunt necesare pentru a evita acumularea unor riscuri de lichiditate, concentrare, custodie și stabilitate financiară în afara unui cadru predictibil de monitorizare și intervenție.</w:t>
            </w:r>
          </w:p>
          <w:p w14:paraId="77F724B6" w14:textId="0FF5EF0C" w:rsidR="00250343" w:rsidRPr="0026420A" w:rsidRDefault="00250343" w:rsidP="00CB0A00">
            <w:pPr>
              <w:tabs>
                <w:tab w:val="left" w:pos="1635"/>
              </w:tabs>
              <w:ind w:firstLine="0"/>
              <w:rPr>
                <w:b/>
                <w:bCs/>
              </w:rPr>
            </w:pPr>
          </w:p>
        </w:tc>
        <w:tc>
          <w:tcPr>
            <w:tcW w:w="5281" w:type="dxa"/>
            <w:tcMar>
              <w:top w:w="0" w:type="dxa"/>
              <w:left w:w="108" w:type="dxa"/>
              <w:bottom w:w="0" w:type="dxa"/>
              <w:right w:w="108" w:type="dxa"/>
            </w:tcMar>
          </w:tcPr>
          <w:p w14:paraId="2DE6CDED" w14:textId="77777777" w:rsidR="009A1A36" w:rsidRPr="0026420A" w:rsidRDefault="009A1A36" w:rsidP="008F630A">
            <w:pPr>
              <w:ind w:firstLine="0"/>
              <w:rPr>
                <w:b/>
                <w:bCs/>
              </w:rPr>
            </w:pPr>
            <w:r w:rsidRPr="0026420A">
              <w:rPr>
                <w:b/>
                <w:bCs/>
              </w:rPr>
              <w:t>Se acceptă parțial</w:t>
            </w:r>
          </w:p>
          <w:p w14:paraId="0A76C7E1" w14:textId="77777777" w:rsidR="009A1A36" w:rsidRPr="0026420A" w:rsidRDefault="009A1A36" w:rsidP="008F630A">
            <w:pPr>
              <w:ind w:firstLine="0"/>
            </w:pPr>
            <w:r w:rsidRPr="0026420A">
              <w:t xml:space="preserve">Proiectul de lege instituie cadrul juridic principal aplicabil </w:t>
            </w:r>
            <w:proofErr w:type="spellStart"/>
            <w:r w:rsidRPr="0026420A">
              <w:t>tokenurilor</w:t>
            </w:r>
            <w:proofErr w:type="spellEnd"/>
            <w:r w:rsidRPr="0026420A">
              <w:t xml:space="preserve"> raportate la active, inclusiv cerințele privind constituirea și administrarea rezervei de active, separarea acesteia de patrimoniul emitentului, custodia activelor de rezervă, drepturile deținătorilor, obligațiile de raportare și atribuțiile autorităților competente în cazul riscurilor asupra stabilității financiare, bunei funcționări a sistemelor de plăți, transmisiei politicii monetare și suveranității monetare.</w:t>
            </w:r>
          </w:p>
          <w:p w14:paraId="09DEC0DC" w14:textId="77777777" w:rsidR="009A1A36" w:rsidRPr="0026420A" w:rsidRDefault="009A1A36" w:rsidP="008F630A">
            <w:pPr>
              <w:ind w:firstLine="0"/>
            </w:pPr>
            <w:r w:rsidRPr="0026420A">
              <w:t xml:space="preserve">Clarificările cu referire la aspectele invocate privind cerințele minime de lichiditate, tratamentul rezervelor constituite în mai multe valute, metodele de evaluare </w:t>
            </w:r>
            <w:proofErr w:type="spellStart"/>
            <w:r w:rsidRPr="0026420A">
              <w:t>mark</w:t>
            </w:r>
            <w:proofErr w:type="spellEnd"/>
            <w:r w:rsidRPr="0026420A">
              <w:t>-</w:t>
            </w:r>
            <w:proofErr w:type="spellStart"/>
            <w:r w:rsidRPr="0026420A">
              <w:t>to</w:t>
            </w:r>
            <w:proofErr w:type="spellEnd"/>
            <w:r w:rsidRPr="0026420A">
              <w:t xml:space="preserve">-market și </w:t>
            </w:r>
            <w:proofErr w:type="spellStart"/>
            <w:r w:rsidRPr="0026420A">
              <w:t>mark</w:t>
            </w:r>
            <w:proofErr w:type="spellEnd"/>
            <w:r w:rsidRPr="0026420A">
              <w:t>-</w:t>
            </w:r>
            <w:proofErr w:type="spellStart"/>
            <w:r w:rsidRPr="0026420A">
              <w:t>to</w:t>
            </w:r>
            <w:proofErr w:type="spellEnd"/>
            <w:r w:rsidRPr="0026420A">
              <w:t>-model, limitele de concentrare, relația cu custodele, raportarea periodică, verificarea pragurilor de utilizare ca mijloc de schimb și furnizarea datelor relevante de către bănci reprezintă elemente tehnice și operaționale de aplicare.</w:t>
            </w:r>
          </w:p>
          <w:p w14:paraId="41995B4A" w14:textId="77777777" w:rsidR="009A1A36" w:rsidRPr="0026420A" w:rsidRDefault="009A1A36" w:rsidP="008F630A">
            <w:pPr>
              <w:ind w:firstLine="0"/>
            </w:pPr>
            <w:r w:rsidRPr="0026420A">
              <w:t>Aceste elemente urmează să fie dezvoltate prin acte normative subsecvente, în conformitate cu standardele tehnice elaborate la nivel european de EBA și ESMA și cu particularitățile pieței naționale. Introducerea lor detaliată în legea primară ar rigidiza cadrul normativ și ar limita capacitatea autorităților competente de a adapta cerințele la evoluția pieței, profilul de risc al emitenților și riscurile de lichiditate, custodie, concentrare și stabilitate financiară.</w:t>
            </w:r>
          </w:p>
          <w:p w14:paraId="334FF588" w14:textId="77777777" w:rsidR="009A1A36" w:rsidRPr="0026420A" w:rsidRDefault="009A1A36" w:rsidP="00CB0A00">
            <w:pPr>
              <w:ind w:firstLine="0"/>
            </w:pPr>
          </w:p>
          <w:p w14:paraId="5F484B08" w14:textId="3891012C" w:rsidR="009A1A36" w:rsidRPr="0026420A" w:rsidRDefault="009A1A36" w:rsidP="00CB0A00">
            <w:pPr>
              <w:ind w:firstLine="0"/>
            </w:pPr>
          </w:p>
        </w:tc>
      </w:tr>
      <w:tr w:rsidR="009A1A36" w:rsidRPr="0026420A" w14:paraId="4642F9C9" w14:textId="77777777" w:rsidTr="001F4857">
        <w:trPr>
          <w:trHeight w:val="300"/>
        </w:trPr>
        <w:tc>
          <w:tcPr>
            <w:tcW w:w="2206" w:type="dxa"/>
            <w:vMerge/>
            <w:tcMar>
              <w:top w:w="0" w:type="dxa"/>
              <w:left w:w="108" w:type="dxa"/>
              <w:bottom w:w="0" w:type="dxa"/>
              <w:right w:w="108" w:type="dxa"/>
            </w:tcMar>
          </w:tcPr>
          <w:p w14:paraId="67F985E6" w14:textId="77777777" w:rsidR="009A1A36" w:rsidRPr="0026420A" w:rsidRDefault="009A1A36" w:rsidP="00CB0A00">
            <w:pPr>
              <w:ind w:firstLine="0"/>
              <w:jc w:val="left"/>
              <w:rPr>
                <w:b/>
                <w:bCs/>
              </w:rPr>
            </w:pPr>
          </w:p>
        </w:tc>
        <w:tc>
          <w:tcPr>
            <w:tcW w:w="579" w:type="dxa"/>
            <w:tcMar>
              <w:top w:w="0" w:type="dxa"/>
              <w:left w:w="108" w:type="dxa"/>
              <w:bottom w:w="0" w:type="dxa"/>
              <w:right w:w="108" w:type="dxa"/>
            </w:tcMar>
          </w:tcPr>
          <w:p w14:paraId="6A92BDD1" w14:textId="77777777" w:rsidR="009A1A36" w:rsidRPr="0026420A" w:rsidRDefault="009A1A36" w:rsidP="00CB0A0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020EA900" w14:textId="77777777" w:rsidR="009A1A36" w:rsidRPr="0026420A" w:rsidRDefault="009A1A36" w:rsidP="00CB0A00">
            <w:pPr>
              <w:tabs>
                <w:tab w:val="left" w:pos="1635"/>
              </w:tabs>
              <w:ind w:firstLine="0"/>
              <w:rPr>
                <w:b/>
                <w:bCs/>
              </w:rPr>
            </w:pPr>
            <w:r w:rsidRPr="0026420A">
              <w:rPr>
                <w:b/>
                <w:bCs/>
              </w:rPr>
              <w:t>5. Autorizarea și supravegherea CASP: proporționalitate, externalizare, TIC și securitate cibernetică</w:t>
            </w:r>
          </w:p>
          <w:p w14:paraId="077626A4" w14:textId="77777777" w:rsidR="009A1A36" w:rsidRPr="0026420A" w:rsidRDefault="009A1A36" w:rsidP="00CB0A00">
            <w:pPr>
              <w:tabs>
                <w:tab w:val="left" w:pos="1635"/>
              </w:tabs>
              <w:ind w:firstLine="0"/>
            </w:pPr>
            <w:r w:rsidRPr="0026420A">
              <w:t>Cerințele de autorizare și supraveghere a CASP, inclusiv cele privind guvernanța, capitalul minim, auditul TIC, continuitatea activității și protecția clienților, sunt în principiu aliniate practicilor europene. Totuși, acestea pot genera sarcini semnificative, în special pentru operatorii mici sau pentru entitățile care desfășoară activități limitate ca volum și risc.</w:t>
            </w:r>
          </w:p>
          <w:p w14:paraId="5AB5198D" w14:textId="77777777" w:rsidR="009A1A36" w:rsidRPr="0026420A" w:rsidRDefault="009A1A36" w:rsidP="00CB0A00">
            <w:pPr>
              <w:tabs>
                <w:tab w:val="left" w:pos="1635"/>
              </w:tabs>
              <w:ind w:firstLine="0"/>
            </w:pPr>
            <w:r w:rsidRPr="0026420A">
              <w:t>Pentru predictibilitate, considerăm utilă precizarea în lege a elementelor esențiale ale standardelor tehnice care vor fi dezvoltate ulterior prin acte normative subsecvente.</w:t>
            </w:r>
          </w:p>
          <w:p w14:paraId="70A21AFD" w14:textId="77777777" w:rsidR="009A1A36" w:rsidRPr="0026420A" w:rsidRDefault="009A1A36" w:rsidP="00CB0A00">
            <w:pPr>
              <w:tabs>
                <w:tab w:val="left" w:pos="1635"/>
              </w:tabs>
              <w:ind w:firstLine="0"/>
            </w:pPr>
            <w:r w:rsidRPr="0026420A">
              <w:t>În special, se recomandă:</w:t>
            </w:r>
          </w:p>
          <w:p w14:paraId="15F25898" w14:textId="77777777" w:rsidR="009A1A36" w:rsidRPr="0026420A" w:rsidRDefault="009A1A36" w:rsidP="00CB0A00">
            <w:pPr>
              <w:tabs>
                <w:tab w:val="left" w:pos="1635"/>
              </w:tabs>
              <w:ind w:firstLine="0"/>
            </w:pPr>
            <w:r w:rsidRPr="0026420A">
              <w:lastRenderedPageBreak/>
              <w:t>a) introducerea unor criterii obiective pentru aplicarea principiului proporționalității, cum ar fi dimensiunea entității, volumul tranzacțiilor, tipul serviciilor prestate, numărul de clienți, complexitatea operațională și profilul de risc;</w:t>
            </w:r>
          </w:p>
          <w:p w14:paraId="0D3D7C4A" w14:textId="77777777" w:rsidR="009A1A36" w:rsidRPr="0026420A" w:rsidRDefault="009A1A36" w:rsidP="00CB0A00">
            <w:pPr>
              <w:tabs>
                <w:tab w:val="left" w:pos="1635"/>
              </w:tabs>
              <w:ind w:firstLine="0"/>
            </w:pPr>
            <w:r w:rsidRPr="0026420A">
              <w:t>b) aplicarea proporțională a cerințelor TIC, a auditului extern și a obligațiilor de raportare, în funcție de riscurile efective ale activității;</w:t>
            </w:r>
          </w:p>
          <w:p w14:paraId="0AD5D7C9" w14:textId="77777777" w:rsidR="009A1A36" w:rsidRPr="0026420A" w:rsidRDefault="009A1A36" w:rsidP="00CB0A00">
            <w:pPr>
              <w:tabs>
                <w:tab w:val="left" w:pos="1635"/>
              </w:tabs>
              <w:ind w:firstLine="0"/>
            </w:pPr>
            <w:r w:rsidRPr="0026420A">
              <w:t xml:space="preserve">c) stabilirea unor cerințe minime clare privind externalizarea și subcontractarea funcțiilor critice, inclusiv localizarea datelor, drepturile de acces ale autorităților, </w:t>
            </w:r>
            <w:proofErr w:type="spellStart"/>
            <w:r w:rsidRPr="0026420A">
              <w:t>auditabilitatea</w:t>
            </w:r>
            <w:proofErr w:type="spellEnd"/>
            <w:r w:rsidRPr="0026420A">
              <w:t xml:space="preserve"> serviciilor </w:t>
            </w:r>
            <w:proofErr w:type="spellStart"/>
            <w:r w:rsidRPr="0026420A">
              <w:t>externalizate</w:t>
            </w:r>
            <w:proofErr w:type="spellEnd"/>
            <w:r w:rsidRPr="0026420A">
              <w:t xml:space="preserve"> și răspunderea integrală a CASP pentru activitățile </w:t>
            </w:r>
            <w:proofErr w:type="spellStart"/>
            <w:r w:rsidRPr="0026420A">
              <w:t>externalizate</w:t>
            </w:r>
            <w:proofErr w:type="spellEnd"/>
            <w:r w:rsidRPr="0026420A">
              <w:t>;</w:t>
            </w:r>
          </w:p>
          <w:p w14:paraId="48C3F6A3" w14:textId="77777777" w:rsidR="009A1A36" w:rsidRPr="0026420A" w:rsidRDefault="009A1A36" w:rsidP="00CB0A00">
            <w:pPr>
              <w:tabs>
                <w:tab w:val="left" w:pos="1635"/>
              </w:tabs>
              <w:ind w:firstLine="0"/>
            </w:pPr>
            <w:r w:rsidRPr="0026420A">
              <w:t>d) corelarea cerințelor de securitate cibernetică cu Legea nr. 48/2023 privind securitatea cibernetică;</w:t>
            </w:r>
          </w:p>
          <w:p w14:paraId="20D9A308" w14:textId="77777777" w:rsidR="009A1A36" w:rsidRPr="0026420A" w:rsidRDefault="009A1A36" w:rsidP="00CB0A00">
            <w:pPr>
              <w:tabs>
                <w:tab w:val="left" w:pos="1635"/>
              </w:tabs>
              <w:ind w:firstLine="0"/>
            </w:pPr>
            <w:r w:rsidRPr="0026420A">
              <w:t xml:space="preserve">e) definirea unui set minim de controale pentru cheile private, administrarea portofelelor digitale, </w:t>
            </w:r>
            <w:proofErr w:type="spellStart"/>
            <w:r w:rsidRPr="0026420A">
              <w:t>wallet</w:t>
            </w:r>
            <w:proofErr w:type="spellEnd"/>
            <w:r w:rsidRPr="0026420A">
              <w:t xml:space="preserve"> management, prevenirea accesului neautorizat, răspunsul la incidente și raportarea incidentelor de securitate.</w:t>
            </w:r>
          </w:p>
          <w:p w14:paraId="58503F40" w14:textId="77777777" w:rsidR="009A1A36" w:rsidRPr="0026420A" w:rsidRDefault="009A1A36" w:rsidP="00CB0A00">
            <w:pPr>
              <w:tabs>
                <w:tab w:val="left" w:pos="1635"/>
              </w:tabs>
              <w:ind w:firstLine="0"/>
            </w:pPr>
            <w:r w:rsidRPr="0026420A">
              <w:t>Totodată, se impune clarificarea regimului aplicabil în următoarele situații:</w:t>
            </w:r>
          </w:p>
          <w:p w14:paraId="19974FD2" w14:textId="77777777" w:rsidR="009A1A36" w:rsidRPr="0026420A" w:rsidRDefault="009A1A36" w:rsidP="00CB0A00">
            <w:pPr>
              <w:tabs>
                <w:tab w:val="left" w:pos="1635"/>
              </w:tabs>
              <w:ind w:firstLine="0"/>
            </w:pPr>
            <w:r w:rsidRPr="0026420A">
              <w:t xml:space="preserve">a) prestarea transfrontalieră de servicii privind </w:t>
            </w:r>
            <w:proofErr w:type="spellStart"/>
            <w:r w:rsidRPr="0026420A">
              <w:t>criptoactivele</w:t>
            </w:r>
            <w:proofErr w:type="spellEnd"/>
            <w:r w:rsidRPr="0026420A">
              <w:t xml:space="preserve"> către rezidenți ai Republicii Moldova de către entități stabilite în alte jurisdicții, fără prezență locală;</w:t>
            </w:r>
          </w:p>
          <w:p w14:paraId="5CDDEF66" w14:textId="77777777" w:rsidR="009A1A36" w:rsidRPr="0026420A" w:rsidRDefault="009A1A36" w:rsidP="00CB0A00">
            <w:pPr>
              <w:tabs>
                <w:tab w:val="left" w:pos="1635"/>
              </w:tabs>
              <w:ind w:firstLine="0"/>
            </w:pPr>
            <w:r w:rsidRPr="0026420A">
              <w:t>b) suficiența registrului și a mecanismului de supraveghere propus pentru prevenirea arbitrajului reglementar în cazul prestatorilor străini;</w:t>
            </w:r>
          </w:p>
          <w:p w14:paraId="4935FA2A" w14:textId="77777777" w:rsidR="009A1A36" w:rsidRPr="0026420A" w:rsidRDefault="009A1A36" w:rsidP="00CB0A00">
            <w:pPr>
              <w:tabs>
                <w:tab w:val="left" w:pos="1635"/>
              </w:tabs>
              <w:ind w:firstLine="0"/>
            </w:pPr>
            <w:r w:rsidRPr="0026420A">
              <w:t>c) regimul juridic al interfețelor online și al furnizării de servicii către public prin aplicații mobile;</w:t>
            </w:r>
          </w:p>
          <w:p w14:paraId="36CAFC7E" w14:textId="77777777" w:rsidR="009A1A36" w:rsidRPr="0026420A" w:rsidRDefault="009A1A36" w:rsidP="00CB0A00">
            <w:pPr>
              <w:tabs>
                <w:tab w:val="left" w:pos="1635"/>
              </w:tabs>
              <w:ind w:firstLine="0"/>
            </w:pPr>
            <w:r w:rsidRPr="0026420A">
              <w:t>d) cerințele de informare precontractuală și de consimțământ explicit al clientului în mediul digital;</w:t>
            </w:r>
          </w:p>
          <w:p w14:paraId="1A88DF08" w14:textId="24454272" w:rsidR="009A1A36" w:rsidRPr="0026420A" w:rsidRDefault="009A1A36" w:rsidP="00CB0A00">
            <w:pPr>
              <w:tabs>
                <w:tab w:val="left" w:pos="1635"/>
              </w:tabs>
              <w:ind w:firstLine="0"/>
              <w:rPr>
                <w:b/>
                <w:bCs/>
              </w:rPr>
            </w:pPr>
            <w:r w:rsidRPr="0026420A">
              <w:t xml:space="preserve">e) operaționalizarea obligațiilor de păstrare a evidențelor și accesul autorităților la date atunci când infrastructura este de tip </w:t>
            </w:r>
            <w:proofErr w:type="spellStart"/>
            <w:r w:rsidRPr="0026420A">
              <w:t>cloud</w:t>
            </w:r>
            <w:proofErr w:type="spellEnd"/>
            <w:r w:rsidRPr="0026420A">
              <w:t>, iar furnizorul TIC este localizat în afara Republicii Moldova.</w:t>
            </w:r>
          </w:p>
        </w:tc>
        <w:tc>
          <w:tcPr>
            <w:tcW w:w="5281" w:type="dxa"/>
            <w:tcMar>
              <w:top w:w="0" w:type="dxa"/>
              <w:left w:w="108" w:type="dxa"/>
              <w:bottom w:w="0" w:type="dxa"/>
              <w:right w:w="108" w:type="dxa"/>
            </w:tcMar>
          </w:tcPr>
          <w:p w14:paraId="1012CCA2" w14:textId="77777777" w:rsidR="009A1A36" w:rsidRPr="0026420A" w:rsidRDefault="009A1A36" w:rsidP="00AB2321">
            <w:pPr>
              <w:ind w:firstLine="0"/>
              <w:rPr>
                <w:b/>
                <w:bCs/>
              </w:rPr>
            </w:pPr>
            <w:r w:rsidRPr="0026420A">
              <w:rPr>
                <w:b/>
                <w:bCs/>
              </w:rPr>
              <w:lastRenderedPageBreak/>
              <w:t>Se acceptă parțial</w:t>
            </w:r>
          </w:p>
          <w:p w14:paraId="3C4125B0" w14:textId="77777777" w:rsidR="009A1A36" w:rsidRPr="0026420A" w:rsidRDefault="009A1A36" w:rsidP="00AB2321">
            <w:pPr>
              <w:ind w:firstLine="0"/>
            </w:pPr>
            <w:r w:rsidRPr="0026420A">
              <w:t xml:space="preserve">Proiectul de lege instituie cadrul primar de autorizare și supraveghere a furnizorilor de servicii de </w:t>
            </w:r>
            <w:proofErr w:type="spellStart"/>
            <w:r w:rsidRPr="0026420A">
              <w:t>criptoactive</w:t>
            </w:r>
            <w:proofErr w:type="spellEnd"/>
            <w:r w:rsidRPr="0026420A">
              <w:t xml:space="preserve">, inclusiv cerințele esențiale privind guvernanța, cerințele prudențiale, continuitatea activității, protecția clienților, administrarea riscurilor, sistemele TIC, externalizarea și obligațiile de păstrare a evidențelor, în conformitate cu logica </w:t>
            </w:r>
            <w:proofErr w:type="spellStart"/>
            <w:r w:rsidRPr="0026420A">
              <w:t>MiCA</w:t>
            </w:r>
            <w:proofErr w:type="spellEnd"/>
            <w:r w:rsidRPr="0026420A">
              <w:t>.</w:t>
            </w:r>
          </w:p>
          <w:p w14:paraId="2A4FABAD" w14:textId="77777777" w:rsidR="009A1A36" w:rsidRPr="0026420A" w:rsidRDefault="009A1A36" w:rsidP="00AB2321">
            <w:pPr>
              <w:ind w:firstLine="0"/>
            </w:pPr>
            <w:r w:rsidRPr="0026420A">
              <w:t xml:space="preserve">În ceea ce privește externalizarea funcțiilor critice, proiectul stabilește la art. 66 principiul răspunderii juridice depline a furnizorului de servicii de </w:t>
            </w:r>
            <w:proofErr w:type="spellStart"/>
            <w:r w:rsidRPr="0026420A">
              <w:t>criptoactive</w:t>
            </w:r>
            <w:proofErr w:type="spellEnd"/>
            <w:r w:rsidRPr="0026420A">
              <w:t xml:space="preserve"> pentru activitățile </w:t>
            </w:r>
            <w:proofErr w:type="spellStart"/>
            <w:r w:rsidRPr="0026420A">
              <w:t>externalizate</w:t>
            </w:r>
            <w:proofErr w:type="spellEnd"/>
            <w:r w:rsidRPr="0026420A">
              <w:t xml:space="preserve">, indiferent de locația infrastructurii TIC sau de faptul că furnizorul de servicii TIC este localizat în afara Republicii Moldova. Totodată, prestarea transfrontalieră de </w:t>
            </w:r>
            <w:r w:rsidRPr="0026420A">
              <w:lastRenderedPageBreak/>
              <w:t xml:space="preserve">servicii de </w:t>
            </w:r>
            <w:proofErr w:type="spellStart"/>
            <w:r w:rsidRPr="0026420A">
              <w:t>criptoactive</w:t>
            </w:r>
            <w:proofErr w:type="spellEnd"/>
            <w:r w:rsidRPr="0026420A">
              <w:t xml:space="preserve"> către rezidenții Republicii Moldova de către entități stabilite în alte jurisdicții, fără prezență locală, este admisă doar în condițiile strict prevăzute de proiect, inclusiv în cazul furnizării serviciilor la inițiativa exclusivă a clientului, potrivit art. 55.</w:t>
            </w:r>
          </w:p>
          <w:p w14:paraId="4D79E46A" w14:textId="77777777" w:rsidR="009A1A36" w:rsidRPr="0026420A" w:rsidRDefault="009A1A36" w:rsidP="00AB2321">
            <w:pPr>
              <w:ind w:firstLine="0"/>
            </w:pPr>
            <w:r w:rsidRPr="0026420A">
              <w:t xml:space="preserve">Aspectele invocate privind criteriile detaliate de proporționalitate, auditul TIC, localizarea datelor, accesul autorităților la infrastructuri </w:t>
            </w:r>
            <w:proofErr w:type="spellStart"/>
            <w:r w:rsidRPr="0026420A">
              <w:t>externalizate</w:t>
            </w:r>
            <w:proofErr w:type="spellEnd"/>
            <w:r w:rsidRPr="0026420A">
              <w:t xml:space="preserve"> sau </w:t>
            </w:r>
            <w:proofErr w:type="spellStart"/>
            <w:r w:rsidRPr="0026420A">
              <w:t>cloud</w:t>
            </w:r>
            <w:proofErr w:type="spellEnd"/>
            <w:r w:rsidRPr="0026420A">
              <w:t>, controalele privind cheile private, administrarea portofelelor digitale, raportarea incidentelor, interfețele online, aplicațiile mobile și mecanismele de contractare electronică reprezintă elemente tehnice și operaționale de aplicare.</w:t>
            </w:r>
          </w:p>
          <w:p w14:paraId="583C84CF" w14:textId="77777777" w:rsidR="009A1A36" w:rsidRPr="0026420A" w:rsidRDefault="009A1A36" w:rsidP="00AB2321">
            <w:pPr>
              <w:ind w:firstLine="0"/>
            </w:pPr>
            <w:r w:rsidRPr="0026420A">
              <w:t>Aceste elemente urmează să fie dezvoltate prin acte normative subsecvente, reglementări privind reziliența operațională digitală adoptate de autoritățile competente, ghiduri de supraveghere și, după caz, prin corelare cu legislația privind securitatea cibernetică, inclusiv Legea nr. 48/2023, precum și cu standardele tehnice europene relevante.</w:t>
            </w:r>
          </w:p>
          <w:p w14:paraId="0FE10329" w14:textId="24BFCBEC" w:rsidR="009A1A36" w:rsidRPr="0026420A" w:rsidRDefault="009A1A36" w:rsidP="00B26E40">
            <w:pPr>
              <w:ind w:firstLine="0"/>
            </w:pPr>
            <w:r w:rsidRPr="0026420A">
              <w:t xml:space="preserve">Reglementarea detaliată a acestor aspecte în legea primară ar rigidiza cadrul normativ și ar reduce capacitatea autorităților competente de a aplica proporțional cerințele în funcție de natura serviciilor, volumul activității, complexitatea operațională și profilul de risc al fiecărui furnizor de servicii de </w:t>
            </w:r>
            <w:proofErr w:type="spellStart"/>
            <w:r w:rsidRPr="0026420A">
              <w:t>criptoactive</w:t>
            </w:r>
            <w:proofErr w:type="spellEnd"/>
            <w:r w:rsidRPr="0026420A">
              <w:t>.</w:t>
            </w:r>
          </w:p>
        </w:tc>
      </w:tr>
      <w:tr w:rsidR="009A1A36" w:rsidRPr="0026420A" w14:paraId="79D2B96D" w14:textId="77777777" w:rsidTr="001F4857">
        <w:trPr>
          <w:trHeight w:val="300"/>
        </w:trPr>
        <w:tc>
          <w:tcPr>
            <w:tcW w:w="2206" w:type="dxa"/>
            <w:vMerge/>
            <w:tcMar>
              <w:top w:w="0" w:type="dxa"/>
              <w:left w:w="108" w:type="dxa"/>
              <w:bottom w:w="0" w:type="dxa"/>
              <w:right w:w="108" w:type="dxa"/>
            </w:tcMar>
          </w:tcPr>
          <w:p w14:paraId="75299C1B" w14:textId="77777777" w:rsidR="009A1A36" w:rsidRPr="0026420A" w:rsidRDefault="009A1A36" w:rsidP="00CB0A00">
            <w:pPr>
              <w:ind w:firstLine="0"/>
              <w:jc w:val="left"/>
              <w:rPr>
                <w:b/>
                <w:bCs/>
              </w:rPr>
            </w:pPr>
          </w:p>
        </w:tc>
        <w:tc>
          <w:tcPr>
            <w:tcW w:w="579" w:type="dxa"/>
            <w:tcMar>
              <w:top w:w="0" w:type="dxa"/>
              <w:left w:w="108" w:type="dxa"/>
              <w:bottom w:w="0" w:type="dxa"/>
              <w:right w:w="108" w:type="dxa"/>
            </w:tcMar>
          </w:tcPr>
          <w:p w14:paraId="5856B72F" w14:textId="77777777" w:rsidR="009A1A36" w:rsidRPr="0026420A" w:rsidRDefault="009A1A36" w:rsidP="00CB0A0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0994561E" w14:textId="77777777" w:rsidR="009A1A36" w:rsidRPr="0026420A" w:rsidRDefault="009A1A36" w:rsidP="00CB0A00">
            <w:pPr>
              <w:tabs>
                <w:tab w:val="left" w:pos="1635"/>
              </w:tabs>
              <w:ind w:firstLine="0"/>
              <w:rPr>
                <w:b/>
                <w:bCs/>
              </w:rPr>
            </w:pPr>
            <w:r w:rsidRPr="0026420A">
              <w:rPr>
                <w:b/>
                <w:bCs/>
              </w:rPr>
              <w:t xml:space="preserve">6. Protecția consumatorilor, transparența, cartea albă și publicitatea </w:t>
            </w:r>
          </w:p>
          <w:p w14:paraId="1AB867AF" w14:textId="77777777" w:rsidR="009A1A36" w:rsidRPr="0026420A" w:rsidRDefault="009A1A36" w:rsidP="00CB0A00">
            <w:pPr>
              <w:tabs>
                <w:tab w:val="left" w:pos="1635"/>
              </w:tabs>
              <w:ind w:firstLine="0"/>
            </w:pPr>
            <w:r w:rsidRPr="0026420A">
              <w:t xml:space="preserve">Proiectul introduce exigențe importante privind cartea albă, comunicările publicitare, avertismentele de risc și dreptul de retragere pentru investitorii retail în anumite condiții. Aceste prevederi sunt necesare pentru protecția consumatorilor, dar eficacitatea lor depinde de claritatea aplicării practice. </w:t>
            </w:r>
          </w:p>
          <w:p w14:paraId="2F6E738D" w14:textId="77777777" w:rsidR="009A1A36" w:rsidRPr="0026420A" w:rsidRDefault="009A1A36" w:rsidP="00CB0A00">
            <w:pPr>
              <w:tabs>
                <w:tab w:val="left" w:pos="1635"/>
              </w:tabs>
              <w:ind w:firstLine="0"/>
            </w:pPr>
            <w:r w:rsidRPr="0026420A">
              <w:t xml:space="preserve">În acest sens, se recomandă clarificarea următoarelor aspecte: </w:t>
            </w:r>
          </w:p>
          <w:p w14:paraId="3B53ACEF" w14:textId="77777777" w:rsidR="009A1A36" w:rsidRPr="0026420A" w:rsidRDefault="009A1A36" w:rsidP="00CB0A00">
            <w:pPr>
              <w:tabs>
                <w:tab w:val="left" w:pos="1635"/>
              </w:tabs>
              <w:ind w:firstLine="0"/>
            </w:pPr>
            <w:r w:rsidRPr="0026420A">
              <w:t xml:space="preserve">a) modul de aplicare a dreptului de retragere de 14 zile pentru clienții retail </w:t>
            </w:r>
          </w:p>
          <w:p w14:paraId="141E15F5" w14:textId="77777777" w:rsidR="009A1A36" w:rsidRPr="0026420A" w:rsidRDefault="009A1A36" w:rsidP="00CB0A00">
            <w:pPr>
              <w:tabs>
                <w:tab w:val="left" w:pos="1635"/>
              </w:tabs>
              <w:ind w:firstLine="0"/>
            </w:pPr>
            <w:r w:rsidRPr="0026420A">
              <w:lastRenderedPageBreak/>
              <w:t xml:space="preserve">atunci când </w:t>
            </w:r>
            <w:proofErr w:type="spellStart"/>
            <w:r w:rsidRPr="0026420A">
              <w:t>criptoactivul</w:t>
            </w:r>
            <w:proofErr w:type="spellEnd"/>
            <w:r w:rsidRPr="0026420A">
              <w:t xml:space="preserve"> este achiziționat prin intermediul unui CASP și este transferat imediat către un portofel extern al clientului; </w:t>
            </w:r>
          </w:p>
          <w:p w14:paraId="613D1645" w14:textId="77777777" w:rsidR="009A1A36" w:rsidRPr="0026420A" w:rsidRDefault="009A1A36" w:rsidP="00CB0A00">
            <w:pPr>
              <w:tabs>
                <w:tab w:val="left" w:pos="1635"/>
              </w:tabs>
              <w:ind w:firstLine="0"/>
            </w:pPr>
            <w:r w:rsidRPr="0026420A">
              <w:t xml:space="preserve">b) dacă, în asemenea situații, sunt prevăzute mecanisme de reversare, înghețare, condiționare a transferului sau alte măsuri operaționale care să permită exercitarea efectivă a dreptului de retragere; </w:t>
            </w:r>
          </w:p>
          <w:p w14:paraId="7F8C2CBB" w14:textId="77777777" w:rsidR="009A1A36" w:rsidRPr="0026420A" w:rsidRDefault="009A1A36" w:rsidP="00CB0A00">
            <w:pPr>
              <w:tabs>
                <w:tab w:val="left" w:pos="1635"/>
              </w:tabs>
              <w:ind w:firstLine="0"/>
            </w:pPr>
            <w:r w:rsidRPr="0026420A">
              <w:t xml:space="preserve">c) criteriile de evaluare a caracterului clar, corect și neînșelător al comunicărilor de marketing online, inclusiv în cazul </w:t>
            </w:r>
            <w:proofErr w:type="spellStart"/>
            <w:r w:rsidRPr="0026420A">
              <w:t>influencerilor</w:t>
            </w:r>
            <w:proofErr w:type="spellEnd"/>
            <w:r w:rsidRPr="0026420A">
              <w:t xml:space="preserve">, programelor de afiliere și programelor de recomandare; </w:t>
            </w:r>
          </w:p>
          <w:p w14:paraId="3F9CEFB4" w14:textId="77777777" w:rsidR="009A1A36" w:rsidRPr="0026420A" w:rsidRDefault="009A1A36" w:rsidP="00CB0A00">
            <w:pPr>
              <w:tabs>
                <w:tab w:val="left" w:pos="1635"/>
              </w:tabs>
              <w:ind w:firstLine="0"/>
            </w:pPr>
            <w:r w:rsidRPr="0026420A">
              <w:t xml:space="preserve">d) responsabilitățile pentru actualizarea rapidă a cărții albe în cazul apariției unor evenimente semnificative; </w:t>
            </w:r>
          </w:p>
          <w:p w14:paraId="02A4AA48" w14:textId="77777777" w:rsidR="009A1A36" w:rsidRPr="0026420A" w:rsidRDefault="009A1A36" w:rsidP="00CB0A00">
            <w:pPr>
              <w:tabs>
                <w:tab w:val="left" w:pos="1635"/>
              </w:tabs>
              <w:ind w:firstLine="0"/>
            </w:pPr>
            <w:r w:rsidRPr="0026420A">
              <w:t xml:space="preserve">e) sancțiunile specifice pentru omisiuni materiale, informații incomplete sau informații care pot induce în eroare, mai ales având în vedere că, în multe cazuri, cartea albă nu este aprobată ex ante. </w:t>
            </w:r>
          </w:p>
          <w:p w14:paraId="11BE7E30" w14:textId="02253020" w:rsidR="009A1A36" w:rsidRPr="0026420A" w:rsidRDefault="009A1A36" w:rsidP="00CB0A00">
            <w:pPr>
              <w:tabs>
                <w:tab w:val="left" w:pos="1635"/>
              </w:tabs>
              <w:ind w:firstLine="0"/>
              <w:rPr>
                <w:b/>
                <w:bCs/>
              </w:rPr>
            </w:pPr>
            <w:r w:rsidRPr="0026420A">
              <w:t xml:space="preserve">Totodată, se recomandă stabilirea unor standarde minime de informare precontractuală pentru interfețele online și aplicațiile mobile, astfel încât clientul să înțeleagă în mod real riscurile aferente </w:t>
            </w:r>
            <w:proofErr w:type="spellStart"/>
            <w:r w:rsidRPr="0026420A">
              <w:t>criptoactivelor</w:t>
            </w:r>
            <w:proofErr w:type="spellEnd"/>
            <w:r w:rsidRPr="0026420A">
              <w:t>, natura juridică a produsului, costurile, comisioanele, posibilitatea pierderii valorii și lipsa unor garanții similare celor aplicabile depozitelor bancare.</w:t>
            </w:r>
          </w:p>
        </w:tc>
        <w:tc>
          <w:tcPr>
            <w:tcW w:w="5281" w:type="dxa"/>
            <w:tcMar>
              <w:top w:w="0" w:type="dxa"/>
              <w:left w:w="108" w:type="dxa"/>
              <w:bottom w:w="0" w:type="dxa"/>
              <w:right w:w="108" w:type="dxa"/>
            </w:tcMar>
          </w:tcPr>
          <w:p w14:paraId="7DFC94B2" w14:textId="77777777" w:rsidR="009A1A36" w:rsidRPr="0026420A" w:rsidRDefault="009A1A36" w:rsidP="0006572A">
            <w:pPr>
              <w:ind w:firstLine="0"/>
              <w:rPr>
                <w:b/>
                <w:bCs/>
              </w:rPr>
            </w:pPr>
            <w:r w:rsidRPr="0026420A">
              <w:rPr>
                <w:b/>
                <w:bCs/>
              </w:rPr>
              <w:lastRenderedPageBreak/>
              <w:t>Se acceptă parțial</w:t>
            </w:r>
          </w:p>
          <w:p w14:paraId="5DE17A15" w14:textId="77777777" w:rsidR="009A1A36" w:rsidRPr="0026420A" w:rsidRDefault="009A1A36" w:rsidP="0006572A">
            <w:pPr>
              <w:ind w:firstLine="0"/>
            </w:pPr>
            <w:r w:rsidRPr="0026420A">
              <w:t xml:space="preserve">Proiectul de lege instituie cadrul primar privind protecția deținătorilor și a clienților, inclusiv cerințele privind cartea albă, rezumatul acesteia, comunicările publicitare, avertismentele de risc, răspunderea pentru informații incomplete sau înșelătoare și dreptul de retragere al deținătorilor retail, în condițiile prevăzute de proiect. Totodată, proiectul prevede expres informații obligatorii care trebuie aduse la cunoștința potențialilor deținători, inclusiv faptul că </w:t>
            </w:r>
            <w:proofErr w:type="spellStart"/>
            <w:r w:rsidRPr="0026420A">
              <w:t>criptoactivul</w:t>
            </w:r>
            <w:proofErr w:type="spellEnd"/>
            <w:r w:rsidRPr="0026420A">
              <w:t xml:space="preserve"> își poate pierde parțial sau integral valoarea, poate să nu fie lichid, poate să nu poată fi </w:t>
            </w:r>
            <w:r w:rsidRPr="0026420A">
              <w:lastRenderedPageBreak/>
              <w:t>transferat întotdeauna și nu beneficiază de garanții similare celor aferente depozitelor bancare sau sistemelor de compensare a investitorilor.</w:t>
            </w:r>
          </w:p>
          <w:p w14:paraId="2E155691" w14:textId="77777777" w:rsidR="009A1A36" w:rsidRPr="0026420A" w:rsidRDefault="009A1A36" w:rsidP="0006572A">
            <w:pPr>
              <w:ind w:firstLine="0"/>
            </w:pPr>
            <w:r w:rsidRPr="0026420A">
              <w:t xml:space="preserve">Aspectele invocate privind mecanismele operaționale de exercitare a dreptului de retragere, inclusiv în cazul transferului </w:t>
            </w:r>
            <w:proofErr w:type="spellStart"/>
            <w:r w:rsidRPr="0026420A">
              <w:t>criptoactivelor</w:t>
            </w:r>
            <w:proofErr w:type="spellEnd"/>
            <w:r w:rsidRPr="0026420A">
              <w:t xml:space="preserve"> către portofele externe, reversarea sau condiționarea transferurilor, criteriile detaliate de evaluare a comunicărilor publicitare online, activitatea </w:t>
            </w:r>
            <w:proofErr w:type="spellStart"/>
            <w:r w:rsidRPr="0026420A">
              <w:t>influencerilor</w:t>
            </w:r>
            <w:proofErr w:type="spellEnd"/>
            <w:r w:rsidRPr="0026420A">
              <w:t>, programele de afiliere și standardele de informare precontractuală în aplicații mobile sau interfețe digitale reprezintă elemente tehnice și operaționale de aplicare.</w:t>
            </w:r>
          </w:p>
          <w:p w14:paraId="53FBB16E" w14:textId="03A6B17A" w:rsidR="009A1A36" w:rsidRPr="0026420A" w:rsidRDefault="009A1A36" w:rsidP="00890AD2">
            <w:pPr>
              <w:ind w:firstLine="0"/>
            </w:pPr>
            <w:r w:rsidRPr="0026420A">
              <w:t>Aceste elemente urmează să fie dezvoltate prin acte normative subsecvente, ghiduri de supraveghere și standarde tehnice elaborate în linie cu cadrul european ESMA/EBA și cu actele delegate și de punere în aplicare relevante. Reglementarea exhaustivă a acestor aspecte la nivelul legii primare ar rigidiza cadrul normativ și ar reduce capacitatea autorităților competente de a adapta cerințele la evoluțiile tehnologice, modelele de distribuție digitală și profilul de risc al produselor și serviciilor oferite</w:t>
            </w:r>
            <w:r w:rsidRPr="0026420A">
              <w:rPr>
                <w:b/>
                <w:bCs/>
              </w:rPr>
              <w:t>.</w:t>
            </w:r>
          </w:p>
        </w:tc>
      </w:tr>
      <w:tr w:rsidR="009A1A36" w:rsidRPr="0026420A" w14:paraId="4DE7EDC2" w14:textId="77777777" w:rsidTr="001F4857">
        <w:trPr>
          <w:trHeight w:val="300"/>
        </w:trPr>
        <w:tc>
          <w:tcPr>
            <w:tcW w:w="2206" w:type="dxa"/>
            <w:vMerge/>
            <w:tcMar>
              <w:top w:w="0" w:type="dxa"/>
              <w:left w:w="108" w:type="dxa"/>
              <w:bottom w:w="0" w:type="dxa"/>
              <w:right w:w="108" w:type="dxa"/>
            </w:tcMar>
          </w:tcPr>
          <w:p w14:paraId="7DF5E43E" w14:textId="77777777" w:rsidR="009A1A36" w:rsidRPr="0026420A" w:rsidRDefault="009A1A36" w:rsidP="00CB0A00">
            <w:pPr>
              <w:ind w:firstLine="0"/>
              <w:jc w:val="left"/>
              <w:rPr>
                <w:b/>
                <w:bCs/>
              </w:rPr>
            </w:pPr>
          </w:p>
        </w:tc>
        <w:tc>
          <w:tcPr>
            <w:tcW w:w="579" w:type="dxa"/>
            <w:tcMar>
              <w:top w:w="0" w:type="dxa"/>
              <w:left w:w="108" w:type="dxa"/>
              <w:bottom w:w="0" w:type="dxa"/>
              <w:right w:w="108" w:type="dxa"/>
            </w:tcMar>
          </w:tcPr>
          <w:p w14:paraId="5D420B8C" w14:textId="77777777" w:rsidR="009A1A36" w:rsidRPr="0026420A" w:rsidRDefault="009A1A36" w:rsidP="00CB0A0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0A6AE0BC" w14:textId="77777777" w:rsidR="009A1A36" w:rsidRPr="0026420A" w:rsidRDefault="009A1A36" w:rsidP="00CB0A00">
            <w:pPr>
              <w:tabs>
                <w:tab w:val="left" w:pos="1635"/>
              </w:tabs>
              <w:ind w:firstLine="0"/>
              <w:rPr>
                <w:b/>
                <w:bCs/>
              </w:rPr>
            </w:pPr>
            <w:r w:rsidRPr="0026420A">
              <w:rPr>
                <w:b/>
                <w:bCs/>
              </w:rPr>
              <w:t xml:space="preserve">7. Prevenirea abuzului de piață și integritatea piețelor </w:t>
            </w:r>
            <w:proofErr w:type="spellStart"/>
            <w:r w:rsidRPr="0026420A">
              <w:rPr>
                <w:b/>
                <w:bCs/>
              </w:rPr>
              <w:t>cripto</w:t>
            </w:r>
            <w:proofErr w:type="spellEnd"/>
            <w:r w:rsidRPr="0026420A">
              <w:rPr>
                <w:b/>
                <w:bCs/>
              </w:rPr>
              <w:t xml:space="preserve"> </w:t>
            </w:r>
          </w:p>
          <w:p w14:paraId="413C4EC2" w14:textId="77777777" w:rsidR="009A1A36" w:rsidRPr="0026420A" w:rsidRDefault="009A1A36" w:rsidP="00CB0A00">
            <w:pPr>
              <w:tabs>
                <w:tab w:val="left" w:pos="1635"/>
              </w:tabs>
              <w:ind w:firstLine="0"/>
            </w:pPr>
            <w:r w:rsidRPr="0026420A">
              <w:t xml:space="preserve">ABM consideră binevenită introducerea unui regim privind informațiile privilegiate, manipularea pieței și integritatea piețelor </w:t>
            </w:r>
            <w:proofErr w:type="spellStart"/>
            <w:r w:rsidRPr="0026420A">
              <w:t>cripto</w:t>
            </w:r>
            <w:proofErr w:type="spellEnd"/>
            <w:r w:rsidRPr="0026420A">
              <w:t xml:space="preserve">. Din perspectiva sectorului bancar, este important ca obligațiile de monitorizare și raportare să fie clar definite, inclusiv pentru platforme, CASP și instituțiile de credit care pot interacționa cu aceste entități. </w:t>
            </w:r>
          </w:p>
          <w:p w14:paraId="41A646BD" w14:textId="77777777" w:rsidR="009A1A36" w:rsidRPr="0026420A" w:rsidRDefault="009A1A36" w:rsidP="00CB0A00">
            <w:pPr>
              <w:tabs>
                <w:tab w:val="left" w:pos="1635"/>
              </w:tabs>
              <w:ind w:firstLine="0"/>
            </w:pPr>
            <w:r w:rsidRPr="0026420A">
              <w:t xml:space="preserve">În acest sens, se recomandă: </w:t>
            </w:r>
          </w:p>
          <w:p w14:paraId="22F48778" w14:textId="77777777" w:rsidR="009A1A36" w:rsidRPr="0026420A" w:rsidRDefault="009A1A36" w:rsidP="00CB0A00">
            <w:pPr>
              <w:tabs>
                <w:tab w:val="left" w:pos="1635"/>
              </w:tabs>
              <w:ind w:firstLine="0"/>
            </w:pPr>
            <w:r w:rsidRPr="0026420A">
              <w:t xml:space="preserve">a) clarificarea obligațiilor de raportare a suspiciunilor de abuz de piață, inclusiv canalele de raportare, termenele, conținutul minim al raportării și autoritatea competentă; </w:t>
            </w:r>
          </w:p>
          <w:p w14:paraId="19FDD306" w14:textId="77777777" w:rsidR="009A1A36" w:rsidRPr="0026420A" w:rsidRDefault="009A1A36" w:rsidP="00CB0A00">
            <w:pPr>
              <w:tabs>
                <w:tab w:val="left" w:pos="1635"/>
              </w:tabs>
              <w:ind w:firstLine="0"/>
            </w:pPr>
            <w:r w:rsidRPr="0026420A">
              <w:t xml:space="preserve">b) coordonarea obligațiilor de raportare a suspiciunilor de abuz de piață cu obligațiile AML/CFT, pentru a evita raportările paralele, inconsistente sau insuficient corelate; </w:t>
            </w:r>
          </w:p>
          <w:p w14:paraId="39954B25" w14:textId="77777777" w:rsidR="009A1A36" w:rsidRPr="0026420A" w:rsidRDefault="009A1A36" w:rsidP="00CB0A00">
            <w:pPr>
              <w:tabs>
                <w:tab w:val="left" w:pos="1635"/>
              </w:tabs>
              <w:ind w:firstLine="0"/>
            </w:pPr>
            <w:r w:rsidRPr="0026420A">
              <w:t xml:space="preserve">c) detalierea regulilor de admitere la tranzacționare a </w:t>
            </w:r>
            <w:proofErr w:type="spellStart"/>
            <w:r w:rsidRPr="0026420A">
              <w:t>criptoactivelor</w:t>
            </w:r>
            <w:proofErr w:type="spellEnd"/>
            <w:r w:rsidRPr="0026420A">
              <w:t xml:space="preserve">; </w:t>
            </w:r>
          </w:p>
          <w:p w14:paraId="2F70AC99" w14:textId="77777777" w:rsidR="009A1A36" w:rsidRPr="004E4AA2" w:rsidRDefault="009A1A36" w:rsidP="00CB0A00">
            <w:pPr>
              <w:tabs>
                <w:tab w:val="left" w:pos="1635"/>
              </w:tabs>
              <w:ind w:firstLine="0"/>
            </w:pPr>
            <w:r w:rsidRPr="0026420A">
              <w:t xml:space="preserve">d) stabilirea criteriilor de </w:t>
            </w:r>
            <w:r w:rsidRPr="004E4AA2">
              <w:t xml:space="preserve">excludere sau </w:t>
            </w:r>
            <w:proofErr w:type="spellStart"/>
            <w:r w:rsidRPr="004E4AA2">
              <w:t>delistare</w:t>
            </w:r>
            <w:proofErr w:type="spellEnd"/>
            <w:r w:rsidRPr="004E4AA2">
              <w:t xml:space="preserve"> pentru </w:t>
            </w:r>
            <w:proofErr w:type="spellStart"/>
            <w:r w:rsidRPr="004E4AA2">
              <w:t>criptoactivele</w:t>
            </w:r>
            <w:proofErr w:type="spellEnd"/>
            <w:r w:rsidRPr="004E4AA2">
              <w:t xml:space="preserve"> cu risc sporit, inclusiv cele care includ funcții de anonimizare; </w:t>
            </w:r>
          </w:p>
          <w:p w14:paraId="49C1CF5A" w14:textId="109A417A" w:rsidR="009A1A36" w:rsidRPr="0026420A" w:rsidRDefault="009A1A36" w:rsidP="00CB0A00">
            <w:pPr>
              <w:tabs>
                <w:tab w:val="left" w:pos="1635"/>
              </w:tabs>
              <w:ind w:firstLine="0"/>
              <w:rPr>
                <w:b/>
                <w:bCs/>
              </w:rPr>
            </w:pPr>
            <w:r w:rsidRPr="004E4AA2">
              <w:t xml:space="preserve">e) clarificarea impactului </w:t>
            </w:r>
            <w:proofErr w:type="spellStart"/>
            <w:r w:rsidRPr="004E4AA2">
              <w:t>delistării</w:t>
            </w:r>
            <w:proofErr w:type="spellEnd"/>
            <w:r w:rsidRPr="004E4AA2">
              <w:t xml:space="preserve"> asupra clienților </w:t>
            </w:r>
            <w:r w:rsidRPr="0026420A">
              <w:t>existenți, inclusiv asupra drepturilor acestora, perioadelor de tranziție, posibilității de retragere a activelor și obligațiilor de informare.</w:t>
            </w:r>
          </w:p>
        </w:tc>
        <w:tc>
          <w:tcPr>
            <w:tcW w:w="5281" w:type="dxa"/>
            <w:tcMar>
              <w:top w:w="0" w:type="dxa"/>
              <w:left w:w="108" w:type="dxa"/>
              <w:bottom w:w="0" w:type="dxa"/>
              <w:right w:w="108" w:type="dxa"/>
            </w:tcMar>
          </w:tcPr>
          <w:p w14:paraId="79277783" w14:textId="77777777" w:rsidR="009A1A36" w:rsidRPr="0026420A" w:rsidRDefault="009A1A36" w:rsidP="008474A3">
            <w:pPr>
              <w:ind w:firstLine="0"/>
              <w:rPr>
                <w:b/>
                <w:bCs/>
              </w:rPr>
            </w:pPr>
            <w:r w:rsidRPr="0026420A">
              <w:rPr>
                <w:b/>
                <w:bCs/>
              </w:rPr>
              <w:t>Se acceptă parțial</w:t>
            </w:r>
          </w:p>
          <w:p w14:paraId="7A20C76F" w14:textId="77777777" w:rsidR="009A1A36" w:rsidRPr="0026420A" w:rsidRDefault="009A1A36" w:rsidP="008474A3">
            <w:pPr>
              <w:ind w:firstLine="0"/>
            </w:pPr>
            <w:r w:rsidRPr="0026420A">
              <w:t xml:space="preserve">Proiectul de lege transpune cadrul </w:t>
            </w:r>
            <w:proofErr w:type="spellStart"/>
            <w:r w:rsidRPr="0026420A">
              <w:t>MiCA</w:t>
            </w:r>
            <w:proofErr w:type="spellEnd"/>
            <w:r w:rsidRPr="0026420A">
              <w:t xml:space="preserve"> privind prevenirea și sancționarea abuzului de piață, stabilind la nivel de lege primară interdicțiile fundamentale, obligațiile de prevenire, detectare și raportare a suspiciunilor de abuz de piață, precum și atribuțiile autorității competente în materia integrității pieței </w:t>
            </w:r>
            <w:proofErr w:type="spellStart"/>
            <w:r w:rsidRPr="0026420A">
              <w:t>criptoactivelor</w:t>
            </w:r>
            <w:proofErr w:type="spellEnd"/>
            <w:r w:rsidRPr="0026420A">
              <w:t>. În acest sens, proiectul include obligații privind notificarea sau raportarea fără întârzieri nejustificate a suspiciunilor rezonabile referitoare la ordine, tranzacții, abuz de piață sau tentative de abuz de piață, inclusiv în cadrul ori prin intermediul sistemelor de tranzacționare.</w:t>
            </w:r>
          </w:p>
          <w:p w14:paraId="2B3C9334" w14:textId="568FEE6D" w:rsidR="009A1A36" w:rsidRPr="0026420A" w:rsidRDefault="009A1A36" w:rsidP="00AB2321">
            <w:pPr>
              <w:ind w:firstLine="0"/>
            </w:pPr>
            <w:r w:rsidRPr="0026420A">
              <w:t xml:space="preserve">Aspectele invocate privind canalele tehnice de raportare, termenele operaționale, conținutul minim al raportărilor, corelarea procedurală cu fluxurile AML/CFT, criteriile specifice de suspendare, excludere sau </w:t>
            </w:r>
            <w:proofErr w:type="spellStart"/>
            <w:r w:rsidRPr="0026420A">
              <w:t>delistare</w:t>
            </w:r>
            <w:proofErr w:type="spellEnd"/>
            <w:r w:rsidRPr="0026420A">
              <w:t xml:space="preserve"> a </w:t>
            </w:r>
            <w:proofErr w:type="spellStart"/>
            <w:r w:rsidRPr="0026420A">
              <w:t>criptoactivelor</w:t>
            </w:r>
            <w:proofErr w:type="spellEnd"/>
            <w:r w:rsidRPr="0026420A">
              <w:t xml:space="preserve"> cu risc sporit și măsurile aplicabile clienților existenți reprezintă elemente de aplicare care excedă nivelul legii primare. Acestea urmează să fie dezvoltate prin acte normative subsecvente ale autorității competente, inclusiv în temeiul atribuțiilor de reglementare prevăzute de proiect, în </w:t>
            </w:r>
            <w:r w:rsidRPr="0026420A">
              <w:lastRenderedPageBreak/>
              <w:t>conformitate cu standardele tehnice și ghidurile europene relevante.</w:t>
            </w:r>
          </w:p>
        </w:tc>
      </w:tr>
      <w:tr w:rsidR="009A1A36" w:rsidRPr="0026420A" w14:paraId="4C10147E" w14:textId="77777777" w:rsidTr="001F4857">
        <w:trPr>
          <w:trHeight w:val="300"/>
        </w:trPr>
        <w:tc>
          <w:tcPr>
            <w:tcW w:w="2206" w:type="dxa"/>
            <w:vMerge/>
            <w:tcMar>
              <w:top w:w="0" w:type="dxa"/>
              <w:left w:w="108" w:type="dxa"/>
              <w:bottom w:w="0" w:type="dxa"/>
              <w:right w:w="108" w:type="dxa"/>
            </w:tcMar>
          </w:tcPr>
          <w:p w14:paraId="538669C7" w14:textId="77777777" w:rsidR="009A1A36" w:rsidRPr="0026420A" w:rsidRDefault="009A1A36" w:rsidP="00CB0A00">
            <w:pPr>
              <w:ind w:firstLine="0"/>
              <w:jc w:val="left"/>
              <w:rPr>
                <w:b/>
                <w:bCs/>
              </w:rPr>
            </w:pPr>
          </w:p>
        </w:tc>
        <w:tc>
          <w:tcPr>
            <w:tcW w:w="579" w:type="dxa"/>
            <w:tcMar>
              <w:top w:w="0" w:type="dxa"/>
              <w:left w:w="108" w:type="dxa"/>
              <w:bottom w:w="0" w:type="dxa"/>
              <w:right w:w="108" w:type="dxa"/>
            </w:tcMar>
          </w:tcPr>
          <w:p w14:paraId="6694DE18" w14:textId="77777777" w:rsidR="009A1A36" w:rsidRPr="0026420A" w:rsidRDefault="009A1A36" w:rsidP="00CB0A0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153B8D6E" w14:textId="77777777" w:rsidR="009A1A36" w:rsidRPr="0026420A" w:rsidRDefault="009A1A36" w:rsidP="00CB0A00">
            <w:pPr>
              <w:tabs>
                <w:tab w:val="left" w:pos="1635"/>
              </w:tabs>
              <w:ind w:firstLine="0"/>
              <w:rPr>
                <w:b/>
                <w:bCs/>
              </w:rPr>
            </w:pPr>
            <w:r w:rsidRPr="0026420A">
              <w:rPr>
                <w:b/>
                <w:bCs/>
              </w:rPr>
              <w:t xml:space="preserve">8. AML/CFT, jurisdicții cu risc sporit și relația bancă–CASP </w:t>
            </w:r>
          </w:p>
          <w:p w14:paraId="28AD8390" w14:textId="77777777" w:rsidR="009A1A36" w:rsidRPr="0026420A" w:rsidRDefault="009A1A36" w:rsidP="00CB0A00">
            <w:pPr>
              <w:tabs>
                <w:tab w:val="left" w:pos="1635"/>
              </w:tabs>
              <w:ind w:firstLine="0"/>
            </w:pPr>
            <w:r w:rsidRPr="0026420A">
              <w:t>Proiectul face trimitere la Legea nr. 308/2017, însă pentru implementare uniformă considerăm necesare repere suplimentare privind evaluarea riscurilor, în special în relația cu jurisdicțiile cu risc sporit, transferurile către și de la portofele ne-</w:t>
            </w:r>
            <w:proofErr w:type="spellStart"/>
            <w:r w:rsidRPr="0026420A">
              <w:t>custodiale</w:t>
            </w:r>
            <w:proofErr w:type="spellEnd"/>
            <w:r w:rsidRPr="0026420A">
              <w:t xml:space="preserve"> și accesul CASP la servicii bancare. </w:t>
            </w:r>
          </w:p>
          <w:p w14:paraId="239CF38C" w14:textId="77777777" w:rsidR="009A1A36" w:rsidRPr="0026420A" w:rsidRDefault="009A1A36" w:rsidP="00CB0A00">
            <w:pPr>
              <w:tabs>
                <w:tab w:val="left" w:pos="1635"/>
              </w:tabs>
              <w:ind w:firstLine="0"/>
            </w:pPr>
            <w:r w:rsidRPr="0026420A">
              <w:t xml:space="preserve">În acest sens, se recomandă clarificarea următoarelor aspecte: </w:t>
            </w:r>
          </w:p>
          <w:p w14:paraId="5737F93B" w14:textId="77777777" w:rsidR="009A1A36" w:rsidRPr="0026420A" w:rsidRDefault="009A1A36" w:rsidP="00CB0A00">
            <w:pPr>
              <w:tabs>
                <w:tab w:val="left" w:pos="1635"/>
              </w:tabs>
              <w:ind w:firstLine="0"/>
            </w:pPr>
            <w:r w:rsidRPr="0026420A">
              <w:t xml:space="preserve">a) dacă va exista o listă oficială consolidată a jurisdicțiilor cu risc sporit în domeniul </w:t>
            </w:r>
            <w:proofErr w:type="spellStart"/>
            <w:r w:rsidRPr="0026420A">
              <w:t>criptoactivelor</w:t>
            </w:r>
            <w:proofErr w:type="spellEnd"/>
            <w:r w:rsidRPr="0026420A">
              <w:t xml:space="preserve">, inclusiv cu referire la listele FATF și ale Uniunii Europene, sau dacă fiecare instituție va realiza individual această calificare; </w:t>
            </w:r>
          </w:p>
          <w:p w14:paraId="19612F31" w14:textId="77777777" w:rsidR="009A1A36" w:rsidRPr="0026420A" w:rsidRDefault="009A1A36" w:rsidP="00CB0A00">
            <w:pPr>
              <w:tabs>
                <w:tab w:val="left" w:pos="1635"/>
              </w:tabs>
              <w:ind w:firstLine="0"/>
            </w:pPr>
            <w:r w:rsidRPr="0026420A">
              <w:t xml:space="preserve">b) modul de actualizare, publicare și utilizare a unei asemenea liste, în cazul în care aceasta va fi instituită; </w:t>
            </w:r>
          </w:p>
          <w:p w14:paraId="405C2DB6" w14:textId="77777777" w:rsidR="009A1A36" w:rsidRPr="0026420A" w:rsidRDefault="009A1A36" w:rsidP="00CB0A00">
            <w:pPr>
              <w:tabs>
                <w:tab w:val="left" w:pos="1635"/>
              </w:tabs>
              <w:ind w:firstLine="0"/>
            </w:pPr>
            <w:r w:rsidRPr="0026420A">
              <w:t>c) tratamentul aplicabil transferurilor către și de la portofele ne-</w:t>
            </w:r>
            <w:proofErr w:type="spellStart"/>
            <w:r w:rsidRPr="0026420A">
              <w:t>custodiale</w:t>
            </w:r>
            <w:proofErr w:type="spellEnd"/>
            <w:r w:rsidRPr="0026420A">
              <w:t>, inclusiv self-</w:t>
            </w:r>
            <w:proofErr w:type="spellStart"/>
            <w:r w:rsidRPr="0026420A">
              <w:t>hosted</w:t>
            </w:r>
            <w:proofErr w:type="spellEnd"/>
            <w:r w:rsidRPr="0026420A">
              <w:t xml:space="preserve"> </w:t>
            </w:r>
            <w:proofErr w:type="spellStart"/>
            <w:r w:rsidRPr="0026420A">
              <w:t>wallets</w:t>
            </w:r>
            <w:proofErr w:type="spellEnd"/>
            <w:r w:rsidRPr="0026420A">
              <w:t xml:space="preserve">; </w:t>
            </w:r>
          </w:p>
          <w:p w14:paraId="2B5280D3" w14:textId="77777777" w:rsidR="009A1A36" w:rsidRPr="0026420A" w:rsidRDefault="009A1A36" w:rsidP="00CB0A00">
            <w:pPr>
              <w:tabs>
                <w:tab w:val="left" w:pos="1635"/>
              </w:tabs>
              <w:ind w:firstLine="0"/>
            </w:pPr>
            <w:r w:rsidRPr="0026420A">
              <w:t>d) cerințele minime pentru verificarea titularului portofelului ne-</w:t>
            </w:r>
            <w:proofErr w:type="spellStart"/>
            <w:r w:rsidRPr="0026420A">
              <w:t>custodial</w:t>
            </w:r>
            <w:proofErr w:type="spellEnd"/>
            <w:r w:rsidRPr="0026420A">
              <w:t xml:space="preserve">; </w:t>
            </w:r>
          </w:p>
          <w:p w14:paraId="1724F319" w14:textId="77777777" w:rsidR="009A1A36" w:rsidRPr="0026420A" w:rsidRDefault="009A1A36" w:rsidP="00CB0A00">
            <w:pPr>
              <w:tabs>
                <w:tab w:val="left" w:pos="1635"/>
              </w:tabs>
              <w:ind w:firstLine="0"/>
            </w:pPr>
            <w:r w:rsidRPr="0026420A">
              <w:t xml:space="preserve">e) aplicarea regulii de transmitere a informațiilor privind transferurile, respectiv </w:t>
            </w:r>
            <w:proofErr w:type="spellStart"/>
            <w:r w:rsidRPr="0026420A">
              <w:t>travel</w:t>
            </w:r>
            <w:proofErr w:type="spellEnd"/>
            <w:r w:rsidRPr="0026420A">
              <w:t xml:space="preserve"> </w:t>
            </w:r>
            <w:proofErr w:type="spellStart"/>
            <w:r w:rsidRPr="0026420A">
              <w:t>rule</w:t>
            </w:r>
            <w:proofErr w:type="spellEnd"/>
            <w:r w:rsidRPr="0026420A">
              <w:t xml:space="preserve">, în contextul </w:t>
            </w:r>
            <w:proofErr w:type="spellStart"/>
            <w:r w:rsidRPr="0026420A">
              <w:t>criptoactivelor</w:t>
            </w:r>
            <w:proofErr w:type="spellEnd"/>
            <w:r w:rsidRPr="0026420A">
              <w:t xml:space="preserve">; </w:t>
            </w:r>
          </w:p>
          <w:p w14:paraId="7F8ED4C1" w14:textId="77777777" w:rsidR="009A1A36" w:rsidRPr="0026420A" w:rsidRDefault="009A1A36" w:rsidP="00CB0A00">
            <w:pPr>
              <w:tabs>
                <w:tab w:val="left" w:pos="1635"/>
              </w:tabs>
              <w:ind w:firstLine="0"/>
            </w:pPr>
            <w:r w:rsidRPr="0026420A">
              <w:t xml:space="preserve">f) modul de coordonare dintre obligațiile de monitorizare AML/CFT ale băncilor și obligațiile CASP; </w:t>
            </w:r>
          </w:p>
          <w:p w14:paraId="2584E5AD" w14:textId="77777777" w:rsidR="009A1A36" w:rsidRPr="0026420A" w:rsidRDefault="009A1A36" w:rsidP="00CB0A00">
            <w:pPr>
              <w:tabs>
                <w:tab w:val="left" w:pos="1635"/>
              </w:tabs>
              <w:ind w:firstLine="0"/>
            </w:pPr>
            <w:r w:rsidRPr="0026420A">
              <w:t>g) măsura în care o instituție de credit poate aplica politici de de-</w:t>
            </w:r>
            <w:proofErr w:type="spellStart"/>
            <w:r w:rsidRPr="0026420A">
              <w:t>risking</w:t>
            </w:r>
            <w:proofErr w:type="spellEnd"/>
            <w:r w:rsidRPr="0026420A">
              <w:t xml:space="preserve"> față de CASP fără a fi expusă la acuzații de tratament discriminatoriu, în condițiile în care decizia este fundamentată pe evaluarea riscurilor AML/CFT, </w:t>
            </w:r>
            <w:proofErr w:type="spellStart"/>
            <w:r w:rsidRPr="0026420A">
              <w:t>reputaționale</w:t>
            </w:r>
            <w:proofErr w:type="spellEnd"/>
            <w:r w:rsidRPr="0026420A">
              <w:t xml:space="preserve">, operaționale, sancționatorii sau de conformitate. </w:t>
            </w:r>
          </w:p>
          <w:p w14:paraId="781920A6" w14:textId="766BF789" w:rsidR="009A1A36" w:rsidRPr="0026420A" w:rsidRDefault="009A1A36" w:rsidP="00CB0A00">
            <w:pPr>
              <w:tabs>
                <w:tab w:val="left" w:pos="1635"/>
              </w:tabs>
              <w:ind w:firstLine="0"/>
              <w:rPr>
                <w:b/>
                <w:bCs/>
              </w:rPr>
            </w:pPr>
            <w:r w:rsidRPr="0026420A">
              <w:t>O abordare neunitară poate genera practici divergente, riscuri de conformitate și incertitudine juridică atât pentru bănci, cât și pentru CASP. Din acest motiv, este necesar un cadru clar care să permită dezvoltarea pieței, dar fără a limita capacitatea instituțiilor financiare de a-și administra prudent riscurile.</w:t>
            </w:r>
          </w:p>
        </w:tc>
        <w:tc>
          <w:tcPr>
            <w:tcW w:w="5281" w:type="dxa"/>
            <w:tcMar>
              <w:top w:w="0" w:type="dxa"/>
              <w:left w:w="108" w:type="dxa"/>
              <w:bottom w:w="0" w:type="dxa"/>
              <w:right w:w="108" w:type="dxa"/>
            </w:tcMar>
          </w:tcPr>
          <w:p w14:paraId="663A2247" w14:textId="77777777" w:rsidR="009A1A36" w:rsidRPr="0026420A" w:rsidRDefault="009A1A36" w:rsidP="00CB0A00">
            <w:pPr>
              <w:ind w:firstLine="0"/>
              <w:rPr>
                <w:b/>
                <w:bCs/>
              </w:rPr>
            </w:pPr>
            <w:r w:rsidRPr="0026420A">
              <w:rPr>
                <w:b/>
                <w:bCs/>
              </w:rPr>
              <w:t>Nu se acceptă.</w:t>
            </w:r>
          </w:p>
          <w:p w14:paraId="5F41F1A1" w14:textId="77777777" w:rsidR="009A1A36" w:rsidRPr="0026420A" w:rsidRDefault="009A1A36" w:rsidP="008474A3">
            <w:pPr>
              <w:ind w:firstLine="0"/>
            </w:pPr>
            <w:r w:rsidRPr="0026420A">
              <w:t xml:space="preserve">Proiectul de lege are ca obiect transpunerea cadrului </w:t>
            </w:r>
            <w:proofErr w:type="spellStart"/>
            <w:r w:rsidRPr="0026420A">
              <w:t>MiCA</w:t>
            </w:r>
            <w:proofErr w:type="spellEnd"/>
            <w:r w:rsidRPr="0026420A">
              <w:t xml:space="preserve"> privind emiterea, oferta, admiterea la tranzacționare și furnizarea serviciilor de </w:t>
            </w:r>
            <w:proofErr w:type="spellStart"/>
            <w:r w:rsidRPr="0026420A">
              <w:t>criptoactive</w:t>
            </w:r>
            <w:proofErr w:type="spellEnd"/>
            <w:r w:rsidRPr="0026420A">
              <w:t>, iar aspectele specifice privind prevenirea și combaterea spălării banilor și finanțării terorismului țin de legislația specială AML/CFT și de actele normative de punere în aplicare a acesteia. Elemente precum listele jurisdicțiilor cu risc sporit, tratamentul portofelelor ne-</w:t>
            </w:r>
            <w:proofErr w:type="spellStart"/>
            <w:r w:rsidRPr="0026420A">
              <w:t>custodiale</w:t>
            </w:r>
            <w:proofErr w:type="spellEnd"/>
            <w:r w:rsidRPr="0026420A">
              <w:t xml:space="preserve">, verificarea titularului portofelului, aplicarea regulii de transmitere a informațiilor privind transferurile de </w:t>
            </w:r>
            <w:proofErr w:type="spellStart"/>
            <w:r w:rsidRPr="0026420A">
              <w:t>criptoactive</w:t>
            </w:r>
            <w:proofErr w:type="spellEnd"/>
            <w:r w:rsidRPr="0026420A">
              <w:t>, monitorizarea tranzacțiilor, screening-</w:t>
            </w:r>
            <w:proofErr w:type="spellStart"/>
            <w:r w:rsidRPr="0026420A">
              <w:t>ul</w:t>
            </w:r>
            <w:proofErr w:type="spellEnd"/>
            <w:r w:rsidRPr="0026420A">
              <w:t xml:space="preserve"> sancțiunilor și coordonarea obligațiilor dintre bănci și CASP nu țin de obiectul principal al proiectului de lege privind piața </w:t>
            </w:r>
            <w:proofErr w:type="spellStart"/>
            <w:r w:rsidRPr="0026420A">
              <w:t>criptoactivelor</w:t>
            </w:r>
            <w:proofErr w:type="spellEnd"/>
            <w:r w:rsidRPr="0026420A">
              <w:t>.</w:t>
            </w:r>
          </w:p>
          <w:p w14:paraId="7FDFA6A5" w14:textId="77777777" w:rsidR="009A1A36" w:rsidRPr="0026420A" w:rsidRDefault="009A1A36" w:rsidP="008474A3">
            <w:pPr>
              <w:ind w:firstLine="0"/>
            </w:pPr>
            <w:r w:rsidRPr="0026420A">
              <w:t xml:space="preserve">Aceste aspecte urmează să fie reglementate prin cadrul special AML/CFT, inclusiv în contextul alinierii la Directiva (UE) 2024/1640, Regulamentul (UE) 2023/1113 privind informațiile care însoțesc transferurile de fonduri și de anumite </w:t>
            </w:r>
            <w:proofErr w:type="spellStart"/>
            <w:r w:rsidRPr="0026420A">
              <w:t>criptoactive</w:t>
            </w:r>
            <w:proofErr w:type="spellEnd"/>
            <w:r w:rsidRPr="0026420A">
              <w:t xml:space="preserve"> și standardele internaționale FATF/GAFI. Totodată, relația bănci–CASP, inclusiv dreptul instituțiilor financiare de a aplica măsuri prudente de reducere a riscurilor, inclusiv de-</w:t>
            </w:r>
            <w:proofErr w:type="spellStart"/>
            <w:r w:rsidRPr="0026420A">
              <w:t>risking</w:t>
            </w:r>
            <w:proofErr w:type="spellEnd"/>
            <w:r w:rsidRPr="0026420A">
              <w:t xml:space="preserve">, trebuie analizată și aplicată în cadrul legislației AML/CFT, prudențiale și sectoriale aplicabile, nu prin extinderea obiectului proiectului </w:t>
            </w:r>
            <w:proofErr w:type="spellStart"/>
            <w:r w:rsidRPr="0026420A">
              <w:t>MiCA</w:t>
            </w:r>
            <w:proofErr w:type="spellEnd"/>
            <w:r w:rsidRPr="0026420A">
              <w:t>.</w:t>
            </w:r>
          </w:p>
          <w:p w14:paraId="4208FD21" w14:textId="77777777" w:rsidR="009A1A36" w:rsidRPr="0026420A" w:rsidRDefault="009A1A36" w:rsidP="008474A3">
            <w:pPr>
              <w:ind w:firstLine="0"/>
            </w:pPr>
            <w:r w:rsidRPr="0026420A">
              <w:t xml:space="preserve">Introducerea acestor reguli în legea primară privind piața </w:t>
            </w:r>
            <w:proofErr w:type="spellStart"/>
            <w:r w:rsidRPr="0026420A">
              <w:t>criptoactivelor</w:t>
            </w:r>
            <w:proofErr w:type="spellEnd"/>
            <w:r w:rsidRPr="0026420A">
              <w:t xml:space="preserve"> ar crea paralelism legislativ, risc de suprapunere instituțională și incertitudine privind raportul dintre regimul </w:t>
            </w:r>
            <w:proofErr w:type="spellStart"/>
            <w:r w:rsidRPr="0026420A">
              <w:t>MiCA</w:t>
            </w:r>
            <w:proofErr w:type="spellEnd"/>
            <w:r w:rsidRPr="0026420A">
              <w:t xml:space="preserve"> și legislația specială AML/CFT.</w:t>
            </w:r>
          </w:p>
          <w:p w14:paraId="770669A7" w14:textId="27042CDF" w:rsidR="009A1A36" w:rsidRPr="0026420A" w:rsidRDefault="009A1A36" w:rsidP="0006572A">
            <w:pPr>
              <w:ind w:firstLine="0"/>
              <w:rPr>
                <w:b/>
                <w:bCs/>
              </w:rPr>
            </w:pPr>
          </w:p>
        </w:tc>
      </w:tr>
      <w:tr w:rsidR="009A1A36" w:rsidRPr="0026420A" w14:paraId="74ADBEC6" w14:textId="77777777" w:rsidTr="001F4857">
        <w:trPr>
          <w:trHeight w:val="300"/>
        </w:trPr>
        <w:tc>
          <w:tcPr>
            <w:tcW w:w="2206" w:type="dxa"/>
            <w:vMerge/>
            <w:tcMar>
              <w:top w:w="0" w:type="dxa"/>
              <w:left w:w="108" w:type="dxa"/>
              <w:bottom w:w="0" w:type="dxa"/>
              <w:right w:w="108" w:type="dxa"/>
            </w:tcMar>
          </w:tcPr>
          <w:p w14:paraId="27F27F6D" w14:textId="77777777" w:rsidR="009A1A36" w:rsidRPr="0026420A" w:rsidRDefault="009A1A36" w:rsidP="00CB0A00">
            <w:pPr>
              <w:ind w:firstLine="0"/>
              <w:jc w:val="left"/>
              <w:rPr>
                <w:b/>
                <w:bCs/>
              </w:rPr>
            </w:pPr>
          </w:p>
        </w:tc>
        <w:tc>
          <w:tcPr>
            <w:tcW w:w="579" w:type="dxa"/>
            <w:tcMar>
              <w:top w:w="0" w:type="dxa"/>
              <w:left w:w="108" w:type="dxa"/>
              <w:bottom w:w="0" w:type="dxa"/>
              <w:right w:w="108" w:type="dxa"/>
            </w:tcMar>
          </w:tcPr>
          <w:p w14:paraId="1D0F433B" w14:textId="77777777" w:rsidR="009A1A36" w:rsidRPr="0026420A" w:rsidRDefault="009A1A36" w:rsidP="00CB0A0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541B74FF" w14:textId="77777777" w:rsidR="009A1A36" w:rsidRPr="0026420A" w:rsidRDefault="009A1A36" w:rsidP="00CB0A00">
            <w:pPr>
              <w:tabs>
                <w:tab w:val="left" w:pos="1635"/>
              </w:tabs>
              <w:ind w:firstLine="0"/>
              <w:rPr>
                <w:b/>
                <w:bCs/>
              </w:rPr>
            </w:pPr>
            <w:r w:rsidRPr="0026420A">
              <w:rPr>
                <w:b/>
                <w:bCs/>
              </w:rPr>
              <w:t xml:space="preserve">9. Sancțiuni, taxe și dispoziții tranzitorii </w:t>
            </w:r>
          </w:p>
          <w:p w14:paraId="3C643EAB" w14:textId="77777777" w:rsidR="009A1A36" w:rsidRPr="0026420A" w:rsidRDefault="009A1A36" w:rsidP="00CB0A00">
            <w:pPr>
              <w:tabs>
                <w:tab w:val="left" w:pos="1635"/>
              </w:tabs>
              <w:ind w:firstLine="0"/>
            </w:pPr>
            <w:r w:rsidRPr="0026420A">
              <w:t xml:space="preserve">Regimul sancționator prevăzut de Proiect este semnificativ și poate avea un efect de descurajare a încălcărilor. Totuși, eficacitatea acestuia depinde de claritatea criteriilor de aplicare, proporționalitatea sancțiunilor și existența unor căi efective de contestare. </w:t>
            </w:r>
          </w:p>
          <w:p w14:paraId="6CC4EC67" w14:textId="77777777" w:rsidR="009A1A36" w:rsidRPr="0026420A" w:rsidRDefault="009A1A36" w:rsidP="00CB0A00">
            <w:pPr>
              <w:tabs>
                <w:tab w:val="left" w:pos="1635"/>
              </w:tabs>
              <w:ind w:firstLine="0"/>
            </w:pPr>
            <w:r w:rsidRPr="0026420A">
              <w:t xml:space="preserve">În acest sens, se recomandă: </w:t>
            </w:r>
          </w:p>
          <w:p w14:paraId="59AE13CB" w14:textId="77777777" w:rsidR="009A1A36" w:rsidRPr="0026420A" w:rsidRDefault="009A1A36" w:rsidP="00CB0A00">
            <w:pPr>
              <w:tabs>
                <w:tab w:val="left" w:pos="1635"/>
              </w:tabs>
              <w:ind w:firstLine="0"/>
            </w:pPr>
            <w:r w:rsidRPr="0026420A">
              <w:t xml:space="preserve">a) detalierea criteriilor de individualizare a sancțiunilor, inclusiv gravitatea încălcării, durata, caracterul intenționat sau neglijent al </w:t>
            </w:r>
            <w:r w:rsidRPr="0026420A">
              <w:lastRenderedPageBreak/>
              <w:t>faptei, prejudiciul cauzat, numărul persoanelor afectate, cooperarea cu autoritatea, măsurile de remediere și istoricul de conformare al entității;</w:t>
            </w:r>
          </w:p>
          <w:p w14:paraId="063A2DA3" w14:textId="77777777" w:rsidR="009A1A36" w:rsidRPr="0026420A" w:rsidRDefault="009A1A36" w:rsidP="00CB0A00">
            <w:pPr>
              <w:tabs>
                <w:tab w:val="left" w:pos="1635"/>
              </w:tabs>
              <w:ind w:firstLine="0"/>
            </w:pPr>
            <w:r w:rsidRPr="0026420A">
              <w:t>b) clarificarea că sancțiunile trebuie aplicate proporțional, predictibil și diferențiat în funcție de profilul de risc al entității și natura încălcării;</w:t>
            </w:r>
          </w:p>
          <w:p w14:paraId="00F5865C" w14:textId="77777777" w:rsidR="009A1A36" w:rsidRPr="0026420A" w:rsidRDefault="009A1A36" w:rsidP="00CB0A00">
            <w:pPr>
              <w:tabs>
                <w:tab w:val="left" w:pos="1635"/>
              </w:tabs>
              <w:ind w:firstLine="0"/>
            </w:pPr>
            <w:r w:rsidRPr="0026420A">
              <w:t>c) precizarea căilor de contestare și a efectelor contestației asupra măsurilor dispuse de autoritate;</w:t>
            </w:r>
          </w:p>
          <w:p w14:paraId="6630171D" w14:textId="77777777" w:rsidR="009A1A36" w:rsidRPr="0026420A" w:rsidRDefault="009A1A36" w:rsidP="00CB0A00">
            <w:pPr>
              <w:tabs>
                <w:tab w:val="left" w:pos="1635"/>
              </w:tabs>
              <w:ind w:firstLine="0"/>
            </w:pPr>
            <w:r w:rsidRPr="0026420A">
              <w:t>d) stabilirea principiilor de calcul al taxelor de autorizare și supraveghere, inclusiv principiul cost-</w:t>
            </w:r>
            <w:proofErr w:type="spellStart"/>
            <w:r w:rsidRPr="0026420A">
              <w:t>based</w:t>
            </w:r>
            <w:proofErr w:type="spellEnd"/>
            <w:r w:rsidRPr="0026420A">
              <w:t xml:space="preserve"> și principiul proporționalității;</w:t>
            </w:r>
          </w:p>
          <w:p w14:paraId="5DF3AD5E" w14:textId="77777777" w:rsidR="009A1A36" w:rsidRPr="0026420A" w:rsidRDefault="009A1A36" w:rsidP="00CB0A00">
            <w:pPr>
              <w:tabs>
                <w:tab w:val="left" w:pos="1635"/>
              </w:tabs>
              <w:ind w:firstLine="0"/>
            </w:pPr>
            <w:r w:rsidRPr="0026420A">
              <w:t>e) evaluarea impactului taxelor asupra participanților la piață, inclusiv asupra entităților mici sau nou-intrate pe piață;</w:t>
            </w:r>
          </w:p>
          <w:p w14:paraId="684EE1C9" w14:textId="77777777" w:rsidR="009A1A36" w:rsidRPr="0026420A" w:rsidRDefault="009A1A36" w:rsidP="00CB0A00">
            <w:pPr>
              <w:tabs>
                <w:tab w:val="left" w:pos="1635"/>
              </w:tabs>
              <w:ind w:firstLine="0"/>
            </w:pPr>
            <w:r w:rsidRPr="0026420A">
              <w:t>f) corelarea termenului de conformare cu timpul necesar pentru elaborarea actelor normative subsecvente, dezvoltarea registrelor, adaptarea sistemelor IT ale autorităților și pregătirea infrastructurii de supraveghere;</w:t>
            </w:r>
          </w:p>
          <w:p w14:paraId="6D92DE9C" w14:textId="3538D8C7" w:rsidR="009A1A36" w:rsidRPr="0026420A" w:rsidRDefault="009A1A36" w:rsidP="00CB0A00">
            <w:pPr>
              <w:tabs>
                <w:tab w:val="left" w:pos="1635"/>
              </w:tabs>
              <w:ind w:firstLine="0"/>
              <w:rPr>
                <w:b/>
                <w:bCs/>
              </w:rPr>
            </w:pPr>
            <w:r w:rsidRPr="0026420A">
              <w:t xml:space="preserve">g) instituirea unor dispoziții tranzitorii realiste, care să permită entităților vizate să își adapteze guvernanța, infrastructura IT, procedurile AML/CFT, politicile de risc, contractele cu clienții și relațiile cu furnizorii </w:t>
            </w:r>
            <w:proofErr w:type="spellStart"/>
            <w:r w:rsidRPr="0026420A">
              <w:t>externalizați</w:t>
            </w:r>
            <w:proofErr w:type="spellEnd"/>
            <w:r w:rsidRPr="0026420A">
              <w:t>.</w:t>
            </w:r>
          </w:p>
        </w:tc>
        <w:tc>
          <w:tcPr>
            <w:tcW w:w="5281" w:type="dxa"/>
            <w:tcMar>
              <w:top w:w="0" w:type="dxa"/>
              <w:left w:w="108" w:type="dxa"/>
              <w:bottom w:w="0" w:type="dxa"/>
              <w:right w:w="108" w:type="dxa"/>
            </w:tcMar>
          </w:tcPr>
          <w:p w14:paraId="60E10E54" w14:textId="77777777" w:rsidR="009A1A36" w:rsidRPr="0026420A" w:rsidRDefault="009A1A36" w:rsidP="00CB0A00">
            <w:pPr>
              <w:ind w:firstLine="0"/>
              <w:rPr>
                <w:b/>
                <w:bCs/>
              </w:rPr>
            </w:pPr>
            <w:r w:rsidRPr="0026420A">
              <w:rPr>
                <w:b/>
                <w:bCs/>
              </w:rPr>
              <w:lastRenderedPageBreak/>
              <w:t>Nu se acceptă.</w:t>
            </w:r>
          </w:p>
          <w:p w14:paraId="34EF83A9" w14:textId="77777777" w:rsidR="009A1A36" w:rsidRPr="0026420A" w:rsidRDefault="009A1A36" w:rsidP="008474A3">
            <w:pPr>
              <w:ind w:firstLine="0"/>
            </w:pPr>
            <w:r w:rsidRPr="0026420A">
              <w:t xml:space="preserve">Proiectul de lege instituie cadrul primar al măsurilor și sancțiunilor administrative, inclusiv competențele autorităților, categoriile de încălcări, plafoanele maxime ale sancțiunilor, măsurile de supraveghere și pârghiile de intervenție necesare aplicării regimului </w:t>
            </w:r>
            <w:proofErr w:type="spellStart"/>
            <w:r w:rsidRPr="0026420A">
              <w:t>MiCA</w:t>
            </w:r>
            <w:proofErr w:type="spellEnd"/>
            <w:r w:rsidRPr="0026420A">
              <w:t xml:space="preserve">. Totodată, proiectul stabilește că aplicarea sancțiunilor se realizează cu respectarea principiilor proporționalității, individualizării, securității juridice, dreptului </w:t>
            </w:r>
            <w:r w:rsidRPr="0026420A">
              <w:lastRenderedPageBreak/>
              <w:t>la apărare și accesului la căile de contestare prevăzute de legislația aplicabilă.</w:t>
            </w:r>
          </w:p>
          <w:p w14:paraId="639AA762" w14:textId="77777777" w:rsidR="009A1A36" w:rsidRPr="0026420A" w:rsidRDefault="009A1A36" w:rsidP="008474A3">
            <w:pPr>
              <w:ind w:firstLine="0"/>
            </w:pPr>
            <w:r w:rsidRPr="0026420A">
              <w:t>Aspectele invocate privind criteriile detaliate de individualizare a sancțiunilor, metodologia de calcul, factorii agravanți și atenuanți, publicarea și anonimizarea sancțiunilor, principiile tehnice de calcul al taxelor de autorizare și supraveghere, evaluarea impactului asupra entităților mici sau nou-intrate pe piață și procedurile operaționale de aplicare reprezintă elemente metodologice și de executare. Acestea urmează să fie dezvoltate prin acte normative subsecvente ale autorităților competente, proceduri interne și ghiduri de supraveghere.</w:t>
            </w:r>
          </w:p>
          <w:p w14:paraId="3F145542" w14:textId="77777777" w:rsidR="009A1A36" w:rsidRPr="0026420A" w:rsidRDefault="009A1A36" w:rsidP="008474A3">
            <w:pPr>
              <w:ind w:firstLine="0"/>
            </w:pPr>
            <w:r w:rsidRPr="0026420A">
              <w:t xml:space="preserve">În ceea ce privește dispozițiile tranzitorii, proiectul stabilește cadrul de principiu pentru implementarea noului regim, iar corelarea practică cu elaborarea actelor normative subsecvente, dezvoltarea registrelor, adaptarea infrastructurii IT și pregătirea participanților la piață va fi realizată în etapa de implementare. </w:t>
            </w:r>
          </w:p>
          <w:p w14:paraId="3672FF02" w14:textId="2AFE2817" w:rsidR="009A1A36" w:rsidRPr="0026420A" w:rsidRDefault="009A1A36" w:rsidP="008474A3">
            <w:pPr>
              <w:ind w:firstLine="0"/>
            </w:pPr>
          </w:p>
        </w:tc>
      </w:tr>
      <w:tr w:rsidR="009A1A36" w:rsidRPr="0026420A" w14:paraId="5908FEB2" w14:textId="77777777" w:rsidTr="001F4857">
        <w:trPr>
          <w:trHeight w:val="300"/>
        </w:trPr>
        <w:tc>
          <w:tcPr>
            <w:tcW w:w="2206" w:type="dxa"/>
            <w:vMerge/>
            <w:tcMar>
              <w:top w:w="0" w:type="dxa"/>
              <w:left w:w="108" w:type="dxa"/>
              <w:bottom w:w="0" w:type="dxa"/>
              <w:right w:w="108" w:type="dxa"/>
            </w:tcMar>
          </w:tcPr>
          <w:p w14:paraId="6A398831" w14:textId="77777777" w:rsidR="009A1A36" w:rsidRPr="0026420A" w:rsidRDefault="009A1A36" w:rsidP="00CB0A00">
            <w:pPr>
              <w:ind w:firstLine="0"/>
              <w:jc w:val="left"/>
              <w:rPr>
                <w:b/>
                <w:bCs/>
              </w:rPr>
            </w:pPr>
          </w:p>
        </w:tc>
        <w:tc>
          <w:tcPr>
            <w:tcW w:w="579" w:type="dxa"/>
            <w:tcMar>
              <w:top w:w="0" w:type="dxa"/>
              <w:left w:w="108" w:type="dxa"/>
              <w:bottom w:w="0" w:type="dxa"/>
              <w:right w:w="108" w:type="dxa"/>
            </w:tcMar>
          </w:tcPr>
          <w:p w14:paraId="3C2AAC73" w14:textId="77777777" w:rsidR="009A1A36" w:rsidRPr="0026420A" w:rsidRDefault="009A1A36" w:rsidP="00CB0A0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493152B5" w14:textId="77777777" w:rsidR="009A1A36" w:rsidRPr="0026420A" w:rsidRDefault="009A1A36" w:rsidP="00CB0A00">
            <w:pPr>
              <w:tabs>
                <w:tab w:val="left" w:pos="1635"/>
              </w:tabs>
              <w:ind w:firstLine="0"/>
              <w:rPr>
                <w:b/>
                <w:bCs/>
              </w:rPr>
            </w:pPr>
            <w:r w:rsidRPr="0026420A">
              <w:rPr>
                <w:b/>
                <w:bCs/>
              </w:rPr>
              <w:t xml:space="preserve">General: </w:t>
            </w:r>
          </w:p>
          <w:p w14:paraId="4C2679CA" w14:textId="043EC29F" w:rsidR="009A1A36" w:rsidRPr="0026420A" w:rsidRDefault="009A1A36" w:rsidP="00CB0A00">
            <w:pPr>
              <w:tabs>
                <w:tab w:val="left" w:pos="1635"/>
              </w:tabs>
              <w:ind w:firstLine="0"/>
              <w:rPr>
                <w:b/>
                <w:bCs/>
              </w:rPr>
            </w:pPr>
            <w:r w:rsidRPr="0026420A">
              <w:t xml:space="preserve">Deși obligația aplicării unei abordări bazate pe risc, inclusiv a măsurilor de precauție, a restricționării anumitor operațiuni sau a refuzului inițierii ori continuării relațiilor de afaceri derivă deja din prevederile Legii nr. 308/2017 cu privire la prevenirea și combaterea spălării banilor și finanțării terorismului, considerăm necesară reflectarea expresă a acestor prerogative și în cadrul proiectului de lege privind piața </w:t>
            </w:r>
            <w:proofErr w:type="spellStart"/>
            <w:r w:rsidRPr="0026420A">
              <w:t>criptoactivelor</w:t>
            </w:r>
            <w:proofErr w:type="spellEnd"/>
            <w:r w:rsidRPr="0026420A">
              <w:t xml:space="preserve">. O asemenea reglementare este justificată inclusiv prin specificul activităților aferente </w:t>
            </w:r>
            <w:proofErr w:type="spellStart"/>
            <w:r w:rsidRPr="0026420A">
              <w:t>criptoactivelor</w:t>
            </w:r>
            <w:proofErr w:type="spellEnd"/>
            <w:r w:rsidRPr="0026420A">
              <w:t xml:space="preserve"> și nivelul sporit de risc pe care anumite categorii de operațiuni le pot genera din perspectiva conformității, trasabilității tranzacțiilor și gestionă </w:t>
            </w:r>
            <w:proofErr w:type="spellStart"/>
            <w:r w:rsidRPr="0026420A">
              <w:t>rii</w:t>
            </w:r>
            <w:proofErr w:type="spellEnd"/>
            <w:r w:rsidRPr="0026420A">
              <w:t xml:space="preserve"> riscurilor operaționale și </w:t>
            </w:r>
            <w:proofErr w:type="spellStart"/>
            <w:r w:rsidRPr="0026420A">
              <w:t>reputaționale</w:t>
            </w:r>
            <w:proofErr w:type="spellEnd"/>
            <w:r w:rsidRPr="0026420A">
              <w:t xml:space="preserve">. Totodată, având în vedere că băncile și prestatorii de servicii de plată vor avea calitatea de entități raportoare, considerăm important ca proiectul să prevadă expres posibilitatea aplicării unor măsuri bazate pe risc în raport cu participanții la piața </w:t>
            </w:r>
            <w:proofErr w:type="spellStart"/>
            <w:r w:rsidRPr="0026420A">
              <w:t>criptoactivelor</w:t>
            </w:r>
            <w:proofErr w:type="spellEnd"/>
            <w:r w:rsidRPr="0026420A">
              <w:t>.</w:t>
            </w:r>
          </w:p>
        </w:tc>
        <w:tc>
          <w:tcPr>
            <w:tcW w:w="5281" w:type="dxa"/>
            <w:tcMar>
              <w:top w:w="0" w:type="dxa"/>
              <w:left w:w="108" w:type="dxa"/>
              <w:bottom w:w="0" w:type="dxa"/>
              <w:right w:w="108" w:type="dxa"/>
            </w:tcMar>
          </w:tcPr>
          <w:p w14:paraId="76BD1192" w14:textId="77777777" w:rsidR="009A1A36" w:rsidRPr="0026420A" w:rsidRDefault="009A1A36" w:rsidP="00CB0A00">
            <w:pPr>
              <w:ind w:firstLine="0"/>
            </w:pPr>
            <w:r w:rsidRPr="0026420A">
              <w:rPr>
                <w:b/>
                <w:bCs/>
              </w:rPr>
              <w:t>Nu se acceptă</w:t>
            </w:r>
            <w:r w:rsidRPr="0026420A">
              <w:t>.</w:t>
            </w:r>
          </w:p>
          <w:p w14:paraId="7B1B1531" w14:textId="4E57F6A3" w:rsidR="009A1A36" w:rsidRPr="0026420A" w:rsidRDefault="009A1A36" w:rsidP="00CB0A00">
            <w:pPr>
              <w:ind w:firstLine="0"/>
            </w:pPr>
            <w:r w:rsidRPr="0026420A">
              <w:t xml:space="preserve">Proiectul de lege transpune fidel reglementările </w:t>
            </w:r>
            <w:proofErr w:type="spellStart"/>
            <w:r w:rsidRPr="0026420A">
              <w:t>MiCA</w:t>
            </w:r>
            <w:proofErr w:type="spellEnd"/>
            <w:r w:rsidRPr="0026420A">
              <w:t xml:space="preserve">, concentrându-se pe structura pieței și cerințele prudențiale ale sectorului, instituind un cadru prudențial și de conformitate care contribuie indirect la reducerea riscurilor AML/CFT, respectiv, nu conține măsuri concrete, ci doar câteva mecanisme care fac parte din măsurile de prevenire și combatere a spălării banilor, finanțării terorismului.  În ceea ce privește expres posibilitatea aplicării unor măsuri bazate pe risc în raport cu participanții la piața </w:t>
            </w:r>
            <w:proofErr w:type="spellStart"/>
            <w:r w:rsidRPr="0026420A">
              <w:t>criptoactivelor</w:t>
            </w:r>
            <w:proofErr w:type="spellEnd"/>
            <w:r w:rsidRPr="0026420A">
              <w:t xml:space="preserve"> constituie obiectul de reglementare a legislației speciale în materia spălării banilor și finanțării terorismului (Legea nr. 308/2017) și nu necesită a fi dublată.</w:t>
            </w:r>
          </w:p>
        </w:tc>
      </w:tr>
      <w:tr w:rsidR="009A1A36" w:rsidRPr="0026420A" w14:paraId="31420772" w14:textId="77777777" w:rsidTr="001F4857">
        <w:trPr>
          <w:trHeight w:val="6209"/>
        </w:trPr>
        <w:tc>
          <w:tcPr>
            <w:tcW w:w="2206" w:type="dxa"/>
            <w:vMerge/>
            <w:tcMar>
              <w:top w:w="0" w:type="dxa"/>
              <w:left w:w="108" w:type="dxa"/>
              <w:bottom w:w="0" w:type="dxa"/>
              <w:right w:w="108" w:type="dxa"/>
            </w:tcMar>
          </w:tcPr>
          <w:p w14:paraId="3A6E9296" w14:textId="77777777" w:rsidR="009A1A36" w:rsidRPr="0026420A" w:rsidRDefault="009A1A36" w:rsidP="00CB0A00">
            <w:pPr>
              <w:ind w:firstLine="0"/>
              <w:jc w:val="left"/>
              <w:rPr>
                <w:b/>
                <w:bCs/>
              </w:rPr>
            </w:pPr>
          </w:p>
        </w:tc>
        <w:tc>
          <w:tcPr>
            <w:tcW w:w="579" w:type="dxa"/>
            <w:tcMar>
              <w:top w:w="0" w:type="dxa"/>
              <w:left w:w="108" w:type="dxa"/>
              <w:bottom w:w="0" w:type="dxa"/>
              <w:right w:w="108" w:type="dxa"/>
            </w:tcMar>
          </w:tcPr>
          <w:p w14:paraId="3EFA68BF" w14:textId="77777777" w:rsidR="009A1A36" w:rsidRPr="0026420A" w:rsidRDefault="009A1A36" w:rsidP="00CB0A0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01193600" w14:textId="77777777" w:rsidR="009A1A36" w:rsidRPr="0026420A" w:rsidRDefault="009A1A36" w:rsidP="00CB0A00">
            <w:pPr>
              <w:tabs>
                <w:tab w:val="left" w:pos="1635"/>
              </w:tabs>
              <w:ind w:firstLine="0"/>
              <w:rPr>
                <w:b/>
                <w:bCs/>
              </w:rPr>
            </w:pPr>
            <w:r w:rsidRPr="0026420A">
              <w:rPr>
                <w:b/>
                <w:bCs/>
              </w:rPr>
              <w:t>Art. 3</w:t>
            </w:r>
          </w:p>
          <w:p w14:paraId="3F3942F1" w14:textId="77777777" w:rsidR="009A1A36" w:rsidRPr="0026420A" w:rsidRDefault="009A1A36" w:rsidP="00CB0A00">
            <w:pPr>
              <w:tabs>
                <w:tab w:val="left" w:pos="1635"/>
              </w:tabs>
              <w:ind w:firstLine="0"/>
            </w:pPr>
            <w:r w:rsidRPr="0026420A">
              <w:t xml:space="preserve">Pct. 29) din art. 3 indică faptul că, instituția de credit reprezintă întreprindere a cărei activitate constă în atragerea de depozite sau de alte fonduri rambursabile de la public și în acordarea de credite în cont propriu, inclusiv banca, astfel cum este definită la art. 3 din Legea nr. 202/2017 privind activitatea băncilor (în continuare – Legea nr. 202/2017) și care dispune de o licență eliberată de Banca </w:t>
            </w:r>
            <w:proofErr w:type="spellStart"/>
            <w:r w:rsidRPr="0026420A">
              <w:t>Naţională</w:t>
            </w:r>
            <w:proofErr w:type="spellEnd"/>
            <w:r w:rsidRPr="0026420A">
              <w:t>, în condițiile stabilite de Legea nr. 202/2017. Menționăm faptul că, această definiție urmează să fie corelată cu cadrul normativ legal invocat or, Legea 202/2017, în particular art. 3, nu operează cu noțiunea de instituție de credit, ci doar cu noțiunea de „entitate din sectorul financiar” sau în general noțiunea de – „bancă” atunci când se referă la persoana juridică (și nu „întreprindere”) a cărei activitate constă în atragerea de depozite sau de alte fonduri rambursabile de la public și în acordarea de credite în cont propriu. Corespunzător, urmează a fi corectată terminologia în tot textul de lege unde se utilizează termenul „instituții de credit”. Termenul a fost preluat din Regulamentul (UE) 2023/1114 însă este un termen impropriu pentru cadrul normativ a RM. La fel, articolul 3 utilizează concomitent noțiunile de „</w:t>
            </w:r>
            <w:proofErr w:type="spellStart"/>
            <w:r w:rsidRPr="0026420A">
              <w:t>token</w:t>
            </w:r>
            <w:proofErr w:type="spellEnd"/>
            <w:r w:rsidRPr="0026420A">
              <w:t xml:space="preserve"> de monedă electronică”, „fonduri”, „servicii de plată”, „prestator de servicii de plată”, „instituție emitentă de monedă electronică” și „monedă electronică”. </w:t>
            </w:r>
          </w:p>
          <w:p w14:paraId="12C9E016" w14:textId="77777777" w:rsidR="009A1A36" w:rsidRPr="0026420A" w:rsidRDefault="009A1A36" w:rsidP="00CB0A00">
            <w:pPr>
              <w:tabs>
                <w:tab w:val="left" w:pos="1635"/>
              </w:tabs>
              <w:ind w:firstLine="0"/>
            </w:pPr>
            <w:r w:rsidRPr="0026420A">
              <w:t xml:space="preserve">În forma actuală, proiectul nu delimitează suficient raportul juridic dintre aceste concepte, iar în lipsa unei delimitări clare există riscul apariției unor dificultăți semnificative de calificare juridică a anumitor produse și operațiuni, inclusiv din perspectiva regimului fondurilor clienților; obligațiilor de autorizare; aplicării cerințelor prudențiale; protecției consumatorilor; delimitării competențelor de supraveghere între autoritățile competente. </w:t>
            </w:r>
          </w:p>
          <w:p w14:paraId="65A66456" w14:textId="77777777" w:rsidR="009A1A36" w:rsidRPr="0026420A" w:rsidRDefault="009A1A36" w:rsidP="00CB0A00">
            <w:pPr>
              <w:tabs>
                <w:tab w:val="left" w:pos="1635"/>
              </w:tabs>
              <w:ind w:firstLine="0"/>
            </w:pPr>
            <w:r w:rsidRPr="0026420A">
              <w:t xml:space="preserve">a) În acest context, considerăm necesară completarea proiectului cu prevederi exprese privind: delimitarea dintre </w:t>
            </w:r>
            <w:proofErr w:type="spellStart"/>
            <w:r w:rsidRPr="0026420A">
              <w:t>tokenurile</w:t>
            </w:r>
            <w:proofErr w:type="spellEnd"/>
            <w:r w:rsidRPr="0026420A">
              <w:t xml:space="preserve"> de monedă electronică și moneda electronică reglementată de Legea nr. 114/2012; </w:t>
            </w:r>
          </w:p>
          <w:p w14:paraId="3B6427DC" w14:textId="77777777" w:rsidR="009A1A36" w:rsidRPr="0026420A" w:rsidRDefault="009A1A36" w:rsidP="00CB0A00">
            <w:pPr>
              <w:tabs>
                <w:tab w:val="left" w:pos="1635"/>
              </w:tabs>
              <w:ind w:firstLine="0"/>
            </w:pPr>
            <w:r w:rsidRPr="0026420A">
              <w:t xml:space="preserve">b) raportul dintre serviciile de </w:t>
            </w:r>
            <w:proofErr w:type="spellStart"/>
            <w:r w:rsidRPr="0026420A">
              <w:t>criptoactive</w:t>
            </w:r>
            <w:proofErr w:type="spellEnd"/>
            <w:r w:rsidRPr="0026420A">
              <w:t xml:space="preserve"> și serviciile de plată; </w:t>
            </w:r>
          </w:p>
          <w:p w14:paraId="0C59FCFD" w14:textId="77777777" w:rsidR="009A1A36" w:rsidRPr="0026420A" w:rsidRDefault="009A1A36" w:rsidP="00CB0A00">
            <w:pPr>
              <w:tabs>
                <w:tab w:val="left" w:pos="1635"/>
              </w:tabs>
              <w:ind w:firstLine="0"/>
            </w:pPr>
            <w:r w:rsidRPr="0026420A">
              <w:t xml:space="preserve">c) regimul juridic aplicabil fondurilor clienților aferente operațiunilor cu </w:t>
            </w:r>
            <w:proofErr w:type="spellStart"/>
            <w:r w:rsidRPr="0026420A">
              <w:t>criptoactive</w:t>
            </w:r>
            <w:proofErr w:type="spellEnd"/>
            <w:r w:rsidRPr="0026420A">
              <w:t xml:space="preserve">; </w:t>
            </w:r>
          </w:p>
          <w:p w14:paraId="27914294" w14:textId="734B361F" w:rsidR="009A1A36" w:rsidRPr="0026420A" w:rsidRDefault="009A1A36" w:rsidP="00CB0A00">
            <w:pPr>
              <w:tabs>
                <w:tab w:val="left" w:pos="1635"/>
              </w:tabs>
              <w:ind w:firstLine="0"/>
              <w:rPr>
                <w:b/>
                <w:bCs/>
              </w:rPr>
            </w:pPr>
            <w:r w:rsidRPr="0026420A">
              <w:t>d) delimitarea competențelor de supraveghere aferente activităților mixte.</w:t>
            </w:r>
          </w:p>
        </w:tc>
        <w:tc>
          <w:tcPr>
            <w:tcW w:w="5281" w:type="dxa"/>
            <w:tcMar>
              <w:top w:w="0" w:type="dxa"/>
              <w:left w:w="108" w:type="dxa"/>
              <w:bottom w:w="0" w:type="dxa"/>
              <w:right w:w="108" w:type="dxa"/>
            </w:tcMar>
          </w:tcPr>
          <w:p w14:paraId="64057404" w14:textId="77777777" w:rsidR="009A1A36" w:rsidRPr="0026420A" w:rsidRDefault="009A1A36" w:rsidP="00CB0A00">
            <w:pPr>
              <w:ind w:firstLine="0"/>
              <w:rPr>
                <w:b/>
                <w:bCs/>
              </w:rPr>
            </w:pPr>
            <w:r w:rsidRPr="0026420A">
              <w:rPr>
                <w:b/>
                <w:bCs/>
              </w:rPr>
              <w:t>Nu se acceptă.</w:t>
            </w:r>
          </w:p>
          <w:p w14:paraId="4040A501" w14:textId="77777777" w:rsidR="009A1A36" w:rsidRPr="0026420A" w:rsidRDefault="009A1A36" w:rsidP="00CB0A00">
            <w:pPr>
              <w:ind w:firstLine="0"/>
            </w:pPr>
            <w:r w:rsidRPr="0026420A">
              <w:t>Noțiunile și terminologia utilizată este aliniată la reglementările Aquis-ului european, inclusiv reglementările mai multor acte normative la care sunt făcute referințe sunt în proces de aliniere prin modificarea acestora.</w:t>
            </w:r>
          </w:p>
          <w:p w14:paraId="0B06F241" w14:textId="77777777" w:rsidR="009A1A36" w:rsidRPr="0026420A" w:rsidRDefault="009A1A36" w:rsidP="00CB0A00">
            <w:pPr>
              <w:ind w:firstLine="0"/>
            </w:pPr>
            <w:r w:rsidRPr="0026420A">
              <w:t>Cerințele privind armonizarea legislației cu legislația UE impun formularea prevederilor naționale într-o manieră cât mai apropiată de textul și logica regulamentului european, pentru a evita apariția unor divergențe de interpretare, dificultăți de aplicare și riscuri de implementare neuniformă a cadrului normativ.</w:t>
            </w:r>
          </w:p>
          <w:p w14:paraId="0AB3DD6B" w14:textId="276836A7" w:rsidR="009A1A36" w:rsidRPr="0026420A" w:rsidRDefault="009A1A36" w:rsidP="00CB0A00">
            <w:pPr>
              <w:ind w:firstLine="0"/>
              <w:rPr>
                <w:b/>
                <w:bCs/>
              </w:rPr>
            </w:pPr>
          </w:p>
        </w:tc>
      </w:tr>
      <w:tr w:rsidR="009A1A36" w:rsidRPr="0026420A" w14:paraId="5708C346" w14:textId="77777777" w:rsidTr="001F4857">
        <w:trPr>
          <w:trHeight w:val="2319"/>
        </w:trPr>
        <w:tc>
          <w:tcPr>
            <w:tcW w:w="2206" w:type="dxa"/>
            <w:vMerge w:val="restart"/>
            <w:tcMar>
              <w:top w:w="0" w:type="dxa"/>
              <w:left w:w="108" w:type="dxa"/>
              <w:bottom w:w="0" w:type="dxa"/>
              <w:right w:w="108" w:type="dxa"/>
            </w:tcMar>
          </w:tcPr>
          <w:p w14:paraId="1E90F36F" w14:textId="77777777" w:rsidR="009A1A36" w:rsidRPr="0026420A" w:rsidRDefault="009A1A36" w:rsidP="00CB0A00">
            <w:pPr>
              <w:ind w:firstLine="0"/>
              <w:jc w:val="left"/>
              <w:rPr>
                <w:b/>
                <w:bCs/>
              </w:rPr>
            </w:pPr>
            <w:r w:rsidRPr="0026420A">
              <w:rPr>
                <w:b/>
                <w:bCs/>
              </w:rPr>
              <w:lastRenderedPageBreak/>
              <w:t xml:space="preserve">Asociația Businessului European </w:t>
            </w:r>
          </w:p>
          <w:p w14:paraId="03D2548A" w14:textId="77777777" w:rsidR="009A1A36" w:rsidRPr="0026420A" w:rsidRDefault="009A1A36" w:rsidP="00CB0A00">
            <w:pPr>
              <w:ind w:firstLine="0"/>
              <w:jc w:val="left"/>
              <w:rPr>
                <w:b/>
                <w:bCs/>
              </w:rPr>
            </w:pPr>
            <w:r w:rsidRPr="0026420A">
              <w:rPr>
                <w:b/>
                <w:bCs/>
              </w:rPr>
              <w:t>(EBA Moldova)</w:t>
            </w:r>
          </w:p>
          <w:p w14:paraId="5C7C7E3E" w14:textId="77777777" w:rsidR="009A1A36" w:rsidRPr="0026420A" w:rsidRDefault="009A1A36" w:rsidP="00CB0A00">
            <w:pPr>
              <w:ind w:firstLine="0"/>
              <w:jc w:val="left"/>
              <w:rPr>
                <w:b/>
                <w:bCs/>
              </w:rPr>
            </w:pPr>
          </w:p>
          <w:p w14:paraId="462B6D79" w14:textId="77777777" w:rsidR="009A1A36" w:rsidRPr="0026420A" w:rsidRDefault="009A1A36" w:rsidP="00CB0A00">
            <w:pPr>
              <w:ind w:firstLine="0"/>
              <w:jc w:val="left"/>
              <w:rPr>
                <w:b/>
                <w:bCs/>
              </w:rPr>
            </w:pPr>
          </w:p>
          <w:p w14:paraId="3AF449A6" w14:textId="77777777" w:rsidR="009A1A36" w:rsidRPr="0026420A" w:rsidRDefault="009A1A36" w:rsidP="00CB0A00">
            <w:pPr>
              <w:ind w:firstLine="0"/>
              <w:jc w:val="left"/>
              <w:rPr>
                <w:i/>
                <w:iCs/>
              </w:rPr>
            </w:pPr>
            <w:r w:rsidRPr="0026420A">
              <w:rPr>
                <w:i/>
                <w:iCs/>
              </w:rPr>
              <w:t xml:space="preserve">Nr. 50-26/AD </w:t>
            </w:r>
          </w:p>
          <w:p w14:paraId="091A5593" w14:textId="77777777" w:rsidR="009A1A36" w:rsidRPr="0026420A" w:rsidRDefault="009A1A36" w:rsidP="00CB0A00">
            <w:pPr>
              <w:ind w:firstLine="0"/>
              <w:jc w:val="left"/>
              <w:rPr>
                <w:i/>
                <w:iCs/>
              </w:rPr>
            </w:pPr>
            <w:r w:rsidRPr="0026420A">
              <w:rPr>
                <w:i/>
                <w:iCs/>
              </w:rPr>
              <w:t>din 14.05.2026</w:t>
            </w:r>
          </w:p>
          <w:p w14:paraId="238B4877" w14:textId="77777777" w:rsidR="00250343" w:rsidRPr="0026420A" w:rsidRDefault="00250343" w:rsidP="00CB0A00">
            <w:pPr>
              <w:ind w:firstLine="0"/>
              <w:jc w:val="left"/>
              <w:rPr>
                <w:i/>
                <w:iCs/>
              </w:rPr>
            </w:pPr>
          </w:p>
          <w:p w14:paraId="3058F4F4" w14:textId="77777777" w:rsidR="00250343" w:rsidRPr="0026420A" w:rsidRDefault="00250343" w:rsidP="00CB0A00">
            <w:pPr>
              <w:ind w:firstLine="0"/>
              <w:jc w:val="left"/>
              <w:rPr>
                <w:i/>
                <w:iCs/>
              </w:rPr>
            </w:pPr>
          </w:p>
          <w:p w14:paraId="7C90574F" w14:textId="77777777" w:rsidR="00250343" w:rsidRPr="0026420A" w:rsidRDefault="00250343" w:rsidP="00CB0A00">
            <w:pPr>
              <w:ind w:firstLine="0"/>
              <w:jc w:val="left"/>
              <w:rPr>
                <w:i/>
                <w:iCs/>
              </w:rPr>
            </w:pPr>
          </w:p>
          <w:p w14:paraId="34C8A5E4" w14:textId="77777777" w:rsidR="00250343" w:rsidRPr="0026420A" w:rsidRDefault="00250343" w:rsidP="00CB0A00">
            <w:pPr>
              <w:ind w:firstLine="0"/>
              <w:jc w:val="left"/>
              <w:rPr>
                <w:i/>
                <w:iCs/>
              </w:rPr>
            </w:pPr>
          </w:p>
          <w:p w14:paraId="59FB000E" w14:textId="77777777" w:rsidR="00250343" w:rsidRPr="0026420A" w:rsidRDefault="00250343" w:rsidP="00CB0A00">
            <w:pPr>
              <w:ind w:firstLine="0"/>
              <w:jc w:val="left"/>
              <w:rPr>
                <w:i/>
                <w:iCs/>
              </w:rPr>
            </w:pPr>
          </w:p>
          <w:p w14:paraId="619B9BDE" w14:textId="77777777" w:rsidR="00250343" w:rsidRPr="0026420A" w:rsidRDefault="00250343" w:rsidP="00CB0A00">
            <w:pPr>
              <w:ind w:firstLine="0"/>
              <w:jc w:val="left"/>
              <w:rPr>
                <w:i/>
                <w:iCs/>
              </w:rPr>
            </w:pPr>
          </w:p>
          <w:p w14:paraId="6B5A3227" w14:textId="77777777" w:rsidR="00250343" w:rsidRPr="0026420A" w:rsidRDefault="00250343" w:rsidP="00CB0A00">
            <w:pPr>
              <w:ind w:firstLine="0"/>
              <w:jc w:val="left"/>
              <w:rPr>
                <w:i/>
                <w:iCs/>
              </w:rPr>
            </w:pPr>
          </w:p>
          <w:p w14:paraId="5D8E3FA6" w14:textId="77777777" w:rsidR="00250343" w:rsidRPr="0026420A" w:rsidRDefault="00250343" w:rsidP="00CB0A00">
            <w:pPr>
              <w:ind w:firstLine="0"/>
              <w:jc w:val="left"/>
              <w:rPr>
                <w:i/>
                <w:iCs/>
              </w:rPr>
            </w:pPr>
          </w:p>
          <w:p w14:paraId="4CEF7F78" w14:textId="77777777" w:rsidR="00250343" w:rsidRPr="0026420A" w:rsidRDefault="00250343" w:rsidP="00CB0A00">
            <w:pPr>
              <w:ind w:firstLine="0"/>
              <w:jc w:val="left"/>
              <w:rPr>
                <w:i/>
                <w:iCs/>
              </w:rPr>
            </w:pPr>
          </w:p>
          <w:p w14:paraId="3AA4B8C9" w14:textId="77777777" w:rsidR="00250343" w:rsidRPr="0026420A" w:rsidRDefault="00250343" w:rsidP="00CB0A00">
            <w:pPr>
              <w:ind w:firstLine="0"/>
              <w:jc w:val="left"/>
              <w:rPr>
                <w:i/>
                <w:iCs/>
              </w:rPr>
            </w:pPr>
          </w:p>
          <w:p w14:paraId="44C9D3F0" w14:textId="77777777" w:rsidR="00250343" w:rsidRPr="0026420A" w:rsidRDefault="00250343" w:rsidP="00CB0A00">
            <w:pPr>
              <w:ind w:firstLine="0"/>
              <w:jc w:val="left"/>
              <w:rPr>
                <w:i/>
                <w:iCs/>
              </w:rPr>
            </w:pPr>
          </w:p>
          <w:p w14:paraId="27EB9E8A" w14:textId="77777777" w:rsidR="00250343" w:rsidRPr="0026420A" w:rsidRDefault="00250343" w:rsidP="00CB0A00">
            <w:pPr>
              <w:ind w:firstLine="0"/>
              <w:jc w:val="left"/>
              <w:rPr>
                <w:i/>
                <w:iCs/>
              </w:rPr>
            </w:pPr>
          </w:p>
          <w:p w14:paraId="6E870BA7" w14:textId="77777777" w:rsidR="00250343" w:rsidRPr="0026420A" w:rsidRDefault="00250343" w:rsidP="00CB0A00">
            <w:pPr>
              <w:ind w:firstLine="0"/>
              <w:jc w:val="left"/>
              <w:rPr>
                <w:i/>
                <w:iCs/>
              </w:rPr>
            </w:pPr>
          </w:p>
          <w:p w14:paraId="3A1C6513" w14:textId="77777777" w:rsidR="00250343" w:rsidRPr="0026420A" w:rsidRDefault="00250343" w:rsidP="00CB0A00">
            <w:pPr>
              <w:ind w:firstLine="0"/>
              <w:jc w:val="left"/>
              <w:rPr>
                <w:i/>
                <w:iCs/>
              </w:rPr>
            </w:pPr>
          </w:p>
          <w:p w14:paraId="1621DB18" w14:textId="77777777" w:rsidR="00250343" w:rsidRPr="0026420A" w:rsidRDefault="00250343" w:rsidP="00CB0A00">
            <w:pPr>
              <w:ind w:firstLine="0"/>
              <w:jc w:val="left"/>
              <w:rPr>
                <w:i/>
                <w:iCs/>
              </w:rPr>
            </w:pPr>
          </w:p>
          <w:p w14:paraId="0A3F1717" w14:textId="77777777" w:rsidR="00250343" w:rsidRPr="0026420A" w:rsidRDefault="00250343" w:rsidP="00CB0A00">
            <w:pPr>
              <w:ind w:firstLine="0"/>
              <w:jc w:val="left"/>
              <w:rPr>
                <w:i/>
                <w:iCs/>
              </w:rPr>
            </w:pPr>
          </w:p>
          <w:p w14:paraId="799CB86E" w14:textId="77777777" w:rsidR="00250343" w:rsidRPr="0026420A" w:rsidRDefault="00250343" w:rsidP="00CB0A00">
            <w:pPr>
              <w:ind w:firstLine="0"/>
              <w:jc w:val="left"/>
              <w:rPr>
                <w:i/>
                <w:iCs/>
              </w:rPr>
            </w:pPr>
          </w:p>
          <w:p w14:paraId="53F112B8" w14:textId="77777777" w:rsidR="00250343" w:rsidRPr="0026420A" w:rsidRDefault="00250343" w:rsidP="00CB0A00">
            <w:pPr>
              <w:ind w:firstLine="0"/>
              <w:jc w:val="left"/>
              <w:rPr>
                <w:i/>
                <w:iCs/>
              </w:rPr>
            </w:pPr>
          </w:p>
          <w:p w14:paraId="15B79FA5" w14:textId="77777777" w:rsidR="00250343" w:rsidRPr="0026420A" w:rsidRDefault="00250343" w:rsidP="00CB0A00">
            <w:pPr>
              <w:ind w:firstLine="0"/>
              <w:jc w:val="left"/>
              <w:rPr>
                <w:i/>
                <w:iCs/>
              </w:rPr>
            </w:pPr>
          </w:p>
          <w:p w14:paraId="6857E5F6" w14:textId="77777777" w:rsidR="00250343" w:rsidRPr="0026420A" w:rsidRDefault="00250343" w:rsidP="00CB0A00">
            <w:pPr>
              <w:ind w:firstLine="0"/>
              <w:jc w:val="left"/>
              <w:rPr>
                <w:i/>
                <w:iCs/>
              </w:rPr>
            </w:pPr>
          </w:p>
          <w:p w14:paraId="4AEE4D28" w14:textId="77777777" w:rsidR="00250343" w:rsidRPr="0026420A" w:rsidRDefault="00250343" w:rsidP="00CB0A00">
            <w:pPr>
              <w:ind w:firstLine="0"/>
              <w:jc w:val="left"/>
              <w:rPr>
                <w:i/>
                <w:iCs/>
              </w:rPr>
            </w:pPr>
          </w:p>
          <w:p w14:paraId="5E780869" w14:textId="77777777" w:rsidR="00250343" w:rsidRPr="0026420A" w:rsidRDefault="00250343" w:rsidP="00CB0A00">
            <w:pPr>
              <w:ind w:firstLine="0"/>
              <w:jc w:val="left"/>
              <w:rPr>
                <w:i/>
                <w:iCs/>
              </w:rPr>
            </w:pPr>
          </w:p>
          <w:p w14:paraId="57EB738B" w14:textId="77777777" w:rsidR="00250343" w:rsidRPr="0026420A" w:rsidRDefault="00250343" w:rsidP="00CB0A00">
            <w:pPr>
              <w:ind w:firstLine="0"/>
              <w:jc w:val="left"/>
              <w:rPr>
                <w:i/>
                <w:iCs/>
              </w:rPr>
            </w:pPr>
          </w:p>
          <w:p w14:paraId="4C639456" w14:textId="77777777" w:rsidR="00250343" w:rsidRPr="0026420A" w:rsidRDefault="00250343" w:rsidP="00CB0A00">
            <w:pPr>
              <w:ind w:firstLine="0"/>
              <w:jc w:val="left"/>
              <w:rPr>
                <w:i/>
                <w:iCs/>
              </w:rPr>
            </w:pPr>
          </w:p>
          <w:p w14:paraId="7C1954E6" w14:textId="77777777" w:rsidR="00250343" w:rsidRPr="0026420A" w:rsidRDefault="00250343" w:rsidP="00CB0A00">
            <w:pPr>
              <w:ind w:firstLine="0"/>
              <w:jc w:val="left"/>
              <w:rPr>
                <w:i/>
                <w:iCs/>
              </w:rPr>
            </w:pPr>
          </w:p>
          <w:p w14:paraId="0F9E56C8" w14:textId="77777777" w:rsidR="00250343" w:rsidRPr="0026420A" w:rsidRDefault="00250343" w:rsidP="00CB0A00">
            <w:pPr>
              <w:ind w:firstLine="0"/>
              <w:jc w:val="left"/>
              <w:rPr>
                <w:i/>
                <w:iCs/>
              </w:rPr>
            </w:pPr>
          </w:p>
          <w:p w14:paraId="722CF258" w14:textId="77777777" w:rsidR="00250343" w:rsidRPr="0026420A" w:rsidRDefault="00250343" w:rsidP="00CB0A00">
            <w:pPr>
              <w:ind w:firstLine="0"/>
              <w:jc w:val="left"/>
              <w:rPr>
                <w:i/>
                <w:iCs/>
              </w:rPr>
            </w:pPr>
          </w:p>
          <w:p w14:paraId="269290FD" w14:textId="77777777" w:rsidR="00250343" w:rsidRPr="0026420A" w:rsidRDefault="00250343" w:rsidP="00CB0A00">
            <w:pPr>
              <w:ind w:firstLine="0"/>
              <w:jc w:val="left"/>
              <w:rPr>
                <w:i/>
                <w:iCs/>
              </w:rPr>
            </w:pPr>
          </w:p>
          <w:p w14:paraId="008F94D1" w14:textId="77777777" w:rsidR="00250343" w:rsidRPr="0026420A" w:rsidRDefault="00250343" w:rsidP="00CB0A00">
            <w:pPr>
              <w:ind w:firstLine="0"/>
              <w:jc w:val="left"/>
              <w:rPr>
                <w:i/>
                <w:iCs/>
              </w:rPr>
            </w:pPr>
          </w:p>
          <w:p w14:paraId="32AC564A" w14:textId="77777777" w:rsidR="00250343" w:rsidRPr="0026420A" w:rsidRDefault="00250343" w:rsidP="00CB0A00">
            <w:pPr>
              <w:ind w:firstLine="0"/>
              <w:jc w:val="left"/>
              <w:rPr>
                <w:i/>
                <w:iCs/>
              </w:rPr>
            </w:pPr>
          </w:p>
          <w:p w14:paraId="0CD8079A" w14:textId="77777777" w:rsidR="00250343" w:rsidRPr="0026420A" w:rsidRDefault="00250343" w:rsidP="00CB0A00">
            <w:pPr>
              <w:ind w:firstLine="0"/>
              <w:jc w:val="left"/>
              <w:rPr>
                <w:i/>
                <w:iCs/>
              </w:rPr>
            </w:pPr>
          </w:p>
          <w:p w14:paraId="067A8602" w14:textId="77777777" w:rsidR="00250343" w:rsidRPr="0026420A" w:rsidRDefault="00250343" w:rsidP="00CB0A00">
            <w:pPr>
              <w:ind w:firstLine="0"/>
              <w:jc w:val="left"/>
              <w:rPr>
                <w:i/>
                <w:iCs/>
              </w:rPr>
            </w:pPr>
          </w:p>
          <w:p w14:paraId="5087DAFF" w14:textId="77777777" w:rsidR="00250343" w:rsidRPr="0026420A" w:rsidRDefault="00250343" w:rsidP="00CB0A00">
            <w:pPr>
              <w:ind w:firstLine="0"/>
              <w:jc w:val="left"/>
              <w:rPr>
                <w:i/>
                <w:iCs/>
              </w:rPr>
            </w:pPr>
          </w:p>
          <w:p w14:paraId="6D4A16B0" w14:textId="77777777" w:rsidR="00250343" w:rsidRPr="0026420A" w:rsidRDefault="00250343" w:rsidP="00CB0A00">
            <w:pPr>
              <w:ind w:firstLine="0"/>
              <w:jc w:val="left"/>
              <w:rPr>
                <w:i/>
                <w:iCs/>
              </w:rPr>
            </w:pPr>
          </w:p>
          <w:p w14:paraId="722D1246" w14:textId="77777777" w:rsidR="00250343" w:rsidRPr="0026420A" w:rsidRDefault="00250343" w:rsidP="00CB0A00">
            <w:pPr>
              <w:ind w:firstLine="0"/>
              <w:jc w:val="left"/>
              <w:rPr>
                <w:i/>
                <w:iCs/>
              </w:rPr>
            </w:pPr>
          </w:p>
          <w:p w14:paraId="570101EA" w14:textId="77777777" w:rsidR="00250343" w:rsidRPr="0026420A" w:rsidRDefault="00250343" w:rsidP="00CB0A00">
            <w:pPr>
              <w:ind w:firstLine="0"/>
              <w:jc w:val="left"/>
              <w:rPr>
                <w:i/>
                <w:iCs/>
              </w:rPr>
            </w:pPr>
          </w:p>
          <w:p w14:paraId="4589F5B4" w14:textId="77777777" w:rsidR="00250343" w:rsidRPr="0026420A" w:rsidRDefault="00250343" w:rsidP="00CB0A00">
            <w:pPr>
              <w:ind w:firstLine="0"/>
              <w:jc w:val="left"/>
              <w:rPr>
                <w:i/>
                <w:iCs/>
              </w:rPr>
            </w:pPr>
          </w:p>
          <w:p w14:paraId="6259B285" w14:textId="77777777" w:rsidR="00250343" w:rsidRPr="0026420A" w:rsidRDefault="00250343" w:rsidP="00CB0A00">
            <w:pPr>
              <w:ind w:firstLine="0"/>
              <w:jc w:val="left"/>
              <w:rPr>
                <w:i/>
                <w:iCs/>
              </w:rPr>
            </w:pPr>
          </w:p>
          <w:p w14:paraId="6F687A5C" w14:textId="77777777" w:rsidR="00250343" w:rsidRPr="0026420A" w:rsidRDefault="00250343" w:rsidP="00CB0A00">
            <w:pPr>
              <w:ind w:firstLine="0"/>
              <w:jc w:val="left"/>
              <w:rPr>
                <w:i/>
                <w:iCs/>
              </w:rPr>
            </w:pPr>
          </w:p>
          <w:p w14:paraId="0F02DA39" w14:textId="77777777" w:rsidR="00250343" w:rsidRPr="0026420A" w:rsidRDefault="00250343" w:rsidP="00CB0A00">
            <w:pPr>
              <w:ind w:firstLine="0"/>
              <w:jc w:val="left"/>
              <w:rPr>
                <w:i/>
                <w:iCs/>
              </w:rPr>
            </w:pPr>
          </w:p>
          <w:p w14:paraId="53A2726B" w14:textId="77777777" w:rsidR="00250343" w:rsidRPr="0026420A" w:rsidRDefault="00250343" w:rsidP="00CB0A00">
            <w:pPr>
              <w:ind w:firstLine="0"/>
              <w:jc w:val="left"/>
              <w:rPr>
                <w:i/>
                <w:iCs/>
              </w:rPr>
            </w:pPr>
          </w:p>
          <w:p w14:paraId="69763251" w14:textId="77777777" w:rsidR="00250343" w:rsidRPr="0026420A" w:rsidRDefault="00250343" w:rsidP="00CB0A00">
            <w:pPr>
              <w:ind w:firstLine="0"/>
              <w:jc w:val="left"/>
              <w:rPr>
                <w:i/>
                <w:iCs/>
              </w:rPr>
            </w:pPr>
          </w:p>
          <w:p w14:paraId="68B587AF" w14:textId="77777777" w:rsidR="00250343" w:rsidRPr="0026420A" w:rsidRDefault="00250343" w:rsidP="00CB0A00">
            <w:pPr>
              <w:ind w:firstLine="0"/>
              <w:jc w:val="left"/>
              <w:rPr>
                <w:i/>
                <w:iCs/>
              </w:rPr>
            </w:pPr>
          </w:p>
          <w:p w14:paraId="07076CEE" w14:textId="77777777" w:rsidR="00250343" w:rsidRPr="0026420A" w:rsidRDefault="00250343" w:rsidP="00CB0A00">
            <w:pPr>
              <w:ind w:firstLine="0"/>
              <w:jc w:val="left"/>
              <w:rPr>
                <w:i/>
                <w:iCs/>
              </w:rPr>
            </w:pPr>
          </w:p>
          <w:p w14:paraId="4AA74FBD" w14:textId="77777777" w:rsidR="00250343" w:rsidRPr="0026420A" w:rsidRDefault="00250343" w:rsidP="00CB0A00">
            <w:pPr>
              <w:ind w:firstLine="0"/>
              <w:jc w:val="left"/>
              <w:rPr>
                <w:i/>
                <w:iCs/>
              </w:rPr>
            </w:pPr>
          </w:p>
          <w:p w14:paraId="7DB2570E" w14:textId="77777777" w:rsidR="00250343" w:rsidRPr="0026420A" w:rsidRDefault="00250343" w:rsidP="00CB0A00">
            <w:pPr>
              <w:ind w:firstLine="0"/>
              <w:jc w:val="left"/>
              <w:rPr>
                <w:i/>
                <w:iCs/>
              </w:rPr>
            </w:pPr>
          </w:p>
          <w:p w14:paraId="2F2733D3" w14:textId="77777777" w:rsidR="00250343" w:rsidRPr="0026420A" w:rsidRDefault="00250343" w:rsidP="00CB0A00">
            <w:pPr>
              <w:ind w:firstLine="0"/>
              <w:jc w:val="left"/>
              <w:rPr>
                <w:i/>
                <w:iCs/>
              </w:rPr>
            </w:pPr>
          </w:p>
          <w:p w14:paraId="282A3FCA" w14:textId="77777777" w:rsidR="00250343" w:rsidRPr="0026420A" w:rsidRDefault="00250343" w:rsidP="00CB0A00">
            <w:pPr>
              <w:ind w:firstLine="0"/>
              <w:jc w:val="left"/>
              <w:rPr>
                <w:i/>
                <w:iCs/>
              </w:rPr>
            </w:pPr>
          </w:p>
          <w:p w14:paraId="5D03429C" w14:textId="77777777" w:rsidR="00250343" w:rsidRPr="0026420A" w:rsidRDefault="00250343" w:rsidP="00CB0A00">
            <w:pPr>
              <w:ind w:firstLine="0"/>
              <w:jc w:val="left"/>
              <w:rPr>
                <w:i/>
                <w:iCs/>
              </w:rPr>
            </w:pPr>
          </w:p>
          <w:p w14:paraId="520E0D2E" w14:textId="77777777" w:rsidR="00250343" w:rsidRPr="0026420A" w:rsidRDefault="00250343" w:rsidP="00CB0A00">
            <w:pPr>
              <w:ind w:firstLine="0"/>
              <w:jc w:val="left"/>
              <w:rPr>
                <w:i/>
                <w:iCs/>
              </w:rPr>
            </w:pPr>
          </w:p>
          <w:p w14:paraId="5ECB50A0" w14:textId="77777777" w:rsidR="00250343" w:rsidRPr="0026420A" w:rsidRDefault="00250343" w:rsidP="00CB0A00">
            <w:pPr>
              <w:ind w:firstLine="0"/>
              <w:jc w:val="left"/>
              <w:rPr>
                <w:i/>
                <w:iCs/>
              </w:rPr>
            </w:pPr>
          </w:p>
          <w:p w14:paraId="70E73D22" w14:textId="77777777" w:rsidR="00250343" w:rsidRPr="0026420A" w:rsidRDefault="00250343" w:rsidP="00CB0A00">
            <w:pPr>
              <w:ind w:firstLine="0"/>
              <w:jc w:val="left"/>
              <w:rPr>
                <w:i/>
                <w:iCs/>
              </w:rPr>
            </w:pPr>
          </w:p>
          <w:p w14:paraId="026F7046" w14:textId="77777777" w:rsidR="00250343" w:rsidRPr="0026420A" w:rsidRDefault="00250343" w:rsidP="00CB0A00">
            <w:pPr>
              <w:ind w:firstLine="0"/>
              <w:jc w:val="left"/>
              <w:rPr>
                <w:i/>
                <w:iCs/>
              </w:rPr>
            </w:pPr>
          </w:p>
          <w:p w14:paraId="1FC7B01D" w14:textId="77777777" w:rsidR="00250343" w:rsidRPr="0026420A" w:rsidRDefault="00250343" w:rsidP="00CB0A00">
            <w:pPr>
              <w:ind w:firstLine="0"/>
              <w:jc w:val="left"/>
              <w:rPr>
                <w:i/>
                <w:iCs/>
              </w:rPr>
            </w:pPr>
          </w:p>
          <w:p w14:paraId="0A7495F7" w14:textId="77777777" w:rsidR="00250343" w:rsidRPr="0026420A" w:rsidRDefault="00250343" w:rsidP="00CB0A00">
            <w:pPr>
              <w:ind w:firstLine="0"/>
              <w:jc w:val="left"/>
              <w:rPr>
                <w:i/>
                <w:iCs/>
              </w:rPr>
            </w:pPr>
          </w:p>
          <w:p w14:paraId="1D461D0C" w14:textId="77777777" w:rsidR="00250343" w:rsidRPr="0026420A" w:rsidRDefault="00250343" w:rsidP="00CB0A00">
            <w:pPr>
              <w:ind w:firstLine="0"/>
              <w:jc w:val="left"/>
              <w:rPr>
                <w:i/>
                <w:iCs/>
              </w:rPr>
            </w:pPr>
          </w:p>
          <w:p w14:paraId="457335A1" w14:textId="77777777" w:rsidR="00250343" w:rsidRPr="0026420A" w:rsidRDefault="00250343" w:rsidP="00CB0A00">
            <w:pPr>
              <w:ind w:firstLine="0"/>
              <w:jc w:val="left"/>
              <w:rPr>
                <w:i/>
                <w:iCs/>
              </w:rPr>
            </w:pPr>
          </w:p>
          <w:p w14:paraId="1D09868C" w14:textId="77777777" w:rsidR="00250343" w:rsidRPr="0026420A" w:rsidRDefault="00250343" w:rsidP="00CB0A00">
            <w:pPr>
              <w:ind w:firstLine="0"/>
              <w:jc w:val="left"/>
              <w:rPr>
                <w:i/>
                <w:iCs/>
              </w:rPr>
            </w:pPr>
          </w:p>
          <w:p w14:paraId="38139CAA" w14:textId="77777777" w:rsidR="00250343" w:rsidRPr="0026420A" w:rsidRDefault="00250343" w:rsidP="00CB0A00">
            <w:pPr>
              <w:ind w:firstLine="0"/>
              <w:jc w:val="left"/>
              <w:rPr>
                <w:i/>
                <w:iCs/>
              </w:rPr>
            </w:pPr>
          </w:p>
          <w:p w14:paraId="26B2BA6A" w14:textId="77777777" w:rsidR="00250343" w:rsidRPr="0026420A" w:rsidRDefault="00250343" w:rsidP="00CB0A00">
            <w:pPr>
              <w:ind w:firstLine="0"/>
              <w:jc w:val="left"/>
              <w:rPr>
                <w:i/>
                <w:iCs/>
              </w:rPr>
            </w:pPr>
          </w:p>
          <w:p w14:paraId="2BA8FB7D" w14:textId="77777777" w:rsidR="00250343" w:rsidRPr="0026420A" w:rsidRDefault="00250343" w:rsidP="00CB0A00">
            <w:pPr>
              <w:ind w:firstLine="0"/>
              <w:jc w:val="left"/>
              <w:rPr>
                <w:i/>
                <w:iCs/>
              </w:rPr>
            </w:pPr>
          </w:p>
          <w:p w14:paraId="18F0EE71" w14:textId="77777777" w:rsidR="00250343" w:rsidRPr="0026420A" w:rsidRDefault="00250343" w:rsidP="00CB0A00">
            <w:pPr>
              <w:ind w:firstLine="0"/>
              <w:jc w:val="left"/>
              <w:rPr>
                <w:i/>
                <w:iCs/>
              </w:rPr>
            </w:pPr>
          </w:p>
          <w:p w14:paraId="5F035E4D" w14:textId="77777777" w:rsidR="00250343" w:rsidRPr="0026420A" w:rsidRDefault="00250343" w:rsidP="00CB0A00">
            <w:pPr>
              <w:ind w:firstLine="0"/>
              <w:jc w:val="left"/>
              <w:rPr>
                <w:i/>
                <w:iCs/>
              </w:rPr>
            </w:pPr>
          </w:p>
          <w:p w14:paraId="7E1ADB21" w14:textId="77777777" w:rsidR="00250343" w:rsidRPr="0026420A" w:rsidRDefault="00250343" w:rsidP="00CB0A00">
            <w:pPr>
              <w:ind w:firstLine="0"/>
              <w:jc w:val="left"/>
              <w:rPr>
                <w:i/>
                <w:iCs/>
              </w:rPr>
            </w:pPr>
          </w:p>
          <w:p w14:paraId="0BB5C16E" w14:textId="77777777" w:rsidR="00250343" w:rsidRPr="0026420A" w:rsidRDefault="00250343" w:rsidP="00CB0A00">
            <w:pPr>
              <w:ind w:firstLine="0"/>
              <w:jc w:val="left"/>
              <w:rPr>
                <w:i/>
                <w:iCs/>
              </w:rPr>
            </w:pPr>
          </w:p>
          <w:p w14:paraId="7A740C18" w14:textId="77777777" w:rsidR="00250343" w:rsidRPr="0026420A" w:rsidRDefault="00250343" w:rsidP="00CB0A00">
            <w:pPr>
              <w:ind w:firstLine="0"/>
              <w:jc w:val="left"/>
              <w:rPr>
                <w:i/>
                <w:iCs/>
              </w:rPr>
            </w:pPr>
          </w:p>
          <w:p w14:paraId="408A0B49" w14:textId="77777777" w:rsidR="00250343" w:rsidRPr="0026420A" w:rsidRDefault="00250343" w:rsidP="00CB0A00">
            <w:pPr>
              <w:ind w:firstLine="0"/>
              <w:jc w:val="left"/>
              <w:rPr>
                <w:i/>
                <w:iCs/>
              </w:rPr>
            </w:pPr>
          </w:p>
          <w:p w14:paraId="006ADA49" w14:textId="77777777" w:rsidR="00250343" w:rsidRPr="0026420A" w:rsidRDefault="00250343" w:rsidP="00CB0A00">
            <w:pPr>
              <w:ind w:firstLine="0"/>
              <w:jc w:val="left"/>
              <w:rPr>
                <w:i/>
                <w:iCs/>
              </w:rPr>
            </w:pPr>
          </w:p>
          <w:p w14:paraId="0EF388A5" w14:textId="77777777" w:rsidR="00250343" w:rsidRPr="0026420A" w:rsidRDefault="00250343" w:rsidP="00CB0A00">
            <w:pPr>
              <w:ind w:firstLine="0"/>
              <w:jc w:val="left"/>
              <w:rPr>
                <w:i/>
                <w:iCs/>
              </w:rPr>
            </w:pPr>
          </w:p>
          <w:p w14:paraId="1D11BD35" w14:textId="77777777" w:rsidR="00250343" w:rsidRPr="0026420A" w:rsidRDefault="00250343" w:rsidP="00CB0A00">
            <w:pPr>
              <w:ind w:firstLine="0"/>
              <w:jc w:val="left"/>
              <w:rPr>
                <w:i/>
                <w:iCs/>
              </w:rPr>
            </w:pPr>
          </w:p>
          <w:p w14:paraId="06F4207B" w14:textId="77777777" w:rsidR="00250343" w:rsidRPr="0026420A" w:rsidRDefault="00250343" w:rsidP="00CB0A00">
            <w:pPr>
              <w:ind w:firstLine="0"/>
              <w:jc w:val="left"/>
              <w:rPr>
                <w:i/>
                <w:iCs/>
              </w:rPr>
            </w:pPr>
          </w:p>
          <w:p w14:paraId="0ABD79EA" w14:textId="77777777" w:rsidR="00250343" w:rsidRPr="0026420A" w:rsidRDefault="00250343" w:rsidP="00CB0A00">
            <w:pPr>
              <w:ind w:firstLine="0"/>
              <w:jc w:val="left"/>
              <w:rPr>
                <w:i/>
                <w:iCs/>
              </w:rPr>
            </w:pPr>
          </w:p>
          <w:p w14:paraId="451DFC68" w14:textId="77777777" w:rsidR="00250343" w:rsidRPr="0026420A" w:rsidRDefault="00250343" w:rsidP="00CB0A00">
            <w:pPr>
              <w:ind w:firstLine="0"/>
              <w:jc w:val="left"/>
              <w:rPr>
                <w:i/>
                <w:iCs/>
              </w:rPr>
            </w:pPr>
          </w:p>
          <w:p w14:paraId="096DB607" w14:textId="77777777" w:rsidR="00250343" w:rsidRPr="0026420A" w:rsidRDefault="00250343" w:rsidP="00CB0A00">
            <w:pPr>
              <w:ind w:firstLine="0"/>
              <w:jc w:val="left"/>
              <w:rPr>
                <w:i/>
                <w:iCs/>
              </w:rPr>
            </w:pPr>
          </w:p>
          <w:p w14:paraId="2C16F07F" w14:textId="77777777" w:rsidR="00250343" w:rsidRPr="0026420A" w:rsidRDefault="00250343" w:rsidP="00CB0A00">
            <w:pPr>
              <w:ind w:firstLine="0"/>
              <w:jc w:val="left"/>
              <w:rPr>
                <w:i/>
                <w:iCs/>
              </w:rPr>
            </w:pPr>
          </w:p>
          <w:p w14:paraId="106C81E9" w14:textId="77777777" w:rsidR="00250343" w:rsidRPr="0026420A" w:rsidRDefault="00250343" w:rsidP="00CB0A00">
            <w:pPr>
              <w:ind w:firstLine="0"/>
              <w:jc w:val="left"/>
              <w:rPr>
                <w:i/>
                <w:iCs/>
              </w:rPr>
            </w:pPr>
          </w:p>
          <w:p w14:paraId="7C60F5F5" w14:textId="77777777" w:rsidR="00250343" w:rsidRPr="0026420A" w:rsidRDefault="00250343" w:rsidP="00CB0A00">
            <w:pPr>
              <w:ind w:firstLine="0"/>
              <w:jc w:val="left"/>
              <w:rPr>
                <w:i/>
                <w:iCs/>
              </w:rPr>
            </w:pPr>
          </w:p>
          <w:p w14:paraId="1B04F658" w14:textId="77777777" w:rsidR="00250343" w:rsidRPr="0026420A" w:rsidRDefault="00250343" w:rsidP="00CB0A00">
            <w:pPr>
              <w:ind w:firstLine="0"/>
              <w:jc w:val="left"/>
              <w:rPr>
                <w:i/>
                <w:iCs/>
              </w:rPr>
            </w:pPr>
          </w:p>
          <w:p w14:paraId="6708791B" w14:textId="77777777" w:rsidR="00250343" w:rsidRPr="0026420A" w:rsidRDefault="00250343" w:rsidP="00CB0A00">
            <w:pPr>
              <w:ind w:firstLine="0"/>
              <w:jc w:val="left"/>
              <w:rPr>
                <w:i/>
                <w:iCs/>
              </w:rPr>
            </w:pPr>
          </w:p>
          <w:p w14:paraId="443BEAB2" w14:textId="77777777" w:rsidR="00250343" w:rsidRPr="0026420A" w:rsidRDefault="00250343" w:rsidP="00CB0A00">
            <w:pPr>
              <w:ind w:firstLine="0"/>
              <w:jc w:val="left"/>
              <w:rPr>
                <w:i/>
                <w:iCs/>
              </w:rPr>
            </w:pPr>
          </w:p>
          <w:p w14:paraId="2F167231" w14:textId="77777777" w:rsidR="00250343" w:rsidRPr="0026420A" w:rsidRDefault="00250343" w:rsidP="00CB0A00">
            <w:pPr>
              <w:ind w:firstLine="0"/>
              <w:jc w:val="left"/>
              <w:rPr>
                <w:i/>
                <w:iCs/>
              </w:rPr>
            </w:pPr>
          </w:p>
          <w:p w14:paraId="0CA34797" w14:textId="77777777" w:rsidR="00250343" w:rsidRPr="0026420A" w:rsidRDefault="00250343" w:rsidP="00CB0A00">
            <w:pPr>
              <w:ind w:firstLine="0"/>
              <w:jc w:val="left"/>
              <w:rPr>
                <w:i/>
                <w:iCs/>
              </w:rPr>
            </w:pPr>
          </w:p>
          <w:p w14:paraId="120E287B" w14:textId="77777777" w:rsidR="00250343" w:rsidRPr="0026420A" w:rsidRDefault="00250343" w:rsidP="00CB0A00">
            <w:pPr>
              <w:ind w:firstLine="0"/>
              <w:jc w:val="left"/>
              <w:rPr>
                <w:i/>
                <w:iCs/>
              </w:rPr>
            </w:pPr>
          </w:p>
          <w:p w14:paraId="6E50D19D" w14:textId="77777777" w:rsidR="00250343" w:rsidRPr="0026420A" w:rsidRDefault="00250343" w:rsidP="00CB0A00">
            <w:pPr>
              <w:ind w:firstLine="0"/>
              <w:jc w:val="left"/>
              <w:rPr>
                <w:i/>
                <w:iCs/>
              </w:rPr>
            </w:pPr>
          </w:p>
          <w:p w14:paraId="5888E80A" w14:textId="77777777" w:rsidR="00250343" w:rsidRPr="0026420A" w:rsidRDefault="00250343" w:rsidP="00CB0A00">
            <w:pPr>
              <w:ind w:firstLine="0"/>
              <w:jc w:val="left"/>
              <w:rPr>
                <w:i/>
                <w:iCs/>
              </w:rPr>
            </w:pPr>
          </w:p>
          <w:p w14:paraId="615DD27E" w14:textId="77777777" w:rsidR="00250343" w:rsidRPr="0026420A" w:rsidRDefault="00250343" w:rsidP="00CB0A00">
            <w:pPr>
              <w:ind w:firstLine="0"/>
              <w:jc w:val="left"/>
              <w:rPr>
                <w:i/>
                <w:iCs/>
              </w:rPr>
            </w:pPr>
          </w:p>
          <w:p w14:paraId="1C530202" w14:textId="77777777" w:rsidR="00250343" w:rsidRPr="0026420A" w:rsidRDefault="00250343" w:rsidP="00CB0A00">
            <w:pPr>
              <w:ind w:firstLine="0"/>
              <w:jc w:val="left"/>
              <w:rPr>
                <w:i/>
                <w:iCs/>
              </w:rPr>
            </w:pPr>
          </w:p>
          <w:p w14:paraId="0CFD86E7" w14:textId="77777777" w:rsidR="00250343" w:rsidRPr="0026420A" w:rsidRDefault="00250343" w:rsidP="00CB0A00">
            <w:pPr>
              <w:ind w:firstLine="0"/>
              <w:jc w:val="left"/>
              <w:rPr>
                <w:i/>
                <w:iCs/>
              </w:rPr>
            </w:pPr>
          </w:p>
          <w:p w14:paraId="2AE26458" w14:textId="77777777" w:rsidR="00250343" w:rsidRPr="0026420A" w:rsidRDefault="00250343" w:rsidP="00CB0A00">
            <w:pPr>
              <w:ind w:firstLine="0"/>
              <w:jc w:val="left"/>
              <w:rPr>
                <w:i/>
                <w:iCs/>
              </w:rPr>
            </w:pPr>
          </w:p>
          <w:p w14:paraId="3C006DFE" w14:textId="77777777" w:rsidR="00250343" w:rsidRPr="0026420A" w:rsidRDefault="00250343" w:rsidP="00CB0A00">
            <w:pPr>
              <w:ind w:firstLine="0"/>
              <w:jc w:val="left"/>
              <w:rPr>
                <w:i/>
                <w:iCs/>
              </w:rPr>
            </w:pPr>
          </w:p>
          <w:p w14:paraId="6B88CF41" w14:textId="77777777" w:rsidR="00250343" w:rsidRPr="0026420A" w:rsidRDefault="00250343" w:rsidP="00CB0A00">
            <w:pPr>
              <w:ind w:firstLine="0"/>
              <w:jc w:val="left"/>
              <w:rPr>
                <w:i/>
                <w:iCs/>
              </w:rPr>
            </w:pPr>
          </w:p>
          <w:p w14:paraId="520B65EB" w14:textId="77777777" w:rsidR="00250343" w:rsidRPr="0026420A" w:rsidRDefault="00250343" w:rsidP="00CB0A00">
            <w:pPr>
              <w:ind w:firstLine="0"/>
              <w:jc w:val="left"/>
              <w:rPr>
                <w:i/>
                <w:iCs/>
              </w:rPr>
            </w:pPr>
          </w:p>
          <w:p w14:paraId="60DC3014" w14:textId="77777777" w:rsidR="00250343" w:rsidRPr="0026420A" w:rsidRDefault="00250343" w:rsidP="00CB0A00">
            <w:pPr>
              <w:ind w:firstLine="0"/>
              <w:jc w:val="left"/>
              <w:rPr>
                <w:i/>
                <w:iCs/>
              </w:rPr>
            </w:pPr>
          </w:p>
          <w:p w14:paraId="64893CD8" w14:textId="77777777" w:rsidR="00250343" w:rsidRPr="0026420A" w:rsidRDefault="00250343" w:rsidP="00CB0A00">
            <w:pPr>
              <w:ind w:firstLine="0"/>
              <w:jc w:val="left"/>
              <w:rPr>
                <w:i/>
                <w:iCs/>
              </w:rPr>
            </w:pPr>
          </w:p>
          <w:p w14:paraId="15B33805" w14:textId="77777777" w:rsidR="00250343" w:rsidRPr="0026420A" w:rsidRDefault="00250343" w:rsidP="00CB0A00">
            <w:pPr>
              <w:ind w:firstLine="0"/>
              <w:jc w:val="left"/>
              <w:rPr>
                <w:i/>
                <w:iCs/>
              </w:rPr>
            </w:pPr>
          </w:p>
          <w:p w14:paraId="70B7A02E" w14:textId="77777777" w:rsidR="00250343" w:rsidRPr="0026420A" w:rsidRDefault="00250343" w:rsidP="00CB0A00">
            <w:pPr>
              <w:ind w:firstLine="0"/>
              <w:jc w:val="left"/>
              <w:rPr>
                <w:i/>
                <w:iCs/>
              </w:rPr>
            </w:pPr>
          </w:p>
          <w:p w14:paraId="58414240" w14:textId="77777777" w:rsidR="00250343" w:rsidRPr="0026420A" w:rsidRDefault="00250343" w:rsidP="00CB0A00">
            <w:pPr>
              <w:ind w:firstLine="0"/>
              <w:jc w:val="left"/>
              <w:rPr>
                <w:i/>
                <w:iCs/>
              </w:rPr>
            </w:pPr>
          </w:p>
          <w:p w14:paraId="2905F378" w14:textId="77777777" w:rsidR="00250343" w:rsidRPr="0026420A" w:rsidRDefault="00250343" w:rsidP="00CB0A00">
            <w:pPr>
              <w:ind w:firstLine="0"/>
              <w:jc w:val="left"/>
              <w:rPr>
                <w:i/>
                <w:iCs/>
              </w:rPr>
            </w:pPr>
          </w:p>
          <w:p w14:paraId="7358C17F" w14:textId="77777777" w:rsidR="00250343" w:rsidRPr="0026420A" w:rsidRDefault="00250343" w:rsidP="00CB0A00">
            <w:pPr>
              <w:ind w:firstLine="0"/>
              <w:jc w:val="left"/>
              <w:rPr>
                <w:i/>
                <w:iCs/>
              </w:rPr>
            </w:pPr>
          </w:p>
          <w:p w14:paraId="049C6A90" w14:textId="77777777" w:rsidR="00250343" w:rsidRPr="0026420A" w:rsidRDefault="00250343" w:rsidP="00CB0A00">
            <w:pPr>
              <w:ind w:firstLine="0"/>
              <w:jc w:val="left"/>
              <w:rPr>
                <w:i/>
                <w:iCs/>
              </w:rPr>
            </w:pPr>
          </w:p>
          <w:p w14:paraId="553F8960" w14:textId="77777777" w:rsidR="00250343" w:rsidRPr="0026420A" w:rsidRDefault="00250343" w:rsidP="00CB0A00">
            <w:pPr>
              <w:ind w:firstLine="0"/>
              <w:jc w:val="left"/>
              <w:rPr>
                <w:i/>
                <w:iCs/>
              </w:rPr>
            </w:pPr>
          </w:p>
          <w:p w14:paraId="1204E6D3" w14:textId="77777777" w:rsidR="00250343" w:rsidRPr="0026420A" w:rsidRDefault="00250343" w:rsidP="00CB0A00">
            <w:pPr>
              <w:ind w:firstLine="0"/>
              <w:jc w:val="left"/>
              <w:rPr>
                <w:i/>
                <w:iCs/>
              </w:rPr>
            </w:pPr>
          </w:p>
          <w:p w14:paraId="7D3DC23C" w14:textId="77777777" w:rsidR="00250343" w:rsidRPr="0026420A" w:rsidRDefault="00250343" w:rsidP="00CB0A00">
            <w:pPr>
              <w:ind w:firstLine="0"/>
              <w:jc w:val="left"/>
              <w:rPr>
                <w:i/>
                <w:iCs/>
              </w:rPr>
            </w:pPr>
          </w:p>
          <w:p w14:paraId="7BB86FAB" w14:textId="77777777" w:rsidR="00250343" w:rsidRPr="0026420A" w:rsidRDefault="00250343" w:rsidP="00CB0A00">
            <w:pPr>
              <w:ind w:firstLine="0"/>
              <w:jc w:val="left"/>
              <w:rPr>
                <w:i/>
                <w:iCs/>
              </w:rPr>
            </w:pPr>
          </w:p>
          <w:p w14:paraId="2AB81568" w14:textId="77777777" w:rsidR="00250343" w:rsidRPr="0026420A" w:rsidRDefault="00250343" w:rsidP="00CB0A00">
            <w:pPr>
              <w:ind w:firstLine="0"/>
              <w:jc w:val="left"/>
              <w:rPr>
                <w:i/>
                <w:iCs/>
              </w:rPr>
            </w:pPr>
          </w:p>
          <w:p w14:paraId="0726FE7B" w14:textId="77777777" w:rsidR="00250343" w:rsidRPr="0026420A" w:rsidRDefault="00250343" w:rsidP="00CB0A00">
            <w:pPr>
              <w:ind w:firstLine="0"/>
              <w:jc w:val="left"/>
              <w:rPr>
                <w:i/>
                <w:iCs/>
              </w:rPr>
            </w:pPr>
          </w:p>
          <w:p w14:paraId="5898EB0A" w14:textId="77777777" w:rsidR="00250343" w:rsidRPr="0026420A" w:rsidRDefault="00250343" w:rsidP="00CB0A00">
            <w:pPr>
              <w:ind w:firstLine="0"/>
              <w:jc w:val="left"/>
              <w:rPr>
                <w:i/>
                <w:iCs/>
              </w:rPr>
            </w:pPr>
          </w:p>
          <w:p w14:paraId="333A294D" w14:textId="77777777" w:rsidR="00250343" w:rsidRPr="0026420A" w:rsidRDefault="00250343" w:rsidP="00CB0A00">
            <w:pPr>
              <w:ind w:firstLine="0"/>
              <w:jc w:val="left"/>
              <w:rPr>
                <w:i/>
                <w:iCs/>
              </w:rPr>
            </w:pPr>
          </w:p>
          <w:p w14:paraId="36A966C2" w14:textId="77777777" w:rsidR="00250343" w:rsidRPr="0026420A" w:rsidRDefault="00250343" w:rsidP="00CB0A00">
            <w:pPr>
              <w:ind w:firstLine="0"/>
              <w:jc w:val="left"/>
              <w:rPr>
                <w:i/>
                <w:iCs/>
              </w:rPr>
            </w:pPr>
          </w:p>
          <w:p w14:paraId="3ADEBBF4" w14:textId="77777777" w:rsidR="00250343" w:rsidRPr="0026420A" w:rsidRDefault="00250343" w:rsidP="00CB0A00">
            <w:pPr>
              <w:ind w:firstLine="0"/>
              <w:jc w:val="left"/>
              <w:rPr>
                <w:i/>
                <w:iCs/>
              </w:rPr>
            </w:pPr>
          </w:p>
          <w:p w14:paraId="04A53106" w14:textId="77777777" w:rsidR="00250343" w:rsidRPr="0026420A" w:rsidRDefault="00250343" w:rsidP="00CB0A00">
            <w:pPr>
              <w:ind w:firstLine="0"/>
              <w:jc w:val="left"/>
              <w:rPr>
                <w:i/>
                <w:iCs/>
              </w:rPr>
            </w:pPr>
          </w:p>
          <w:p w14:paraId="393CD457" w14:textId="77777777" w:rsidR="00250343" w:rsidRPr="0026420A" w:rsidRDefault="00250343" w:rsidP="00CB0A00">
            <w:pPr>
              <w:ind w:firstLine="0"/>
              <w:jc w:val="left"/>
              <w:rPr>
                <w:i/>
                <w:iCs/>
              </w:rPr>
            </w:pPr>
          </w:p>
          <w:p w14:paraId="71667DCA" w14:textId="77777777" w:rsidR="00250343" w:rsidRPr="0026420A" w:rsidRDefault="00250343" w:rsidP="00CB0A00">
            <w:pPr>
              <w:ind w:firstLine="0"/>
              <w:jc w:val="left"/>
              <w:rPr>
                <w:i/>
                <w:iCs/>
              </w:rPr>
            </w:pPr>
          </w:p>
          <w:p w14:paraId="39260B4B" w14:textId="77777777" w:rsidR="00250343" w:rsidRPr="0026420A" w:rsidRDefault="00250343" w:rsidP="00CB0A00">
            <w:pPr>
              <w:ind w:firstLine="0"/>
              <w:jc w:val="left"/>
              <w:rPr>
                <w:i/>
                <w:iCs/>
              </w:rPr>
            </w:pPr>
          </w:p>
          <w:p w14:paraId="26CF61E8" w14:textId="77777777" w:rsidR="00250343" w:rsidRPr="0026420A" w:rsidRDefault="00250343" w:rsidP="00CB0A00">
            <w:pPr>
              <w:ind w:firstLine="0"/>
              <w:jc w:val="left"/>
              <w:rPr>
                <w:i/>
                <w:iCs/>
              </w:rPr>
            </w:pPr>
          </w:p>
          <w:p w14:paraId="50342414" w14:textId="77777777" w:rsidR="00250343" w:rsidRPr="0026420A" w:rsidRDefault="00250343" w:rsidP="00CB0A00">
            <w:pPr>
              <w:ind w:firstLine="0"/>
              <w:jc w:val="left"/>
              <w:rPr>
                <w:i/>
                <w:iCs/>
              </w:rPr>
            </w:pPr>
          </w:p>
          <w:p w14:paraId="592E3829" w14:textId="77777777" w:rsidR="00250343" w:rsidRPr="0026420A" w:rsidRDefault="00250343" w:rsidP="00CB0A00">
            <w:pPr>
              <w:ind w:firstLine="0"/>
              <w:jc w:val="left"/>
              <w:rPr>
                <w:i/>
                <w:iCs/>
              </w:rPr>
            </w:pPr>
          </w:p>
          <w:p w14:paraId="698BD71C" w14:textId="77777777" w:rsidR="00250343" w:rsidRPr="0026420A" w:rsidRDefault="00250343" w:rsidP="00CB0A00">
            <w:pPr>
              <w:ind w:firstLine="0"/>
              <w:jc w:val="left"/>
              <w:rPr>
                <w:i/>
                <w:iCs/>
              </w:rPr>
            </w:pPr>
          </w:p>
          <w:p w14:paraId="5E6DB2C0" w14:textId="77777777" w:rsidR="00250343" w:rsidRPr="0026420A" w:rsidRDefault="00250343" w:rsidP="00CB0A00">
            <w:pPr>
              <w:ind w:firstLine="0"/>
              <w:jc w:val="left"/>
              <w:rPr>
                <w:i/>
                <w:iCs/>
              </w:rPr>
            </w:pPr>
          </w:p>
          <w:p w14:paraId="0821B253" w14:textId="77777777" w:rsidR="00250343" w:rsidRPr="0026420A" w:rsidRDefault="00250343" w:rsidP="00CB0A00">
            <w:pPr>
              <w:ind w:firstLine="0"/>
              <w:jc w:val="left"/>
              <w:rPr>
                <w:i/>
                <w:iCs/>
              </w:rPr>
            </w:pPr>
          </w:p>
          <w:p w14:paraId="04A2D33F" w14:textId="77777777" w:rsidR="00250343" w:rsidRPr="0026420A" w:rsidRDefault="00250343" w:rsidP="00CB0A00">
            <w:pPr>
              <w:ind w:firstLine="0"/>
              <w:jc w:val="left"/>
              <w:rPr>
                <w:i/>
                <w:iCs/>
              </w:rPr>
            </w:pPr>
          </w:p>
          <w:p w14:paraId="0F7ACF22" w14:textId="77777777" w:rsidR="00250343" w:rsidRPr="0026420A" w:rsidRDefault="00250343" w:rsidP="00CB0A00">
            <w:pPr>
              <w:ind w:firstLine="0"/>
              <w:jc w:val="left"/>
              <w:rPr>
                <w:i/>
                <w:iCs/>
              </w:rPr>
            </w:pPr>
          </w:p>
          <w:p w14:paraId="0DA53C45" w14:textId="77777777" w:rsidR="00250343" w:rsidRPr="0026420A" w:rsidRDefault="00250343" w:rsidP="00CB0A00">
            <w:pPr>
              <w:ind w:firstLine="0"/>
              <w:jc w:val="left"/>
              <w:rPr>
                <w:i/>
                <w:iCs/>
              </w:rPr>
            </w:pPr>
          </w:p>
          <w:p w14:paraId="131650E2" w14:textId="77777777" w:rsidR="00250343" w:rsidRPr="0026420A" w:rsidRDefault="00250343" w:rsidP="00CB0A00">
            <w:pPr>
              <w:ind w:firstLine="0"/>
              <w:jc w:val="left"/>
              <w:rPr>
                <w:i/>
                <w:iCs/>
              </w:rPr>
            </w:pPr>
          </w:p>
          <w:p w14:paraId="6590F29F" w14:textId="77777777" w:rsidR="00250343" w:rsidRPr="0026420A" w:rsidRDefault="00250343" w:rsidP="00CB0A00">
            <w:pPr>
              <w:ind w:firstLine="0"/>
              <w:jc w:val="left"/>
              <w:rPr>
                <w:i/>
                <w:iCs/>
              </w:rPr>
            </w:pPr>
          </w:p>
          <w:p w14:paraId="11009423" w14:textId="77777777" w:rsidR="00250343" w:rsidRPr="0026420A" w:rsidRDefault="00250343" w:rsidP="00CB0A00">
            <w:pPr>
              <w:ind w:firstLine="0"/>
              <w:jc w:val="left"/>
              <w:rPr>
                <w:i/>
                <w:iCs/>
              </w:rPr>
            </w:pPr>
          </w:p>
          <w:p w14:paraId="35476589" w14:textId="77777777" w:rsidR="00250343" w:rsidRPr="0026420A" w:rsidRDefault="00250343" w:rsidP="00CB0A00">
            <w:pPr>
              <w:ind w:firstLine="0"/>
              <w:jc w:val="left"/>
              <w:rPr>
                <w:i/>
                <w:iCs/>
              </w:rPr>
            </w:pPr>
          </w:p>
          <w:p w14:paraId="396F9F3D" w14:textId="77777777" w:rsidR="00250343" w:rsidRPr="0026420A" w:rsidRDefault="00250343" w:rsidP="00CB0A00">
            <w:pPr>
              <w:ind w:firstLine="0"/>
              <w:jc w:val="left"/>
              <w:rPr>
                <w:i/>
                <w:iCs/>
              </w:rPr>
            </w:pPr>
          </w:p>
          <w:p w14:paraId="54384AE5" w14:textId="77777777" w:rsidR="00250343" w:rsidRPr="0026420A" w:rsidRDefault="00250343" w:rsidP="00CB0A00">
            <w:pPr>
              <w:ind w:firstLine="0"/>
              <w:jc w:val="left"/>
              <w:rPr>
                <w:i/>
                <w:iCs/>
              </w:rPr>
            </w:pPr>
          </w:p>
          <w:p w14:paraId="58FAF304" w14:textId="77777777" w:rsidR="00250343" w:rsidRPr="0026420A" w:rsidRDefault="00250343" w:rsidP="00CB0A00">
            <w:pPr>
              <w:ind w:firstLine="0"/>
              <w:jc w:val="left"/>
              <w:rPr>
                <w:i/>
                <w:iCs/>
              </w:rPr>
            </w:pPr>
          </w:p>
          <w:p w14:paraId="69835FE9" w14:textId="77777777" w:rsidR="00250343" w:rsidRPr="0026420A" w:rsidRDefault="00250343" w:rsidP="00CB0A00">
            <w:pPr>
              <w:ind w:firstLine="0"/>
              <w:jc w:val="left"/>
              <w:rPr>
                <w:i/>
                <w:iCs/>
              </w:rPr>
            </w:pPr>
          </w:p>
          <w:p w14:paraId="5A2C0AA9" w14:textId="77777777" w:rsidR="00250343" w:rsidRPr="0026420A" w:rsidRDefault="00250343" w:rsidP="00CB0A00">
            <w:pPr>
              <w:ind w:firstLine="0"/>
              <w:jc w:val="left"/>
              <w:rPr>
                <w:i/>
                <w:iCs/>
              </w:rPr>
            </w:pPr>
          </w:p>
          <w:p w14:paraId="12E4DF61" w14:textId="77777777" w:rsidR="00250343" w:rsidRPr="0026420A" w:rsidRDefault="00250343" w:rsidP="00CB0A00">
            <w:pPr>
              <w:ind w:firstLine="0"/>
              <w:jc w:val="left"/>
              <w:rPr>
                <w:i/>
                <w:iCs/>
              </w:rPr>
            </w:pPr>
          </w:p>
          <w:p w14:paraId="44889DDF" w14:textId="77777777" w:rsidR="00250343" w:rsidRPr="0026420A" w:rsidRDefault="00250343" w:rsidP="00CB0A00">
            <w:pPr>
              <w:ind w:firstLine="0"/>
              <w:jc w:val="left"/>
              <w:rPr>
                <w:i/>
                <w:iCs/>
              </w:rPr>
            </w:pPr>
          </w:p>
          <w:p w14:paraId="57A4BDD7" w14:textId="77777777" w:rsidR="00250343" w:rsidRPr="0026420A" w:rsidRDefault="00250343" w:rsidP="00CB0A00">
            <w:pPr>
              <w:ind w:firstLine="0"/>
              <w:jc w:val="left"/>
              <w:rPr>
                <w:i/>
                <w:iCs/>
              </w:rPr>
            </w:pPr>
          </w:p>
          <w:p w14:paraId="4A6F0183" w14:textId="77777777" w:rsidR="00250343" w:rsidRPr="0026420A" w:rsidRDefault="00250343" w:rsidP="00CB0A00">
            <w:pPr>
              <w:ind w:firstLine="0"/>
              <w:jc w:val="left"/>
              <w:rPr>
                <w:i/>
                <w:iCs/>
              </w:rPr>
            </w:pPr>
          </w:p>
          <w:p w14:paraId="6A08A4B3" w14:textId="77777777" w:rsidR="00250343" w:rsidRPr="0026420A" w:rsidRDefault="00250343" w:rsidP="00CB0A00">
            <w:pPr>
              <w:ind w:firstLine="0"/>
              <w:jc w:val="left"/>
              <w:rPr>
                <w:i/>
                <w:iCs/>
              </w:rPr>
            </w:pPr>
          </w:p>
          <w:p w14:paraId="3E84402A" w14:textId="77777777" w:rsidR="00250343" w:rsidRPr="0026420A" w:rsidRDefault="00250343" w:rsidP="00CB0A00">
            <w:pPr>
              <w:ind w:firstLine="0"/>
              <w:jc w:val="left"/>
              <w:rPr>
                <w:i/>
                <w:iCs/>
              </w:rPr>
            </w:pPr>
          </w:p>
          <w:p w14:paraId="43EF1962" w14:textId="77777777" w:rsidR="00250343" w:rsidRPr="0026420A" w:rsidRDefault="00250343" w:rsidP="00CB0A00">
            <w:pPr>
              <w:ind w:firstLine="0"/>
              <w:jc w:val="left"/>
              <w:rPr>
                <w:i/>
                <w:iCs/>
              </w:rPr>
            </w:pPr>
          </w:p>
          <w:p w14:paraId="5B6C5851" w14:textId="77777777" w:rsidR="00250343" w:rsidRPr="0026420A" w:rsidRDefault="00250343" w:rsidP="00CB0A00">
            <w:pPr>
              <w:ind w:firstLine="0"/>
              <w:jc w:val="left"/>
              <w:rPr>
                <w:i/>
                <w:iCs/>
              </w:rPr>
            </w:pPr>
          </w:p>
          <w:p w14:paraId="7CFEEE1D" w14:textId="77777777" w:rsidR="00250343" w:rsidRPr="0026420A" w:rsidRDefault="00250343" w:rsidP="00CB0A00">
            <w:pPr>
              <w:ind w:firstLine="0"/>
              <w:jc w:val="left"/>
              <w:rPr>
                <w:i/>
                <w:iCs/>
              </w:rPr>
            </w:pPr>
          </w:p>
          <w:p w14:paraId="1D22D4FD" w14:textId="77777777" w:rsidR="00250343" w:rsidRPr="0026420A" w:rsidRDefault="00250343" w:rsidP="00CB0A00">
            <w:pPr>
              <w:ind w:firstLine="0"/>
              <w:jc w:val="left"/>
              <w:rPr>
                <w:i/>
                <w:iCs/>
              </w:rPr>
            </w:pPr>
          </w:p>
          <w:p w14:paraId="3325B194" w14:textId="77777777" w:rsidR="00250343" w:rsidRPr="0026420A" w:rsidRDefault="00250343" w:rsidP="00CB0A00">
            <w:pPr>
              <w:ind w:firstLine="0"/>
              <w:jc w:val="left"/>
              <w:rPr>
                <w:i/>
                <w:iCs/>
              </w:rPr>
            </w:pPr>
          </w:p>
          <w:p w14:paraId="5273A41A" w14:textId="77777777" w:rsidR="00250343" w:rsidRPr="0026420A" w:rsidRDefault="00250343" w:rsidP="00CB0A00">
            <w:pPr>
              <w:ind w:firstLine="0"/>
              <w:jc w:val="left"/>
              <w:rPr>
                <w:i/>
                <w:iCs/>
              </w:rPr>
            </w:pPr>
          </w:p>
          <w:p w14:paraId="3EA87FE8" w14:textId="77777777" w:rsidR="00250343" w:rsidRPr="0026420A" w:rsidRDefault="00250343" w:rsidP="00CB0A00">
            <w:pPr>
              <w:ind w:firstLine="0"/>
              <w:jc w:val="left"/>
              <w:rPr>
                <w:i/>
                <w:iCs/>
              </w:rPr>
            </w:pPr>
          </w:p>
          <w:p w14:paraId="03BCCE54" w14:textId="77777777" w:rsidR="00250343" w:rsidRPr="0026420A" w:rsidRDefault="00250343" w:rsidP="00CB0A00">
            <w:pPr>
              <w:ind w:firstLine="0"/>
              <w:jc w:val="left"/>
              <w:rPr>
                <w:i/>
                <w:iCs/>
              </w:rPr>
            </w:pPr>
          </w:p>
          <w:p w14:paraId="3CC4889D" w14:textId="77777777" w:rsidR="00250343" w:rsidRPr="0026420A" w:rsidRDefault="00250343" w:rsidP="00CB0A00">
            <w:pPr>
              <w:ind w:firstLine="0"/>
              <w:jc w:val="left"/>
              <w:rPr>
                <w:i/>
                <w:iCs/>
              </w:rPr>
            </w:pPr>
          </w:p>
          <w:p w14:paraId="3A184AB3" w14:textId="77777777" w:rsidR="00250343" w:rsidRPr="0026420A" w:rsidRDefault="00250343" w:rsidP="00CB0A00">
            <w:pPr>
              <w:ind w:firstLine="0"/>
              <w:jc w:val="left"/>
              <w:rPr>
                <w:i/>
                <w:iCs/>
              </w:rPr>
            </w:pPr>
          </w:p>
          <w:p w14:paraId="4F1EE3DC" w14:textId="77777777" w:rsidR="00250343" w:rsidRPr="0026420A" w:rsidRDefault="00250343" w:rsidP="00CB0A00">
            <w:pPr>
              <w:ind w:firstLine="0"/>
              <w:jc w:val="left"/>
              <w:rPr>
                <w:i/>
                <w:iCs/>
              </w:rPr>
            </w:pPr>
          </w:p>
          <w:p w14:paraId="71DA8049" w14:textId="77777777" w:rsidR="00250343" w:rsidRPr="0026420A" w:rsidRDefault="00250343" w:rsidP="00CB0A00">
            <w:pPr>
              <w:ind w:firstLine="0"/>
              <w:jc w:val="left"/>
              <w:rPr>
                <w:i/>
                <w:iCs/>
              </w:rPr>
            </w:pPr>
          </w:p>
          <w:p w14:paraId="2551609A" w14:textId="77777777" w:rsidR="00250343" w:rsidRPr="0026420A" w:rsidRDefault="00250343" w:rsidP="00CB0A00">
            <w:pPr>
              <w:ind w:firstLine="0"/>
              <w:jc w:val="left"/>
              <w:rPr>
                <w:i/>
                <w:iCs/>
              </w:rPr>
            </w:pPr>
          </w:p>
          <w:p w14:paraId="06DC4461" w14:textId="77777777" w:rsidR="00250343" w:rsidRPr="0026420A" w:rsidRDefault="00250343" w:rsidP="00CB0A00">
            <w:pPr>
              <w:ind w:firstLine="0"/>
              <w:jc w:val="left"/>
              <w:rPr>
                <w:i/>
                <w:iCs/>
              </w:rPr>
            </w:pPr>
          </w:p>
          <w:p w14:paraId="46CE3B9D" w14:textId="77777777" w:rsidR="00250343" w:rsidRPr="0026420A" w:rsidRDefault="00250343" w:rsidP="00CB0A00">
            <w:pPr>
              <w:ind w:firstLine="0"/>
              <w:jc w:val="left"/>
              <w:rPr>
                <w:i/>
                <w:iCs/>
              </w:rPr>
            </w:pPr>
          </w:p>
          <w:p w14:paraId="7BA51B7D" w14:textId="77777777" w:rsidR="00250343" w:rsidRPr="0026420A" w:rsidRDefault="00250343" w:rsidP="00CB0A00">
            <w:pPr>
              <w:ind w:firstLine="0"/>
              <w:jc w:val="left"/>
              <w:rPr>
                <w:i/>
                <w:iCs/>
              </w:rPr>
            </w:pPr>
          </w:p>
          <w:p w14:paraId="414FD165" w14:textId="77777777" w:rsidR="00250343" w:rsidRPr="0026420A" w:rsidRDefault="00250343" w:rsidP="00CB0A00">
            <w:pPr>
              <w:ind w:firstLine="0"/>
              <w:jc w:val="left"/>
              <w:rPr>
                <w:i/>
                <w:iCs/>
              </w:rPr>
            </w:pPr>
          </w:p>
          <w:p w14:paraId="32240CFE" w14:textId="77777777" w:rsidR="00250343" w:rsidRPr="0026420A" w:rsidRDefault="00250343" w:rsidP="00CB0A00">
            <w:pPr>
              <w:ind w:firstLine="0"/>
              <w:jc w:val="left"/>
              <w:rPr>
                <w:i/>
                <w:iCs/>
              </w:rPr>
            </w:pPr>
          </w:p>
          <w:p w14:paraId="772A333E" w14:textId="77777777" w:rsidR="00250343" w:rsidRPr="0026420A" w:rsidRDefault="00250343" w:rsidP="00CB0A00">
            <w:pPr>
              <w:ind w:firstLine="0"/>
              <w:jc w:val="left"/>
              <w:rPr>
                <w:i/>
                <w:iCs/>
              </w:rPr>
            </w:pPr>
          </w:p>
          <w:p w14:paraId="5E5408C8" w14:textId="77777777" w:rsidR="00250343" w:rsidRPr="0026420A" w:rsidRDefault="00250343" w:rsidP="00CB0A00">
            <w:pPr>
              <w:ind w:firstLine="0"/>
              <w:jc w:val="left"/>
              <w:rPr>
                <w:i/>
                <w:iCs/>
              </w:rPr>
            </w:pPr>
          </w:p>
          <w:p w14:paraId="406F0DBF" w14:textId="77777777" w:rsidR="00250343" w:rsidRPr="0026420A" w:rsidRDefault="00250343" w:rsidP="00CB0A00">
            <w:pPr>
              <w:ind w:firstLine="0"/>
              <w:jc w:val="left"/>
              <w:rPr>
                <w:i/>
                <w:iCs/>
              </w:rPr>
            </w:pPr>
          </w:p>
          <w:p w14:paraId="6DCE6137" w14:textId="77777777" w:rsidR="00250343" w:rsidRPr="0026420A" w:rsidRDefault="00250343" w:rsidP="00CB0A00">
            <w:pPr>
              <w:ind w:firstLine="0"/>
              <w:jc w:val="left"/>
              <w:rPr>
                <w:i/>
                <w:iCs/>
              </w:rPr>
            </w:pPr>
          </w:p>
          <w:p w14:paraId="4E7DBE28" w14:textId="77777777" w:rsidR="00250343" w:rsidRPr="0026420A" w:rsidRDefault="00250343" w:rsidP="00CB0A00">
            <w:pPr>
              <w:ind w:firstLine="0"/>
              <w:jc w:val="left"/>
              <w:rPr>
                <w:i/>
                <w:iCs/>
              </w:rPr>
            </w:pPr>
          </w:p>
          <w:p w14:paraId="3D25FA67" w14:textId="77777777" w:rsidR="00250343" w:rsidRPr="0026420A" w:rsidRDefault="00250343" w:rsidP="00CB0A00">
            <w:pPr>
              <w:ind w:firstLine="0"/>
              <w:jc w:val="left"/>
              <w:rPr>
                <w:i/>
                <w:iCs/>
              </w:rPr>
            </w:pPr>
          </w:p>
          <w:p w14:paraId="086BC615" w14:textId="77777777" w:rsidR="00250343" w:rsidRPr="0026420A" w:rsidRDefault="00250343" w:rsidP="00CB0A00">
            <w:pPr>
              <w:ind w:firstLine="0"/>
              <w:jc w:val="left"/>
              <w:rPr>
                <w:i/>
                <w:iCs/>
              </w:rPr>
            </w:pPr>
          </w:p>
          <w:p w14:paraId="177A6D73" w14:textId="77777777" w:rsidR="00250343" w:rsidRPr="0026420A" w:rsidRDefault="00250343" w:rsidP="00CB0A00">
            <w:pPr>
              <w:ind w:firstLine="0"/>
              <w:jc w:val="left"/>
              <w:rPr>
                <w:i/>
                <w:iCs/>
              </w:rPr>
            </w:pPr>
          </w:p>
          <w:p w14:paraId="074975A9" w14:textId="77777777" w:rsidR="00250343" w:rsidRPr="0026420A" w:rsidRDefault="00250343" w:rsidP="00CB0A00">
            <w:pPr>
              <w:ind w:firstLine="0"/>
              <w:jc w:val="left"/>
              <w:rPr>
                <w:i/>
                <w:iCs/>
              </w:rPr>
            </w:pPr>
          </w:p>
          <w:p w14:paraId="409C96A2" w14:textId="77777777" w:rsidR="00250343" w:rsidRPr="0026420A" w:rsidRDefault="00250343" w:rsidP="00CB0A00">
            <w:pPr>
              <w:ind w:firstLine="0"/>
              <w:jc w:val="left"/>
              <w:rPr>
                <w:i/>
                <w:iCs/>
              </w:rPr>
            </w:pPr>
          </w:p>
          <w:p w14:paraId="44489E6B" w14:textId="77777777" w:rsidR="00250343" w:rsidRPr="0026420A" w:rsidRDefault="00250343" w:rsidP="00CB0A00">
            <w:pPr>
              <w:ind w:firstLine="0"/>
              <w:jc w:val="left"/>
              <w:rPr>
                <w:i/>
                <w:iCs/>
              </w:rPr>
            </w:pPr>
          </w:p>
          <w:p w14:paraId="4BD27E1E" w14:textId="77777777" w:rsidR="00250343" w:rsidRPr="0026420A" w:rsidRDefault="00250343" w:rsidP="00CB0A00">
            <w:pPr>
              <w:ind w:firstLine="0"/>
              <w:jc w:val="left"/>
              <w:rPr>
                <w:i/>
                <w:iCs/>
              </w:rPr>
            </w:pPr>
          </w:p>
          <w:p w14:paraId="684C180E" w14:textId="77777777" w:rsidR="00250343" w:rsidRPr="0026420A" w:rsidRDefault="00250343" w:rsidP="00CB0A00">
            <w:pPr>
              <w:ind w:firstLine="0"/>
              <w:jc w:val="left"/>
              <w:rPr>
                <w:i/>
                <w:iCs/>
              </w:rPr>
            </w:pPr>
          </w:p>
          <w:p w14:paraId="5E3C06C2" w14:textId="1CA45B37" w:rsidR="00250343" w:rsidRPr="0026420A" w:rsidRDefault="00250343" w:rsidP="00CB0A00">
            <w:pPr>
              <w:ind w:firstLine="0"/>
              <w:jc w:val="left"/>
              <w:rPr>
                <w:i/>
                <w:iCs/>
              </w:rPr>
            </w:pPr>
          </w:p>
        </w:tc>
        <w:tc>
          <w:tcPr>
            <w:tcW w:w="579" w:type="dxa"/>
            <w:tcMar>
              <w:top w:w="0" w:type="dxa"/>
              <w:left w:w="108" w:type="dxa"/>
              <w:bottom w:w="0" w:type="dxa"/>
              <w:right w:w="108" w:type="dxa"/>
            </w:tcMar>
          </w:tcPr>
          <w:p w14:paraId="3FDC307F" w14:textId="77777777" w:rsidR="009A1A36" w:rsidRPr="0026420A" w:rsidRDefault="009A1A36" w:rsidP="00CB0A0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20011D2C" w14:textId="77777777" w:rsidR="009A1A36" w:rsidRPr="0026420A" w:rsidRDefault="009A1A36" w:rsidP="00CB0A00">
            <w:pPr>
              <w:tabs>
                <w:tab w:val="left" w:pos="1635"/>
              </w:tabs>
              <w:ind w:firstLine="0"/>
              <w:rPr>
                <w:b/>
                <w:bCs/>
              </w:rPr>
            </w:pPr>
            <w:r w:rsidRPr="0026420A">
              <w:rPr>
                <w:b/>
                <w:bCs/>
              </w:rPr>
              <w:t>Art. 2 alin. (6)</w:t>
            </w:r>
          </w:p>
          <w:p w14:paraId="65C8F474" w14:textId="77777777" w:rsidR="009A1A36" w:rsidRPr="0026420A" w:rsidRDefault="009A1A36" w:rsidP="00CB0A00">
            <w:pPr>
              <w:tabs>
                <w:tab w:val="left" w:pos="1635"/>
              </w:tabs>
              <w:ind w:firstLine="0"/>
            </w:pPr>
            <w:r w:rsidRPr="0026420A">
              <w:t xml:space="preserve">Prevederea stabilește obligația generală a participanților la piața </w:t>
            </w:r>
            <w:proofErr w:type="spellStart"/>
            <w:r w:rsidRPr="0026420A">
              <w:t>criptoactivelor</w:t>
            </w:r>
            <w:proofErr w:type="spellEnd"/>
            <w:r w:rsidRPr="0026420A">
              <w:t xml:space="preserve"> de a respecta prevederile Legii nr. 308/2017 cu privire la prevenirea și combaterea spălării banilor și finanțării terorismului. Proiectul însă nu reglementează în mod suficient modul în care participanții implicați (alta decât băncile) sunt obligați să respecte prevederile Legii, fără ca aceștia să fie incluse în lista entităților raportoare, precum și mecanismele concrete de interacțiune și cooperare dintre furnizorii de servicii de </w:t>
            </w:r>
            <w:proofErr w:type="spellStart"/>
            <w:r w:rsidRPr="0026420A">
              <w:t>criptoactive</w:t>
            </w:r>
            <w:proofErr w:type="spellEnd"/>
            <w:r w:rsidRPr="0026420A">
              <w:t xml:space="preserve"> și bănci, prestatori de servicii de plată ș.a. entități raportoare care asigură infrastructura de plăți și deservirea bancară aferentă acestor activități. </w:t>
            </w:r>
          </w:p>
          <w:p w14:paraId="6956ED51" w14:textId="77777777" w:rsidR="009A1A36" w:rsidRPr="0026420A" w:rsidRDefault="009A1A36" w:rsidP="00CB0A00">
            <w:pPr>
              <w:tabs>
                <w:tab w:val="left" w:pos="1635"/>
              </w:tabs>
              <w:ind w:firstLine="0"/>
            </w:pPr>
            <w:r w:rsidRPr="0026420A">
              <w:t xml:space="preserve">În practică, implementarea cadrului propus poate genera riscul de transferare indirectă asupra instituțiilor financiare și a prestatorilor de servicii de plată a unui nivel semnificativ de risc operațional, </w:t>
            </w:r>
            <w:proofErr w:type="spellStart"/>
            <w:r w:rsidRPr="0026420A">
              <w:t>reputațional</w:t>
            </w:r>
            <w:proofErr w:type="spellEnd"/>
            <w:r w:rsidRPr="0026420A">
              <w:t xml:space="preserve"> și de conformitate, inclusiv sub aspectul: </w:t>
            </w:r>
          </w:p>
          <w:p w14:paraId="46DB1AD6" w14:textId="77777777" w:rsidR="009A1A36" w:rsidRPr="0026420A" w:rsidRDefault="009A1A36" w:rsidP="00CB0A00">
            <w:pPr>
              <w:tabs>
                <w:tab w:val="left" w:pos="1635"/>
              </w:tabs>
              <w:ind w:firstLine="0"/>
            </w:pPr>
            <w:r w:rsidRPr="0026420A">
              <w:t xml:space="preserve">- aplicării măsurilor de precauție, inclusiv obligația de verificare a sursei fondurilor; </w:t>
            </w:r>
          </w:p>
          <w:p w14:paraId="5EA1587C" w14:textId="77777777" w:rsidR="009A1A36" w:rsidRPr="0026420A" w:rsidRDefault="009A1A36" w:rsidP="00CB0A00">
            <w:pPr>
              <w:tabs>
                <w:tab w:val="left" w:pos="1635"/>
              </w:tabs>
              <w:ind w:firstLine="0"/>
            </w:pPr>
            <w:r w:rsidRPr="0026420A">
              <w:t xml:space="preserve">- monitorizării tranzacțiilor; </w:t>
            </w:r>
          </w:p>
          <w:p w14:paraId="6ECC7798" w14:textId="77777777" w:rsidR="009A1A36" w:rsidRPr="0026420A" w:rsidRDefault="009A1A36" w:rsidP="00CB0A00">
            <w:pPr>
              <w:tabs>
                <w:tab w:val="left" w:pos="1635"/>
              </w:tabs>
              <w:ind w:firstLine="0"/>
            </w:pPr>
            <w:r w:rsidRPr="0026420A">
              <w:t xml:space="preserve">- identificării beneficiarilor efectivi; </w:t>
            </w:r>
          </w:p>
          <w:p w14:paraId="3514E74C" w14:textId="77777777" w:rsidR="009A1A36" w:rsidRPr="0026420A" w:rsidRDefault="009A1A36" w:rsidP="00CB0A00">
            <w:pPr>
              <w:tabs>
                <w:tab w:val="left" w:pos="1635"/>
              </w:tabs>
              <w:ind w:firstLine="0"/>
            </w:pPr>
            <w:r w:rsidRPr="0026420A">
              <w:t xml:space="preserve">- evaluării trasabilității tranzacțiilor; </w:t>
            </w:r>
          </w:p>
          <w:p w14:paraId="7DFA29CB" w14:textId="77777777" w:rsidR="009A1A36" w:rsidRPr="0026420A" w:rsidRDefault="009A1A36" w:rsidP="00CB0A00">
            <w:pPr>
              <w:tabs>
                <w:tab w:val="left" w:pos="1635"/>
              </w:tabs>
              <w:ind w:firstLine="0"/>
            </w:pPr>
            <w:r w:rsidRPr="0026420A">
              <w:t xml:space="preserve">- screening-ului sancțiunilor internaționale; </w:t>
            </w:r>
          </w:p>
          <w:p w14:paraId="01225320" w14:textId="77777777" w:rsidR="009A1A36" w:rsidRPr="0026420A" w:rsidRDefault="009A1A36" w:rsidP="00CB0A00">
            <w:pPr>
              <w:tabs>
                <w:tab w:val="left" w:pos="1635"/>
              </w:tabs>
              <w:ind w:firstLine="0"/>
            </w:pPr>
            <w:r w:rsidRPr="0026420A">
              <w:t xml:space="preserve">- evaluării mecanismelor utilizate în cadrul tranzacțiilor cu </w:t>
            </w:r>
            <w:proofErr w:type="spellStart"/>
            <w:r w:rsidRPr="0026420A">
              <w:t>criptoactive</w:t>
            </w:r>
            <w:proofErr w:type="spellEnd"/>
            <w:r w:rsidRPr="0026420A">
              <w:t xml:space="preserve">; ș.a. </w:t>
            </w:r>
          </w:p>
          <w:p w14:paraId="1CDBA834" w14:textId="77777777" w:rsidR="009A1A36" w:rsidRPr="0026420A" w:rsidRDefault="009A1A36" w:rsidP="00CB0A00">
            <w:pPr>
              <w:tabs>
                <w:tab w:val="left" w:pos="1635"/>
              </w:tabs>
              <w:ind w:firstLine="0"/>
            </w:pPr>
            <w:r w:rsidRPr="0026420A">
              <w:t xml:space="preserve">Or, spre deosebire de infrastructura financiară tradițională, anumite categorii de tranzacții cu </w:t>
            </w:r>
            <w:proofErr w:type="spellStart"/>
            <w:r w:rsidRPr="0026420A">
              <w:t>criptoactive</w:t>
            </w:r>
            <w:proofErr w:type="spellEnd"/>
            <w:r w:rsidRPr="0026420A">
              <w:t xml:space="preserve"> implică elemente sporite de opacitate și dificultăți de trasabilitate, și chiar interacțiunii cu platforme sau jurisdicții care nu sunt supuse unor standarde echivalente de reglementare și supraveghere. </w:t>
            </w:r>
          </w:p>
          <w:p w14:paraId="31D08180" w14:textId="77777777" w:rsidR="009A1A36" w:rsidRPr="0026420A" w:rsidRDefault="009A1A36" w:rsidP="00CB0A00">
            <w:pPr>
              <w:tabs>
                <w:tab w:val="left" w:pos="1635"/>
              </w:tabs>
              <w:ind w:firstLine="0"/>
            </w:pPr>
            <w:r w:rsidRPr="0026420A">
              <w:t xml:space="preserve">Totodată, proiectul nu stabilește obligații suficiente în sarcina furnizorilor de servicii de </w:t>
            </w:r>
            <w:proofErr w:type="spellStart"/>
            <w:r w:rsidRPr="0026420A">
              <w:t>criptoactive</w:t>
            </w:r>
            <w:proofErr w:type="spellEnd"/>
            <w:r w:rsidRPr="0026420A">
              <w:t xml:space="preserve"> privind transparența informațională și furnizarea datelor necesare instituțiilor financiare pentru realizarea măsurilor control și monitorizare continuă. Or, utilizarea termenului de „transparență” în tot textul proiectului de lege este făcută în mod vag, neclar. În acest context, considerăm necesară includerea categoriilor de persoane implicate în emiterea, oferta publică de </w:t>
            </w:r>
            <w:proofErr w:type="spellStart"/>
            <w:r w:rsidRPr="0026420A">
              <w:t>criptoactive</w:t>
            </w:r>
            <w:proofErr w:type="spellEnd"/>
            <w:r w:rsidRPr="0026420A">
              <w:t xml:space="preserve"> și admiterea la tranzacționare a </w:t>
            </w:r>
            <w:proofErr w:type="spellStart"/>
            <w:r w:rsidRPr="0026420A">
              <w:t>criptoactivelor</w:t>
            </w:r>
            <w:proofErr w:type="spellEnd"/>
            <w:r w:rsidRPr="0026420A">
              <w:t xml:space="preserve"> sau care furnizează servicii de </w:t>
            </w:r>
            <w:proofErr w:type="spellStart"/>
            <w:r w:rsidRPr="0026420A">
              <w:t>criptoactive</w:t>
            </w:r>
            <w:proofErr w:type="spellEnd"/>
            <w:r w:rsidRPr="0026420A">
              <w:t xml:space="preserve"> în Republica Moldova – în categoria entităților raportoare în conținutul art. 4 din Legea 308/2017, sau după caz, completarea normei cu prevederi exprese care: </w:t>
            </w:r>
          </w:p>
          <w:p w14:paraId="2704C9BB" w14:textId="77777777" w:rsidR="009A1A36" w:rsidRPr="0026420A" w:rsidRDefault="009A1A36" w:rsidP="00CB0A00">
            <w:pPr>
              <w:tabs>
                <w:tab w:val="left" w:pos="1635"/>
              </w:tabs>
              <w:ind w:firstLine="0"/>
            </w:pPr>
            <w:r w:rsidRPr="0026420A">
              <w:lastRenderedPageBreak/>
              <w:t xml:space="preserve">a) să instituie obligația persoanelor implicate de a furniza băncilor și prestatorilor de servicii de plată informațiile necesare pentru realizarea măsurilor AML/CFT; SP-2 </w:t>
            </w:r>
          </w:p>
          <w:p w14:paraId="7DBBCBEE" w14:textId="77777777" w:rsidR="009A1A36" w:rsidRPr="0026420A" w:rsidRDefault="009A1A36" w:rsidP="00CB0A00">
            <w:pPr>
              <w:tabs>
                <w:tab w:val="left" w:pos="1635"/>
              </w:tabs>
              <w:ind w:firstLine="0"/>
            </w:pPr>
            <w:r w:rsidRPr="0026420A">
              <w:t xml:space="preserve">b) să confirme dreptul băncilor și al prestatorilor de servicii de plată de a aplica măsuri bazate pe risc, inclusiv restricționarea sau refuzul anumitor relații de afaceri și operațiuni aferente activităților cu </w:t>
            </w:r>
            <w:proofErr w:type="spellStart"/>
            <w:r w:rsidRPr="0026420A">
              <w:t>criptoactive</w:t>
            </w:r>
            <w:proofErr w:type="spellEnd"/>
            <w:r w:rsidRPr="0026420A">
              <w:t xml:space="preserve">; </w:t>
            </w:r>
          </w:p>
          <w:p w14:paraId="7D3D40D0" w14:textId="288B6C7A" w:rsidR="009A1A36" w:rsidRPr="0026420A" w:rsidRDefault="009A1A36" w:rsidP="00CB0A00">
            <w:pPr>
              <w:tabs>
                <w:tab w:val="left" w:pos="1635"/>
              </w:tabs>
              <w:ind w:firstLine="0"/>
            </w:pPr>
            <w:r w:rsidRPr="0026420A">
              <w:t>c) să prevadă mecanisme minime de cooperare și schimb de informații între participanții la piață și entitățile din sectorul financiar.</w:t>
            </w:r>
          </w:p>
        </w:tc>
        <w:tc>
          <w:tcPr>
            <w:tcW w:w="5281" w:type="dxa"/>
            <w:tcMar>
              <w:top w:w="0" w:type="dxa"/>
              <w:left w:w="108" w:type="dxa"/>
              <w:bottom w:w="0" w:type="dxa"/>
              <w:right w:w="108" w:type="dxa"/>
            </w:tcMar>
          </w:tcPr>
          <w:p w14:paraId="07CD3BB2" w14:textId="77777777" w:rsidR="009A1A36" w:rsidRPr="0026420A" w:rsidRDefault="009A1A36" w:rsidP="00CB0A00">
            <w:pPr>
              <w:tabs>
                <w:tab w:val="left" w:pos="1635"/>
              </w:tabs>
              <w:ind w:firstLine="0"/>
              <w:rPr>
                <w:b/>
                <w:bCs/>
              </w:rPr>
            </w:pPr>
            <w:r w:rsidRPr="0026420A">
              <w:rPr>
                <w:b/>
                <w:bCs/>
              </w:rPr>
              <w:lastRenderedPageBreak/>
              <w:t>Se acceptă parțial.</w:t>
            </w:r>
          </w:p>
          <w:p w14:paraId="31EC731C" w14:textId="6777D80E" w:rsidR="009A1A36" w:rsidRPr="0026420A" w:rsidRDefault="009A1A36" w:rsidP="00CB0A00">
            <w:pPr>
              <w:ind w:firstLine="0"/>
            </w:pPr>
            <w:r w:rsidRPr="0026420A">
              <w:t>Alineatul (6) de la articol 2 din proiectul de Lege se exclude.</w:t>
            </w:r>
          </w:p>
        </w:tc>
      </w:tr>
      <w:tr w:rsidR="009A1A36" w:rsidRPr="0026420A" w14:paraId="711E556E" w14:textId="77777777" w:rsidTr="001F4857">
        <w:trPr>
          <w:trHeight w:val="300"/>
        </w:trPr>
        <w:tc>
          <w:tcPr>
            <w:tcW w:w="2206" w:type="dxa"/>
            <w:vMerge/>
            <w:tcMar>
              <w:top w:w="0" w:type="dxa"/>
              <w:left w:w="108" w:type="dxa"/>
              <w:bottom w:w="0" w:type="dxa"/>
              <w:right w:w="108" w:type="dxa"/>
            </w:tcMar>
          </w:tcPr>
          <w:p w14:paraId="17BA0168" w14:textId="77777777" w:rsidR="009A1A36" w:rsidRPr="0026420A" w:rsidRDefault="009A1A36" w:rsidP="00CB0A00">
            <w:pPr>
              <w:ind w:firstLine="0"/>
              <w:jc w:val="left"/>
              <w:rPr>
                <w:b/>
                <w:bCs/>
              </w:rPr>
            </w:pPr>
          </w:p>
        </w:tc>
        <w:tc>
          <w:tcPr>
            <w:tcW w:w="579" w:type="dxa"/>
            <w:tcMar>
              <w:top w:w="0" w:type="dxa"/>
              <w:left w:w="108" w:type="dxa"/>
              <w:bottom w:w="0" w:type="dxa"/>
              <w:right w:w="108" w:type="dxa"/>
            </w:tcMar>
          </w:tcPr>
          <w:p w14:paraId="55D4AA27" w14:textId="77777777" w:rsidR="009A1A36" w:rsidRPr="0026420A" w:rsidRDefault="009A1A36" w:rsidP="00CB0A0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096AFD22" w14:textId="77777777" w:rsidR="009A1A36" w:rsidRPr="0026420A" w:rsidRDefault="009A1A36" w:rsidP="00CB0A00">
            <w:pPr>
              <w:tabs>
                <w:tab w:val="left" w:pos="1635"/>
              </w:tabs>
              <w:ind w:firstLine="0"/>
              <w:rPr>
                <w:b/>
                <w:bCs/>
              </w:rPr>
            </w:pPr>
            <w:r w:rsidRPr="0026420A">
              <w:rPr>
                <w:b/>
                <w:bCs/>
              </w:rPr>
              <w:t>Art. 10 alin. (3) și (4)</w:t>
            </w:r>
          </w:p>
          <w:p w14:paraId="687DAF6E" w14:textId="77777777" w:rsidR="009A1A36" w:rsidRPr="0026420A" w:rsidRDefault="009A1A36" w:rsidP="00CB0A00">
            <w:pPr>
              <w:tabs>
                <w:tab w:val="left" w:pos="1635"/>
              </w:tabs>
              <w:ind w:firstLine="0"/>
            </w:pPr>
            <w:r w:rsidRPr="0026420A">
              <w:t xml:space="preserve">Articolul 10 alin. (3) și (4) prevede păstrarea fondurilor colectate în cadrul ofertei publice, la instituțiile de credit sau al furnizorilor de servicii de </w:t>
            </w:r>
            <w:proofErr w:type="spellStart"/>
            <w:r w:rsidRPr="0026420A">
              <w:t>criptoactive</w:t>
            </w:r>
            <w:proofErr w:type="spellEnd"/>
            <w:r w:rsidRPr="0026420A">
              <w:t xml:space="preserve"> care asigură custodia și administrarea </w:t>
            </w:r>
            <w:proofErr w:type="spellStart"/>
            <w:r w:rsidRPr="0026420A">
              <w:t>criptoactivelor</w:t>
            </w:r>
            <w:proofErr w:type="spellEnd"/>
            <w:r w:rsidRPr="0026420A">
              <w:t>.</w:t>
            </w:r>
          </w:p>
          <w:p w14:paraId="38C00400" w14:textId="77777777" w:rsidR="009A1A36" w:rsidRPr="0026420A" w:rsidRDefault="009A1A36" w:rsidP="00CB0A00">
            <w:pPr>
              <w:tabs>
                <w:tab w:val="left" w:pos="1635"/>
              </w:tabs>
              <w:ind w:firstLine="0"/>
            </w:pPr>
            <w:r w:rsidRPr="0026420A">
              <w:t xml:space="preserve">În forma actuală, norma nu stabilește regimul juridic al fondurilor respective, delimitarea responsabilităților dintre ofertant și instituția de credit și limitele obligațiilor instituției de credit aferente verificării operațiunilor și proiectului de </w:t>
            </w:r>
            <w:proofErr w:type="spellStart"/>
            <w:r w:rsidRPr="0026420A">
              <w:t>criptoactive</w:t>
            </w:r>
            <w:proofErr w:type="spellEnd"/>
            <w:r w:rsidRPr="0026420A">
              <w:t>.</w:t>
            </w:r>
          </w:p>
          <w:p w14:paraId="39664333" w14:textId="77777777" w:rsidR="009A1A36" w:rsidRPr="0026420A" w:rsidRDefault="009A1A36" w:rsidP="00CB0A00">
            <w:pPr>
              <w:tabs>
                <w:tab w:val="left" w:pos="1635"/>
              </w:tabs>
              <w:ind w:firstLine="0"/>
            </w:pPr>
            <w:r w:rsidRPr="0026420A">
              <w:t xml:space="preserve">În lipsa unor clarificări exprese, există riscul interpretării potrivit căreia instituțiile de credit ar deține obligații suplimentare de acceptare, monitorizare, supraveghere sau garantare indirectă a fondurilor sau a </w:t>
            </w:r>
            <w:proofErr w:type="spellStart"/>
            <w:r w:rsidRPr="0026420A">
              <w:t>criptoactivelor</w:t>
            </w:r>
            <w:proofErr w:type="spellEnd"/>
            <w:r w:rsidRPr="0026420A">
              <w:t>.</w:t>
            </w:r>
          </w:p>
          <w:p w14:paraId="232CD525" w14:textId="77777777" w:rsidR="009A1A36" w:rsidRPr="0026420A" w:rsidRDefault="009A1A36" w:rsidP="00CB0A00">
            <w:pPr>
              <w:tabs>
                <w:tab w:val="left" w:pos="1635"/>
              </w:tabs>
              <w:ind w:firstLine="0"/>
            </w:pPr>
            <w:r w:rsidRPr="0026420A">
              <w:t>În acest context, considerăm necesară completarea normei cu prevederi exprese privind:</w:t>
            </w:r>
          </w:p>
          <w:p w14:paraId="09F9A936" w14:textId="77777777" w:rsidR="009A1A36" w:rsidRPr="0026420A" w:rsidRDefault="009A1A36" w:rsidP="00CB0A00">
            <w:pPr>
              <w:tabs>
                <w:tab w:val="left" w:pos="1635"/>
              </w:tabs>
              <w:ind w:firstLine="0"/>
            </w:pPr>
            <w:r w:rsidRPr="0026420A">
              <w:t>a) delimitarea responsabilităților ofertantului și instituției de credit;</w:t>
            </w:r>
          </w:p>
          <w:p w14:paraId="49DD3C02" w14:textId="77777777" w:rsidR="009A1A36" w:rsidRPr="0026420A" w:rsidRDefault="009A1A36" w:rsidP="00CB0A00">
            <w:pPr>
              <w:tabs>
                <w:tab w:val="left" w:pos="1635"/>
              </w:tabs>
              <w:ind w:firstLine="0"/>
            </w:pPr>
            <w:r w:rsidRPr="0026420A">
              <w:t xml:space="preserve">b) inexistența obligației instituției de credit de validare a legalității, viabilității sau sustenabilității proiectului de </w:t>
            </w:r>
            <w:proofErr w:type="spellStart"/>
            <w:r w:rsidRPr="0026420A">
              <w:t>criptoactive</w:t>
            </w:r>
            <w:proofErr w:type="spellEnd"/>
            <w:r w:rsidRPr="0026420A">
              <w:t>;</w:t>
            </w:r>
          </w:p>
          <w:p w14:paraId="5A907CEC" w14:textId="4753E5D4" w:rsidR="009A1A36" w:rsidRPr="0026420A" w:rsidRDefault="009A1A36" w:rsidP="00CB0A00">
            <w:pPr>
              <w:tabs>
                <w:tab w:val="left" w:pos="1635"/>
              </w:tabs>
              <w:ind w:firstLine="0"/>
            </w:pPr>
            <w:r w:rsidRPr="0026420A">
              <w:t>c) regimul juridic și mecanismele de protecție aplicabile fondurilor colectate.</w:t>
            </w:r>
          </w:p>
        </w:tc>
        <w:tc>
          <w:tcPr>
            <w:tcW w:w="5281" w:type="dxa"/>
            <w:tcMar>
              <w:top w:w="0" w:type="dxa"/>
              <w:left w:w="108" w:type="dxa"/>
              <w:bottom w:w="0" w:type="dxa"/>
              <w:right w:w="108" w:type="dxa"/>
            </w:tcMar>
          </w:tcPr>
          <w:p w14:paraId="653FBC4F" w14:textId="77777777" w:rsidR="009A1A36" w:rsidRPr="0026420A" w:rsidRDefault="009A1A36" w:rsidP="00CB0A00">
            <w:pPr>
              <w:ind w:firstLine="0"/>
              <w:rPr>
                <w:b/>
                <w:bCs/>
              </w:rPr>
            </w:pPr>
            <w:r w:rsidRPr="0026420A">
              <w:rPr>
                <w:b/>
                <w:bCs/>
              </w:rPr>
              <w:t>Nu se acceptă.</w:t>
            </w:r>
          </w:p>
          <w:p w14:paraId="5927FE09" w14:textId="77777777" w:rsidR="009A1A36" w:rsidRPr="0026420A" w:rsidRDefault="009A1A36" w:rsidP="00CB0A00">
            <w:pPr>
              <w:ind w:firstLine="0"/>
            </w:pPr>
            <w:r w:rsidRPr="0026420A">
              <w:t xml:space="preserve">Proiectul de lege instituie cadrul primar de reglementare și supraveghere a pieței </w:t>
            </w:r>
            <w:proofErr w:type="spellStart"/>
            <w:r w:rsidRPr="0026420A">
              <w:t>criptoactivelor</w:t>
            </w:r>
            <w:proofErr w:type="spellEnd"/>
            <w:r w:rsidRPr="0026420A">
              <w:t xml:space="preserve">, în conformitate cu cerințele </w:t>
            </w:r>
            <w:proofErr w:type="spellStart"/>
            <w:r w:rsidRPr="0026420A">
              <w:t>MiCA</w:t>
            </w:r>
            <w:proofErr w:type="spellEnd"/>
            <w:r w:rsidRPr="0026420A">
              <w:t xml:space="preserve">, stabilind obligația de bază de păstrare în siguranță a fondurilor colectate în cadrul ofertei publice pentru a asigura protecția investitorilor. </w:t>
            </w:r>
          </w:p>
          <w:p w14:paraId="6E498937" w14:textId="77777777" w:rsidR="009A1A36" w:rsidRPr="0026420A" w:rsidRDefault="009A1A36" w:rsidP="00CB0A00">
            <w:pPr>
              <w:ind w:firstLine="0"/>
            </w:pPr>
            <w:r w:rsidRPr="0026420A">
              <w:t>Cerințele privind armonizarea legislației cu legislația UE impun formularea prevederilor naționale într-o manieră cât mai apropiată de textul și logica regulamentului european, pentru a evita apariția unor divergențe de interpretare, dificultăți de aplicare și riscuri de implementare neuniformă a cadrului normativ.</w:t>
            </w:r>
          </w:p>
          <w:p w14:paraId="1621FD0B" w14:textId="77777777" w:rsidR="009A1A36" w:rsidRPr="0026420A" w:rsidRDefault="009A1A36" w:rsidP="00CB0A00">
            <w:pPr>
              <w:ind w:firstLine="0"/>
            </w:pPr>
            <w:r w:rsidRPr="0026420A">
              <w:t>Elementele de detaliu privind aplicarea tehnică, procedurile operaționale, delimitarea detaliată a responsabilităților operaționale dintre ofertant și instituția de credit (pct. a-c) urmează să fie dezvoltate prin acte normative subsecvente care transpun standarde tehnice elaborate de ESMA si EBA aprobate de Comisia Europeana  prin regulamente delegate și de punere in aplicare.</w:t>
            </w:r>
          </w:p>
          <w:p w14:paraId="74155301" w14:textId="78A4CC54" w:rsidR="009A1A36" w:rsidRPr="0026420A" w:rsidRDefault="009A1A36" w:rsidP="00B37029">
            <w:pPr>
              <w:ind w:firstLine="0"/>
            </w:pPr>
          </w:p>
        </w:tc>
      </w:tr>
      <w:tr w:rsidR="009A1A36" w:rsidRPr="0026420A" w14:paraId="3C72AB53" w14:textId="77777777" w:rsidTr="001F4857">
        <w:trPr>
          <w:trHeight w:val="300"/>
        </w:trPr>
        <w:tc>
          <w:tcPr>
            <w:tcW w:w="2206" w:type="dxa"/>
            <w:vMerge/>
            <w:tcMar>
              <w:top w:w="0" w:type="dxa"/>
              <w:left w:w="108" w:type="dxa"/>
              <w:bottom w:w="0" w:type="dxa"/>
              <w:right w:w="108" w:type="dxa"/>
            </w:tcMar>
          </w:tcPr>
          <w:p w14:paraId="2FE1495D" w14:textId="77777777" w:rsidR="009A1A36" w:rsidRPr="0026420A" w:rsidRDefault="009A1A36" w:rsidP="00CB0A00">
            <w:pPr>
              <w:ind w:firstLine="0"/>
              <w:jc w:val="left"/>
              <w:rPr>
                <w:b/>
                <w:bCs/>
              </w:rPr>
            </w:pPr>
          </w:p>
        </w:tc>
        <w:tc>
          <w:tcPr>
            <w:tcW w:w="579" w:type="dxa"/>
            <w:tcMar>
              <w:top w:w="0" w:type="dxa"/>
              <w:left w:w="108" w:type="dxa"/>
              <w:bottom w:w="0" w:type="dxa"/>
              <w:right w:w="108" w:type="dxa"/>
            </w:tcMar>
          </w:tcPr>
          <w:p w14:paraId="70C84555" w14:textId="77777777" w:rsidR="009A1A36" w:rsidRPr="0026420A" w:rsidRDefault="009A1A36" w:rsidP="00CB0A0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4B68B49D" w14:textId="77777777" w:rsidR="009A1A36" w:rsidRPr="0026420A" w:rsidRDefault="009A1A36" w:rsidP="00CB0A00">
            <w:pPr>
              <w:tabs>
                <w:tab w:val="left" w:pos="1635"/>
              </w:tabs>
              <w:ind w:firstLine="0"/>
              <w:rPr>
                <w:b/>
                <w:bCs/>
              </w:rPr>
            </w:pPr>
            <w:r w:rsidRPr="0026420A">
              <w:rPr>
                <w:b/>
                <w:bCs/>
              </w:rPr>
              <w:t>Art. 13</w:t>
            </w:r>
          </w:p>
          <w:p w14:paraId="0AE5BCC9" w14:textId="77777777" w:rsidR="009A1A36" w:rsidRPr="0026420A" w:rsidRDefault="009A1A36" w:rsidP="00CB0A00">
            <w:pPr>
              <w:tabs>
                <w:tab w:val="left" w:pos="1635"/>
              </w:tabs>
              <w:ind w:firstLine="0"/>
            </w:pPr>
            <w:r w:rsidRPr="0026420A">
              <w:t xml:space="preserve">Articolul menționat, reglementează dreptul de retragere al deținătorilor de retail (adică al oricărei persoane fizice ce acționează în scopuri care nu sunt legate de activitatea sa comercială, economică, meșteșugărească sau profesională) și obligația rambursării sumelor achitate. </w:t>
            </w:r>
          </w:p>
          <w:p w14:paraId="2A882504" w14:textId="77777777" w:rsidR="009A1A36" w:rsidRPr="0026420A" w:rsidRDefault="009A1A36" w:rsidP="00CB0A00">
            <w:pPr>
              <w:tabs>
                <w:tab w:val="left" w:pos="1635"/>
              </w:tabs>
              <w:ind w:firstLine="0"/>
            </w:pPr>
            <w:r w:rsidRPr="0026420A">
              <w:t xml:space="preserve">Totuși, prevederea nu reglementează suficient responsabilitatea operațională pentru efectuarea rambursării, mecanismele de reversare a tranzacțiilor, implicațiile pentru prestatorii de servicii de plată implicați în executarea transferurilor, situațiile în care activele au fost </w:t>
            </w:r>
            <w:r w:rsidRPr="0026420A">
              <w:lastRenderedPageBreak/>
              <w:t xml:space="preserve">deja convertite, transferate sau tranzacționate, cine suportă toate costurile operaționale, cine suportă după caz riscurile valutare etc. </w:t>
            </w:r>
          </w:p>
          <w:p w14:paraId="4400D48F" w14:textId="77777777" w:rsidR="009A1A36" w:rsidRPr="0026420A" w:rsidRDefault="009A1A36" w:rsidP="00CB0A00">
            <w:pPr>
              <w:tabs>
                <w:tab w:val="left" w:pos="1635"/>
              </w:tabs>
              <w:ind w:firstLine="0"/>
            </w:pPr>
            <w:r w:rsidRPr="0026420A">
              <w:t xml:space="preserve">În lipsa unor clarificări exprese, există riscul transferării indirecte asupra băncilor și prestatorilor de servicii de plată a unor responsabilități operaționale sau chiar litigioase care </w:t>
            </w:r>
            <w:proofErr w:type="spellStart"/>
            <w:r w:rsidRPr="0026420A">
              <w:t>exced</w:t>
            </w:r>
            <w:proofErr w:type="spellEnd"/>
            <w:r w:rsidRPr="0026420A">
              <w:t xml:space="preserve"> natura serviciilor bancare și/sau de plată prestate. </w:t>
            </w:r>
          </w:p>
          <w:p w14:paraId="6EE73E13" w14:textId="77777777" w:rsidR="009A1A36" w:rsidRPr="0026420A" w:rsidRDefault="009A1A36" w:rsidP="00CB0A00">
            <w:pPr>
              <w:tabs>
                <w:tab w:val="left" w:pos="1635"/>
              </w:tabs>
              <w:ind w:firstLine="0"/>
            </w:pPr>
            <w:r w:rsidRPr="0026420A">
              <w:t xml:space="preserve">În acest context, considerăm necesară completarea normei cu prevederi exprese care să stabilească faptul că obligația de rambursare aparține exclusiv ofertantului sau furnizorului de servicii de </w:t>
            </w:r>
            <w:proofErr w:type="spellStart"/>
            <w:r w:rsidRPr="0026420A">
              <w:t>criptoactive</w:t>
            </w:r>
            <w:proofErr w:type="spellEnd"/>
            <w:r w:rsidRPr="0026420A">
              <w:t xml:space="preserve"> și nu poate genera obligații financiare proprii pentru bănci sau prestatorii de servicii de plată implicați exclusiv în executarea transferurilor. </w:t>
            </w:r>
          </w:p>
          <w:p w14:paraId="4E18B1D5" w14:textId="38454DB9" w:rsidR="009A1A36" w:rsidRPr="0026420A" w:rsidRDefault="009A1A36" w:rsidP="00CB0A00">
            <w:pPr>
              <w:tabs>
                <w:tab w:val="left" w:pos="1635"/>
              </w:tabs>
              <w:ind w:firstLine="0"/>
            </w:pPr>
            <w:r w:rsidRPr="0026420A">
              <w:t xml:space="preserve">Înțelegem faptul că prevederea constituie o transpunere a art. 13 din Regulamentul </w:t>
            </w:r>
            <w:proofErr w:type="spellStart"/>
            <w:r w:rsidRPr="0026420A">
              <w:t>MiCA</w:t>
            </w:r>
            <w:proofErr w:type="spellEnd"/>
            <w:r w:rsidRPr="0026420A">
              <w:t xml:space="preserve"> dar, spre deosebire de cadrul european, unde mecanismul dreptului de retragere operează într-un ecosistem armonizat și integrat cu standardele operaționale </w:t>
            </w:r>
            <w:proofErr w:type="spellStart"/>
            <w:r w:rsidRPr="0026420A">
              <w:t>MiCA</w:t>
            </w:r>
            <w:proofErr w:type="spellEnd"/>
            <w:r w:rsidRPr="0026420A">
              <w:t xml:space="preserve"> și cu mecanismele de supraveghere aferente pieței UE, pentru piața financiară a Republicii Moldova, proiectul nu clarifică suficient responsabilitatea operațională pentru procesarea rambursărilor.</w:t>
            </w:r>
          </w:p>
        </w:tc>
        <w:tc>
          <w:tcPr>
            <w:tcW w:w="5281" w:type="dxa"/>
            <w:tcMar>
              <w:top w:w="0" w:type="dxa"/>
              <w:left w:w="108" w:type="dxa"/>
              <w:bottom w:w="0" w:type="dxa"/>
              <w:right w:w="108" w:type="dxa"/>
            </w:tcMar>
          </w:tcPr>
          <w:p w14:paraId="55C37E8F" w14:textId="77777777" w:rsidR="009A1A36" w:rsidRPr="0026420A" w:rsidRDefault="009A1A36" w:rsidP="00CB0A00">
            <w:pPr>
              <w:ind w:firstLine="0"/>
              <w:rPr>
                <w:b/>
                <w:bCs/>
              </w:rPr>
            </w:pPr>
            <w:r w:rsidRPr="0026420A">
              <w:rPr>
                <w:b/>
                <w:bCs/>
              </w:rPr>
              <w:lastRenderedPageBreak/>
              <w:t>Nu se acceptă.</w:t>
            </w:r>
          </w:p>
          <w:p w14:paraId="47DB114F" w14:textId="77777777" w:rsidR="009A1A36" w:rsidRPr="0026420A" w:rsidRDefault="009A1A36" w:rsidP="00CD4E5A">
            <w:pPr>
              <w:ind w:firstLine="0"/>
            </w:pPr>
            <w:r w:rsidRPr="0026420A">
              <w:t xml:space="preserve">Proiectul de lege instituie cadrul primar de reglementare și supraveghere a pieței </w:t>
            </w:r>
            <w:proofErr w:type="spellStart"/>
            <w:r w:rsidRPr="0026420A">
              <w:t>criptoactivelor</w:t>
            </w:r>
            <w:proofErr w:type="spellEnd"/>
            <w:r w:rsidRPr="0026420A">
              <w:t xml:space="preserve">, în conformitate cu cerințele </w:t>
            </w:r>
            <w:proofErr w:type="spellStart"/>
            <w:r w:rsidRPr="0026420A">
              <w:t>MiCA</w:t>
            </w:r>
            <w:proofErr w:type="spellEnd"/>
            <w:r w:rsidRPr="0026420A">
              <w:t xml:space="preserve">, instituind dreptul imperativ de retragere al deținătorilor de retail ca o obligație de fond ce revine în exclusivitate ofertantului sau furnizorului de servicii de </w:t>
            </w:r>
            <w:proofErr w:type="spellStart"/>
            <w:r w:rsidRPr="0026420A">
              <w:t>criptoactive</w:t>
            </w:r>
            <w:proofErr w:type="spellEnd"/>
            <w:r w:rsidRPr="0026420A">
              <w:t>.</w:t>
            </w:r>
          </w:p>
          <w:p w14:paraId="3A33E9FA" w14:textId="77777777" w:rsidR="009A1A36" w:rsidRPr="0026420A" w:rsidRDefault="009A1A36" w:rsidP="00CD4E5A">
            <w:pPr>
              <w:ind w:firstLine="0"/>
            </w:pPr>
            <w:r w:rsidRPr="0026420A">
              <w:t xml:space="preserve">Cerințele privind armonizarea legislației cu legislația UE impun formularea prevederilor naționale într-o manieră cât mai apropiată de textul și logica regulamentului european, pentru a evita apariția unor divergențe de interpretare, dificultăți de </w:t>
            </w:r>
            <w:r w:rsidRPr="0026420A">
              <w:lastRenderedPageBreak/>
              <w:t>aplicare și riscuri de implementare neuniformă a cadrului normativ.</w:t>
            </w:r>
          </w:p>
          <w:p w14:paraId="246B1E35" w14:textId="74A3F355" w:rsidR="009A1A36" w:rsidRPr="0026420A" w:rsidRDefault="009A1A36" w:rsidP="00CB0A00">
            <w:pPr>
              <w:ind w:firstLine="0"/>
            </w:pPr>
            <w:r w:rsidRPr="0026420A">
              <w:t xml:space="preserve"> Elementele de detaliu privind aplicarea tehnică, procedurile operaționale, privind procesarea efectivă a rambursărilor, mecanismele de reversare a tranzacțiilor pe </w:t>
            </w:r>
            <w:proofErr w:type="spellStart"/>
            <w:r w:rsidRPr="0026420A">
              <w:t>blockchain</w:t>
            </w:r>
            <w:proofErr w:type="spellEnd"/>
            <w:r w:rsidRPr="0026420A">
              <w:t xml:space="preserve"> și alocarea riscurilor valutare sau de preț excedează cadrul de reglementare primar și urmează să fie dezvoltate prin acte normative subsecvente care transpun standarde tehnice elaborate de ESMA si EBA aprobate de Comisia Europeana  prin regulamente delegate și de punere in aplicare.</w:t>
            </w:r>
          </w:p>
        </w:tc>
      </w:tr>
      <w:tr w:rsidR="009A1A36" w:rsidRPr="0026420A" w14:paraId="3480F8DF" w14:textId="77777777" w:rsidTr="001F4857">
        <w:trPr>
          <w:trHeight w:val="300"/>
        </w:trPr>
        <w:tc>
          <w:tcPr>
            <w:tcW w:w="2206" w:type="dxa"/>
            <w:vMerge/>
            <w:tcMar>
              <w:top w:w="0" w:type="dxa"/>
              <w:left w:w="108" w:type="dxa"/>
              <w:bottom w:w="0" w:type="dxa"/>
              <w:right w:w="108" w:type="dxa"/>
            </w:tcMar>
          </w:tcPr>
          <w:p w14:paraId="2F11E2CE" w14:textId="77777777" w:rsidR="009A1A36" w:rsidRPr="0026420A" w:rsidRDefault="009A1A36" w:rsidP="00CB0A00">
            <w:pPr>
              <w:ind w:firstLine="0"/>
              <w:jc w:val="left"/>
              <w:rPr>
                <w:b/>
                <w:bCs/>
              </w:rPr>
            </w:pPr>
          </w:p>
        </w:tc>
        <w:tc>
          <w:tcPr>
            <w:tcW w:w="579" w:type="dxa"/>
            <w:tcMar>
              <w:top w:w="0" w:type="dxa"/>
              <w:left w:w="108" w:type="dxa"/>
              <w:bottom w:w="0" w:type="dxa"/>
              <w:right w:w="108" w:type="dxa"/>
            </w:tcMar>
          </w:tcPr>
          <w:p w14:paraId="5C36CFAD" w14:textId="77777777" w:rsidR="009A1A36" w:rsidRPr="0026420A" w:rsidRDefault="009A1A36" w:rsidP="00CB0A0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327E6108" w14:textId="77777777" w:rsidR="009A1A36" w:rsidRPr="0026420A" w:rsidRDefault="009A1A36" w:rsidP="00CB0A00">
            <w:pPr>
              <w:tabs>
                <w:tab w:val="left" w:pos="1635"/>
              </w:tabs>
              <w:ind w:firstLine="0"/>
              <w:rPr>
                <w:b/>
                <w:bCs/>
              </w:rPr>
            </w:pPr>
            <w:r w:rsidRPr="0026420A">
              <w:rPr>
                <w:b/>
                <w:bCs/>
              </w:rPr>
              <w:t>Art. 17 alin. (1)</w:t>
            </w:r>
          </w:p>
          <w:p w14:paraId="355D397D" w14:textId="77777777" w:rsidR="009A1A36" w:rsidRPr="0026420A" w:rsidRDefault="009A1A36" w:rsidP="00CB0A00">
            <w:pPr>
              <w:tabs>
                <w:tab w:val="left" w:pos="1635"/>
              </w:tabs>
              <w:ind w:firstLine="0"/>
            </w:pPr>
            <w:r w:rsidRPr="0026420A">
              <w:t xml:space="preserve">Cu privire la art. 17 din proiect, considerăm necesară reevaluarea și clarificarea mecanismului propus pentru instituțiile de credit care intenționează să emită </w:t>
            </w:r>
            <w:proofErr w:type="spellStart"/>
            <w:r w:rsidRPr="0026420A">
              <w:t>tokenuri</w:t>
            </w:r>
            <w:proofErr w:type="spellEnd"/>
            <w:r w:rsidRPr="0026420A">
              <w:t xml:space="preserve"> raportate la active. </w:t>
            </w:r>
          </w:p>
          <w:p w14:paraId="5473321F" w14:textId="77777777" w:rsidR="009A1A36" w:rsidRPr="0026420A" w:rsidRDefault="009A1A36" w:rsidP="00CB0A00">
            <w:pPr>
              <w:tabs>
                <w:tab w:val="left" w:pos="1635"/>
              </w:tabs>
              <w:ind w:firstLine="0"/>
            </w:pPr>
            <w:r w:rsidRPr="0026420A">
              <w:t xml:space="preserve">Deși la fel ca în cazul celorlalte prevederi, proiectul transpune, în esență, abordarea prevăzută de Regulamentul (UE) 2023/1114, formularea actuală a normei nu delimitează suficient raportul dintre cerințele suplimentare instituite prin proiect și obligațiile prudențiale deja aplicabile „instituțiilor de credit” în cadrul supravegherii exercitate de Banca Națională a Moldovei. </w:t>
            </w:r>
          </w:p>
          <w:p w14:paraId="6256B490" w14:textId="77777777" w:rsidR="009A1A36" w:rsidRPr="0026420A" w:rsidRDefault="009A1A36" w:rsidP="00CB0A00">
            <w:pPr>
              <w:tabs>
                <w:tab w:val="left" w:pos="1635"/>
              </w:tabs>
              <w:ind w:firstLine="0"/>
            </w:pPr>
            <w:r w:rsidRPr="0026420A">
              <w:t xml:space="preserve">Or, instituțiile de credit (în sensul utilizat în proiectul de lege) reprezintă entități deja supuse unui cadru complex de reglementare și supraveghere, inclusiv sub aspectul guvernanței interne, gestionării riscurilor operaționale și TIC, continuității activității, mecanismelor de control intern, auditului ș.a. </w:t>
            </w:r>
          </w:p>
          <w:p w14:paraId="3359E855" w14:textId="77777777" w:rsidR="009A1A36" w:rsidRPr="0026420A" w:rsidRDefault="009A1A36" w:rsidP="00CB0A00">
            <w:pPr>
              <w:tabs>
                <w:tab w:val="left" w:pos="1635"/>
              </w:tabs>
              <w:ind w:firstLine="0"/>
            </w:pPr>
            <w:r w:rsidRPr="0026420A">
              <w:t xml:space="preserve">În acest context, obligațiile prevăzute la art. 17 alin. (1) lit. iii)-ix), aferente prezentării cadrului de guvernanță, politicilor și procedurilor interne, mecanismelor de control și auditului extern TIC, riscă să genereze suprapuneri semnificative cu mecanismele deja implementate și supravegheate în cadrul regimului prudențial aplicabil sectorului bancar. Totodată, norma nu clarifică în ce măsură Comisia Națională va realiza o reevaluare autonomă a unor mecanisme și procese deja verificate în cadrul supravegherii bancare și nici nu </w:t>
            </w:r>
            <w:r w:rsidRPr="0026420A">
              <w:lastRenderedPageBreak/>
              <w:t xml:space="preserve">delimitează suficient competențele autorităților implicate. În lipsa unor asemenea clarificări, există riscul dublării cerințelor de conformitate, audit și raportare, precum și al aplicării unor standarde paralele sau neuniforme față de instituțiile de credit. </w:t>
            </w:r>
          </w:p>
          <w:p w14:paraId="3DCA0DB1" w14:textId="1B32CD90" w:rsidR="009A1A36" w:rsidRPr="0026420A" w:rsidRDefault="009A1A36" w:rsidP="00CB0A00">
            <w:pPr>
              <w:tabs>
                <w:tab w:val="left" w:pos="1635"/>
              </w:tabs>
              <w:ind w:firstLine="0"/>
              <w:rPr>
                <w:b/>
                <w:bCs/>
              </w:rPr>
            </w:pPr>
            <w:r w:rsidRPr="0026420A">
              <w:t xml:space="preserve">În opinia noastră, art. 17 necesită completări suplimentare care să asigure corelarea corespunzătoare a cerințelor aferente emiterii </w:t>
            </w:r>
            <w:proofErr w:type="spellStart"/>
            <w:r w:rsidRPr="0026420A">
              <w:t>tokenurilor</w:t>
            </w:r>
            <w:proofErr w:type="spellEnd"/>
            <w:r w:rsidRPr="0026420A">
              <w:t xml:space="preserve"> raportate la active cu cadrul prudențial deja aplicabil băncilor.</w:t>
            </w:r>
          </w:p>
        </w:tc>
        <w:tc>
          <w:tcPr>
            <w:tcW w:w="5281" w:type="dxa"/>
            <w:tcMar>
              <w:top w:w="0" w:type="dxa"/>
              <w:left w:w="108" w:type="dxa"/>
              <w:bottom w:w="0" w:type="dxa"/>
              <w:right w:w="108" w:type="dxa"/>
            </w:tcMar>
          </w:tcPr>
          <w:p w14:paraId="5D7E8A61" w14:textId="77777777" w:rsidR="009A1A36" w:rsidRPr="0026420A" w:rsidRDefault="009A1A36" w:rsidP="00F00237">
            <w:pPr>
              <w:ind w:firstLine="0"/>
              <w:rPr>
                <w:b/>
                <w:bCs/>
              </w:rPr>
            </w:pPr>
            <w:r w:rsidRPr="0026420A">
              <w:rPr>
                <w:b/>
                <w:bCs/>
              </w:rPr>
              <w:lastRenderedPageBreak/>
              <w:t>Nu se acceptă.</w:t>
            </w:r>
          </w:p>
          <w:p w14:paraId="5A8F96C2" w14:textId="77777777" w:rsidR="009A1A36" w:rsidRPr="0026420A" w:rsidRDefault="009A1A36" w:rsidP="00F00237">
            <w:pPr>
              <w:ind w:firstLine="0"/>
            </w:pPr>
            <w:r w:rsidRPr="0026420A">
              <w:t xml:space="preserve">Proiectul de lege instituie cadrul primar de reglementare și supraveghere a pieței </w:t>
            </w:r>
            <w:proofErr w:type="spellStart"/>
            <w:r w:rsidRPr="0026420A">
              <w:t>criptoactivelor</w:t>
            </w:r>
            <w:proofErr w:type="spellEnd"/>
            <w:r w:rsidRPr="0026420A">
              <w:t xml:space="preserve">, în conformitate cu cerințele </w:t>
            </w:r>
            <w:proofErr w:type="spellStart"/>
            <w:r w:rsidRPr="0026420A">
              <w:t>MiCA</w:t>
            </w:r>
            <w:proofErr w:type="spellEnd"/>
            <w:r w:rsidRPr="0026420A">
              <w:t xml:space="preserve">, venind deja în întâmpinarea îngrijorărilor sectorului bancar privind riscul dublării reglementărilor. În acest sens, a se reține că, potrivit art. 17 alin. (4) din proiectul de lege, instituțiile de credit care emit </w:t>
            </w:r>
            <w:proofErr w:type="spellStart"/>
            <w:r w:rsidRPr="0026420A">
              <w:t>tokenuri</w:t>
            </w:r>
            <w:proofErr w:type="spellEnd"/>
            <w:r w:rsidRPr="0026420A">
              <w:t xml:space="preserve"> raportate la active nu fac obiectul articolelor 18, 20, 21, 24, 35, 41 și 42, fiind exceptate prin efectul legii de la acele obligații care sunt deja acoperite structural de regimul prudențial bancar.</w:t>
            </w:r>
          </w:p>
          <w:p w14:paraId="5197836A" w14:textId="77777777" w:rsidR="009A1A36" w:rsidRPr="0026420A" w:rsidRDefault="009A1A36" w:rsidP="00CB0A00">
            <w:pPr>
              <w:tabs>
                <w:tab w:val="left" w:pos="2160"/>
              </w:tabs>
              <w:ind w:firstLine="0"/>
            </w:pPr>
            <w:r w:rsidRPr="0026420A">
              <w:t xml:space="preserve">Obligațiile prevăzute la art. 17 alin. (1) lit. iii)-ix), aferente prezentării cadrului de guvernanță, politicilor și procedurilor interne, mecanismelor de control și auditului extern TIC, vizează aspecte strict specifice care necesită o adaptare obligatorie din perspectiva unică a domeniului </w:t>
            </w:r>
            <w:proofErr w:type="spellStart"/>
            <w:r w:rsidRPr="0026420A">
              <w:t>criptoactivelor</w:t>
            </w:r>
            <w:proofErr w:type="spellEnd"/>
            <w:r w:rsidRPr="0026420A">
              <w:t>.</w:t>
            </w:r>
          </w:p>
          <w:p w14:paraId="3C996BC6" w14:textId="77777777" w:rsidR="009A1A36" w:rsidRPr="0026420A" w:rsidRDefault="009A1A36" w:rsidP="00F00237">
            <w:pPr>
              <w:ind w:firstLine="0"/>
            </w:pPr>
            <w:r w:rsidRPr="0026420A">
              <w:t>Cerințele privind armonizarea legislației cu legislația UE impun formularea prevederilor naționale într-o manieră cât mai apropiată de textul și logica regulamentului european, pentru a evita apariția unor divergențe de interpretare, dificultăți de aplicare și riscuri de implementare neuniformă a cadrului normativ.</w:t>
            </w:r>
          </w:p>
          <w:p w14:paraId="64C864D7" w14:textId="77777777" w:rsidR="009A1A36" w:rsidRPr="0026420A" w:rsidRDefault="009A1A36" w:rsidP="00F00237">
            <w:pPr>
              <w:ind w:firstLine="0"/>
            </w:pPr>
            <w:r w:rsidRPr="0026420A">
              <w:t xml:space="preserve">Elementele de detaliu privind aplicarea tehnică, procedurile operaționale, specifice pentru emiterile de </w:t>
            </w:r>
            <w:proofErr w:type="spellStart"/>
            <w:r w:rsidRPr="0026420A">
              <w:t>tokenuri</w:t>
            </w:r>
            <w:proofErr w:type="spellEnd"/>
            <w:r w:rsidRPr="0026420A">
              <w:t xml:space="preserve"> raportate la </w:t>
            </w:r>
            <w:r w:rsidRPr="0026420A">
              <w:lastRenderedPageBreak/>
              <w:t>active (ART) urmează să fie dezvoltate prin acte normative subsecvente care transpun standarde tehnice elaborate de ESMA si EBA aprobate de Comisia Europeana  prin regulamente delegate și de punere in aplicare.</w:t>
            </w:r>
          </w:p>
          <w:p w14:paraId="0B7C2415" w14:textId="0704C823" w:rsidR="009A1A36" w:rsidRPr="0026420A" w:rsidRDefault="009A1A36" w:rsidP="000F3472">
            <w:pPr>
              <w:ind w:firstLine="0"/>
            </w:pPr>
          </w:p>
        </w:tc>
      </w:tr>
      <w:tr w:rsidR="009A1A36" w:rsidRPr="0026420A" w14:paraId="3249D07C" w14:textId="77777777" w:rsidTr="001F4857">
        <w:trPr>
          <w:trHeight w:val="300"/>
        </w:trPr>
        <w:tc>
          <w:tcPr>
            <w:tcW w:w="2206" w:type="dxa"/>
            <w:vMerge/>
            <w:tcMar>
              <w:top w:w="0" w:type="dxa"/>
              <w:left w:w="108" w:type="dxa"/>
              <w:bottom w:w="0" w:type="dxa"/>
              <w:right w:w="108" w:type="dxa"/>
            </w:tcMar>
          </w:tcPr>
          <w:p w14:paraId="4536EE3C" w14:textId="77777777" w:rsidR="009A1A36" w:rsidRPr="0026420A" w:rsidRDefault="009A1A36" w:rsidP="00CB0A00">
            <w:pPr>
              <w:ind w:firstLine="0"/>
              <w:jc w:val="left"/>
              <w:rPr>
                <w:b/>
                <w:bCs/>
              </w:rPr>
            </w:pPr>
          </w:p>
        </w:tc>
        <w:tc>
          <w:tcPr>
            <w:tcW w:w="579" w:type="dxa"/>
            <w:tcMar>
              <w:top w:w="0" w:type="dxa"/>
              <w:left w:w="108" w:type="dxa"/>
              <w:bottom w:w="0" w:type="dxa"/>
              <w:right w:w="108" w:type="dxa"/>
            </w:tcMar>
          </w:tcPr>
          <w:p w14:paraId="675E4AF0" w14:textId="77777777" w:rsidR="009A1A36" w:rsidRPr="0026420A" w:rsidRDefault="009A1A36" w:rsidP="00CB0A0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5FD28670" w14:textId="77777777" w:rsidR="009A1A36" w:rsidRPr="0026420A" w:rsidRDefault="009A1A36" w:rsidP="00CB0A00">
            <w:pPr>
              <w:tabs>
                <w:tab w:val="left" w:pos="1635"/>
              </w:tabs>
              <w:ind w:firstLine="0"/>
              <w:rPr>
                <w:b/>
                <w:bCs/>
              </w:rPr>
            </w:pPr>
            <w:r w:rsidRPr="0026420A">
              <w:rPr>
                <w:b/>
                <w:bCs/>
              </w:rPr>
              <w:t>Art. 51</w:t>
            </w:r>
          </w:p>
          <w:p w14:paraId="2A7C6BCD" w14:textId="77777777" w:rsidR="009A1A36" w:rsidRPr="0026420A" w:rsidRDefault="009A1A36" w:rsidP="00CB0A00">
            <w:pPr>
              <w:tabs>
                <w:tab w:val="left" w:pos="1635"/>
              </w:tabs>
              <w:ind w:firstLine="0"/>
            </w:pPr>
            <w:r w:rsidRPr="0026420A">
              <w:t xml:space="preserve">Considerăm necesară clarificarea suplimentară a mecanismului aferent păstrării și investirii fondurilor primite în schimbul </w:t>
            </w:r>
            <w:proofErr w:type="spellStart"/>
            <w:r w:rsidRPr="0026420A">
              <w:t>tokenurilor</w:t>
            </w:r>
            <w:proofErr w:type="spellEnd"/>
            <w:r w:rsidRPr="0026420A">
              <w:t xml:space="preserve"> de monedă electronică, inclusiv din perspectiva rolului instituțiilor de credit implicate în acest proces. </w:t>
            </w:r>
          </w:p>
          <w:p w14:paraId="02406DA5" w14:textId="77777777" w:rsidR="009A1A36" w:rsidRPr="0026420A" w:rsidRDefault="009A1A36" w:rsidP="00CB0A00">
            <w:pPr>
              <w:tabs>
                <w:tab w:val="left" w:pos="1635"/>
              </w:tabs>
              <w:ind w:firstLine="0"/>
            </w:pPr>
            <w:r w:rsidRPr="0026420A">
              <w:t xml:space="preserve">În esență, norma instituie obligația emitentului de a menține o rezervă aferentă </w:t>
            </w:r>
            <w:proofErr w:type="spellStart"/>
            <w:r w:rsidRPr="0026420A">
              <w:t>tokenurilor</w:t>
            </w:r>
            <w:proofErr w:type="spellEnd"/>
            <w:r w:rsidRPr="0026420A">
              <w:t xml:space="preserve"> de monedă electronică, inclusiv prin păstrarea unei părți din fonduri în conturi deschise la „instituții de credit” și investirea restului în active considerate sigure și cu risc scăzut. </w:t>
            </w:r>
          </w:p>
          <w:p w14:paraId="7CBB0211" w14:textId="77777777" w:rsidR="009A1A36" w:rsidRPr="0026420A" w:rsidRDefault="009A1A36" w:rsidP="00CB0A00">
            <w:pPr>
              <w:tabs>
                <w:tab w:val="left" w:pos="1635"/>
              </w:tabs>
              <w:ind w:firstLine="0"/>
            </w:pPr>
            <w:r w:rsidRPr="0026420A">
              <w:t xml:space="preserve">Proiectul însă nu specifică rolul instituției de credit în cadrul acestui mecanism și nici limitele responsabilităților acesteia în raport cu emitentul și deținătorii </w:t>
            </w:r>
            <w:proofErr w:type="spellStart"/>
            <w:r w:rsidRPr="0026420A">
              <w:t>tokenurilor</w:t>
            </w:r>
            <w:proofErr w:type="spellEnd"/>
            <w:r w:rsidRPr="0026420A">
              <w:t xml:space="preserve"> respective. </w:t>
            </w:r>
          </w:p>
          <w:p w14:paraId="2D4B500C" w14:textId="77777777" w:rsidR="009A1A36" w:rsidRPr="0026420A" w:rsidRDefault="009A1A36" w:rsidP="00CB0A00">
            <w:pPr>
              <w:tabs>
                <w:tab w:val="left" w:pos="1635"/>
              </w:tabs>
              <w:ind w:firstLine="0"/>
            </w:pPr>
            <w:r w:rsidRPr="0026420A">
              <w:t xml:space="preserve">În special, nu este clar dacă „instituția de credit” are exclusiv un rol de păstrare a fondurilor sau dacă asupra acesteia pot fi interpretate obligații suplimentare aferente verificării, monitorizării sau validării mecanismului de rezervă utilizat de emitent. Totodată, nu este specificată în acest caz, în mod expres dacă instituția financiară are obligația în acest caz să aplice abordarea bazată pe risc sau măsurile de precauție prevăzute de Legea nr. 308/2017. </w:t>
            </w:r>
          </w:p>
          <w:p w14:paraId="3D4AAF4E" w14:textId="77777777" w:rsidR="009A1A36" w:rsidRPr="0026420A" w:rsidRDefault="009A1A36" w:rsidP="00CB0A00">
            <w:pPr>
              <w:tabs>
                <w:tab w:val="left" w:pos="1635"/>
              </w:tabs>
              <w:ind w:firstLine="0"/>
            </w:pPr>
            <w:r w:rsidRPr="0026420A">
              <w:t xml:space="preserve">De asemenea, noțiunea de „active sigure, cu risc scăzut” este formulată într-o manieră generală, fără a fi clarificate criteriile efective de eligibilitate și mecanismele de administrare a riscurilor aferente acestor investiții. </w:t>
            </w:r>
          </w:p>
          <w:p w14:paraId="276DBC8B" w14:textId="75342018" w:rsidR="009A1A36" w:rsidRPr="0026420A" w:rsidRDefault="009A1A36" w:rsidP="00CB0A00">
            <w:pPr>
              <w:tabs>
                <w:tab w:val="left" w:pos="1635"/>
              </w:tabs>
              <w:ind w:firstLine="0"/>
            </w:pPr>
            <w:r w:rsidRPr="0026420A">
              <w:t xml:space="preserve">În opinia noastră, norma necesită clarificări suplimentare inclusiv din perspectiva riscurilor operaționale, </w:t>
            </w:r>
            <w:proofErr w:type="spellStart"/>
            <w:r w:rsidRPr="0026420A">
              <w:t>reputaționale</w:t>
            </w:r>
            <w:proofErr w:type="spellEnd"/>
            <w:r w:rsidRPr="0026420A">
              <w:t xml:space="preserve"> și de conformitate care pot apărea pentru instituțiile de credit implicate în păstrarea rezervelor aferente </w:t>
            </w:r>
            <w:proofErr w:type="spellStart"/>
            <w:r w:rsidRPr="0026420A">
              <w:t>tokenurilor</w:t>
            </w:r>
            <w:proofErr w:type="spellEnd"/>
            <w:r w:rsidRPr="0026420A">
              <w:t xml:space="preserve"> de monedă electronică, precum și a delimitării exprese a responsabilităților emitentului față de cele ale instituției de credit care asigură infrastructura bancară aferentă acestor fonduri.</w:t>
            </w:r>
          </w:p>
        </w:tc>
        <w:tc>
          <w:tcPr>
            <w:tcW w:w="5281" w:type="dxa"/>
            <w:tcMar>
              <w:top w:w="0" w:type="dxa"/>
              <w:left w:w="108" w:type="dxa"/>
              <w:bottom w:w="0" w:type="dxa"/>
              <w:right w:w="108" w:type="dxa"/>
            </w:tcMar>
          </w:tcPr>
          <w:p w14:paraId="6BC033F9" w14:textId="77777777" w:rsidR="009A1A36" w:rsidRPr="0026420A" w:rsidRDefault="009A1A36" w:rsidP="00CA1347">
            <w:pPr>
              <w:ind w:firstLine="0"/>
              <w:rPr>
                <w:b/>
                <w:bCs/>
              </w:rPr>
            </w:pPr>
            <w:r w:rsidRPr="0026420A">
              <w:rPr>
                <w:b/>
                <w:bCs/>
              </w:rPr>
              <w:t>Nu se acceptă.</w:t>
            </w:r>
          </w:p>
          <w:p w14:paraId="4796D004" w14:textId="77777777" w:rsidR="009A1A36" w:rsidRPr="0026420A" w:rsidRDefault="009A1A36" w:rsidP="00CA1347">
            <w:pPr>
              <w:ind w:firstLine="0"/>
            </w:pPr>
            <w:r w:rsidRPr="0026420A">
              <w:t xml:space="preserve">Proiectul de lege instituie cadrul primar de reglementare și supraveghere a pieței </w:t>
            </w:r>
            <w:proofErr w:type="spellStart"/>
            <w:r w:rsidRPr="0026420A">
              <w:t>criptoactivelor</w:t>
            </w:r>
            <w:proofErr w:type="spellEnd"/>
            <w:r w:rsidRPr="0026420A">
              <w:t xml:space="preserve">, în conformitate cu cerințele </w:t>
            </w:r>
            <w:proofErr w:type="spellStart"/>
            <w:r w:rsidRPr="0026420A">
              <w:t>MiCA</w:t>
            </w:r>
            <w:proofErr w:type="spellEnd"/>
            <w:r w:rsidRPr="0026420A">
              <w:t xml:space="preserve">, stabilind cerințe generale privind investirea fondurilor primite în schimbul </w:t>
            </w:r>
            <w:proofErr w:type="spellStart"/>
            <w:r w:rsidRPr="0026420A">
              <w:t>tokenurilor</w:t>
            </w:r>
            <w:proofErr w:type="spellEnd"/>
            <w:r w:rsidRPr="0026420A">
              <w:t xml:space="preserve"> de monedă electronică, evidențiind clar că rolul instituțiilor de credit este strict cel de depozitar și custode al fondurilor. </w:t>
            </w:r>
          </w:p>
          <w:p w14:paraId="7FB70D54" w14:textId="77777777" w:rsidR="009A1A36" w:rsidRPr="0026420A" w:rsidRDefault="009A1A36" w:rsidP="00CA1347">
            <w:pPr>
              <w:ind w:firstLine="0"/>
            </w:pPr>
            <w:r w:rsidRPr="0026420A">
              <w:t>Cerințele privind armonizarea legislației cu legislația UE impun formularea prevederilor naționale într-o manieră cât mai apropiată de textul și logica regulamentului european, pentru a evita apariția unor divergențe de interpretare, dificultăți de aplicare și riscuri de implementare neuniformă a cadrului normativ.</w:t>
            </w:r>
          </w:p>
          <w:p w14:paraId="2C875497" w14:textId="77777777" w:rsidR="009A1A36" w:rsidRPr="0026420A" w:rsidRDefault="009A1A36" w:rsidP="00CA1347">
            <w:pPr>
              <w:ind w:firstLine="0"/>
            </w:pPr>
            <w:r w:rsidRPr="0026420A">
              <w:t>Elementele de detaliu privind aplicarea tehnică, procedurile operaționale — cum ar fi criteriile exacte pentru „active sigure, cu risc scăzut” sau delimitarea exactă a responsabilităților operaționale urmează să fie dezvoltate prin acte normative subsecvente care transpun standarde tehnice elaborate de ESMA si EBA aprobate de Comisia Europeana  prin regulamente delegate și de punere in aplicare.</w:t>
            </w:r>
          </w:p>
          <w:p w14:paraId="5EC4EF1C" w14:textId="77777777" w:rsidR="009A1A36" w:rsidRPr="0026420A" w:rsidRDefault="009A1A36" w:rsidP="00CB0A00">
            <w:pPr>
              <w:ind w:firstLine="0"/>
            </w:pPr>
            <w:r w:rsidRPr="0026420A">
              <w:t>În ceea ce privește componenta AML/CFT, obligațiile instituției de credit în raport cu emitentul derivă direct din legislația specială în materia prevenirii și combaterii spălării banilor și finanțării terorismului (Legea nr. 308/2017), pe care instituțiile de credit o aplică deja ca regulă generală în toate relațiile lor de afaceri.</w:t>
            </w:r>
          </w:p>
          <w:p w14:paraId="37E6F4CB" w14:textId="066BD208" w:rsidR="009A1A36" w:rsidRPr="0026420A" w:rsidRDefault="009A1A36" w:rsidP="00CD4E5A">
            <w:pPr>
              <w:ind w:firstLine="0"/>
            </w:pPr>
          </w:p>
        </w:tc>
      </w:tr>
      <w:tr w:rsidR="009A1A36" w:rsidRPr="0026420A" w14:paraId="10DCE4CF" w14:textId="77777777" w:rsidTr="001F4857">
        <w:trPr>
          <w:trHeight w:val="300"/>
        </w:trPr>
        <w:tc>
          <w:tcPr>
            <w:tcW w:w="2206" w:type="dxa"/>
            <w:vMerge/>
            <w:tcBorders>
              <w:top w:val="single" w:sz="4" w:space="0" w:color="auto"/>
              <w:bottom w:val="single" w:sz="4" w:space="0" w:color="auto"/>
            </w:tcBorders>
            <w:tcMar>
              <w:top w:w="0" w:type="dxa"/>
              <w:left w:w="108" w:type="dxa"/>
              <w:bottom w:w="0" w:type="dxa"/>
              <w:right w:w="108" w:type="dxa"/>
            </w:tcMar>
          </w:tcPr>
          <w:p w14:paraId="4DD52693" w14:textId="77777777" w:rsidR="009A1A36" w:rsidRPr="0026420A" w:rsidRDefault="009A1A36" w:rsidP="00CB0A00">
            <w:pPr>
              <w:ind w:firstLine="0"/>
              <w:jc w:val="left"/>
              <w:rPr>
                <w:b/>
                <w:bCs/>
              </w:rPr>
            </w:pPr>
          </w:p>
        </w:tc>
        <w:tc>
          <w:tcPr>
            <w:tcW w:w="579" w:type="dxa"/>
            <w:tcMar>
              <w:top w:w="0" w:type="dxa"/>
              <w:left w:w="108" w:type="dxa"/>
              <w:bottom w:w="0" w:type="dxa"/>
              <w:right w:w="108" w:type="dxa"/>
            </w:tcMar>
          </w:tcPr>
          <w:p w14:paraId="0535B9F6" w14:textId="77777777" w:rsidR="009A1A36" w:rsidRPr="0026420A" w:rsidRDefault="009A1A36" w:rsidP="00CB0A0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1621E760" w14:textId="77777777" w:rsidR="009A1A36" w:rsidRPr="0026420A" w:rsidRDefault="009A1A36" w:rsidP="00CB0A00">
            <w:pPr>
              <w:tabs>
                <w:tab w:val="left" w:pos="1635"/>
              </w:tabs>
              <w:ind w:firstLine="0"/>
              <w:rPr>
                <w:b/>
                <w:bCs/>
              </w:rPr>
            </w:pPr>
            <w:r w:rsidRPr="0026420A">
              <w:rPr>
                <w:b/>
                <w:bCs/>
              </w:rPr>
              <w:t>Art. 97 alin. (1)</w:t>
            </w:r>
          </w:p>
          <w:p w14:paraId="2DB61AE7" w14:textId="77777777" w:rsidR="009A1A36" w:rsidRPr="0026420A" w:rsidRDefault="009A1A36" w:rsidP="00CB0A00">
            <w:pPr>
              <w:tabs>
                <w:tab w:val="left" w:pos="1635"/>
              </w:tabs>
              <w:ind w:firstLine="0"/>
            </w:pPr>
            <w:r w:rsidRPr="0026420A">
              <w:lastRenderedPageBreak/>
              <w:t xml:space="preserve">Prevederea indică faptul că, sancțiunile pot fi aplicate de către autoritățile competente, în funcție de aria de competență conform art.85. </w:t>
            </w:r>
          </w:p>
          <w:p w14:paraId="3E32DF44" w14:textId="77777777" w:rsidR="009A1A36" w:rsidRPr="0026420A" w:rsidRDefault="009A1A36" w:rsidP="00CB0A00">
            <w:pPr>
              <w:tabs>
                <w:tab w:val="left" w:pos="1635"/>
              </w:tabs>
              <w:ind w:firstLine="0"/>
            </w:pPr>
            <w:r w:rsidRPr="0026420A">
              <w:t xml:space="preserve">Prevederile art. 85 însă nu delimitează clar sfera de competență a CNPF și BNM asupra „instituțiilor de credit”. Respectiv, considerăm necesară reglementarea mai clară a delimitare a atribuțiilor inclusiv sub aspectul măsurilor și sancțiunilor aplicabile entităților care, prin natura activității desfășurate, se află simultan sub supravegherea Băncii Naționale a Moldovei și a Comisiei Naționale a Pieței Financiare. </w:t>
            </w:r>
          </w:p>
          <w:p w14:paraId="40AC1B41" w14:textId="77777777" w:rsidR="009A1A36" w:rsidRPr="0026420A" w:rsidRDefault="009A1A36" w:rsidP="00CB0A00">
            <w:pPr>
              <w:tabs>
                <w:tab w:val="left" w:pos="1635"/>
              </w:tabs>
              <w:ind w:firstLine="0"/>
            </w:pPr>
            <w:r w:rsidRPr="0026420A">
              <w:t xml:space="preserve">În lipsa unui mecanism clar de coordonare instituțională și delimitare a competențelor sancționatorii, există riscul aplicării unor sancțiuni paralele pentru aceeași conduită sau pentru același set de circumstanțe faptice, inclusiv de către autorități diferite, ceea ce poate ridica probleme inclusiv din perspectiva principiului non bis in idem și a securității juridice. </w:t>
            </w:r>
          </w:p>
          <w:p w14:paraId="792BBCB3" w14:textId="259E6781" w:rsidR="009A1A36" w:rsidRPr="0026420A" w:rsidRDefault="009A1A36" w:rsidP="00CB0A00">
            <w:pPr>
              <w:tabs>
                <w:tab w:val="left" w:pos="1635"/>
              </w:tabs>
              <w:ind w:firstLine="0"/>
            </w:pPr>
            <w:r w:rsidRPr="0026420A">
              <w:t>În opinia noastră, norma necesită completări suplimentare care să asigure coordonarea corespunzătoare a competențelor de supraveghere și sancționare exercitate de autoritățile competente, inclusiv în vederea evitării dublării măsurilor administrative și asigurării respectării principiului proporționalității și securității juridice pentru entitățile reglementate.</w:t>
            </w:r>
          </w:p>
        </w:tc>
        <w:tc>
          <w:tcPr>
            <w:tcW w:w="5281" w:type="dxa"/>
            <w:tcMar>
              <w:top w:w="0" w:type="dxa"/>
              <w:left w:w="108" w:type="dxa"/>
              <w:bottom w:w="0" w:type="dxa"/>
              <w:right w:w="108" w:type="dxa"/>
            </w:tcMar>
          </w:tcPr>
          <w:p w14:paraId="48F58000" w14:textId="77777777" w:rsidR="009A1A36" w:rsidRPr="0026420A" w:rsidRDefault="009A1A36" w:rsidP="00CB0A00">
            <w:pPr>
              <w:ind w:firstLine="0"/>
              <w:rPr>
                <w:b/>
                <w:bCs/>
              </w:rPr>
            </w:pPr>
            <w:r w:rsidRPr="0026420A">
              <w:rPr>
                <w:b/>
                <w:bCs/>
              </w:rPr>
              <w:lastRenderedPageBreak/>
              <w:t>Nu se acceptă.</w:t>
            </w:r>
          </w:p>
          <w:p w14:paraId="1DF310EC" w14:textId="0D3C6C6D" w:rsidR="009A1A36" w:rsidRPr="0026420A" w:rsidRDefault="009A1A36" w:rsidP="00F00237">
            <w:pPr>
              <w:tabs>
                <w:tab w:val="left" w:pos="2160"/>
              </w:tabs>
              <w:ind w:firstLine="0"/>
            </w:pPr>
            <w:r w:rsidRPr="0026420A">
              <w:t xml:space="preserve">Prevederile proiectului de lege delimitează competențele autorităților competente în funcție de activitatea desfășurată, </w:t>
            </w:r>
            <w:r w:rsidRPr="0026420A">
              <w:lastRenderedPageBreak/>
              <w:t>natura obligației încălcate și obiectul de supraveghere prevăzut la art. 85. Delimitarea competențelor de supraveghere și sancționare rezultă din atribuțiile legale ale fiecărei autorități, precum și din natura încălcării constatate. Totuși, pentru evitarea interpretărilor divergente, aplicarea măsurilor și sancțiunilor în cazul entităților aflate simultan sub supravegherea Băncii Naționale a Moldovei și a Comisiei Naționale a Pieței Financiare se va realiza cu respectarea principiului proporționalității, a principiului evitării dublei sancționări pentru aceeași faptă sau aceeași conduită, precum și a mecanismelor de cooperare interinstituțională prevăzute la art. 87 din proiect. Potrivit acestui articol, autoritățile competente cooperează strâns, fac schimb de informații, se consultă, își oferă sprijin reciproc și coordonează activitățile de supraveghere, investigare, control și asigurare a aplicării legii, inclusiv prin constituirea grupurilor comune de lucru, organizarea reuniunilor periodice și încheierea acordurilor de colaborare.</w:t>
            </w:r>
          </w:p>
        </w:tc>
      </w:tr>
      <w:tr w:rsidR="009A1A36" w:rsidRPr="0026420A" w14:paraId="7D02B42C" w14:textId="77777777" w:rsidTr="001F4857">
        <w:trPr>
          <w:trHeight w:val="300"/>
        </w:trPr>
        <w:tc>
          <w:tcPr>
            <w:tcW w:w="2206" w:type="dxa"/>
            <w:vMerge w:val="restart"/>
            <w:tcBorders>
              <w:top w:val="single" w:sz="4" w:space="0" w:color="auto"/>
            </w:tcBorders>
            <w:tcMar>
              <w:top w:w="0" w:type="dxa"/>
              <w:left w:w="108" w:type="dxa"/>
              <w:bottom w:w="0" w:type="dxa"/>
              <w:right w:w="108" w:type="dxa"/>
            </w:tcMar>
          </w:tcPr>
          <w:p w14:paraId="0D45A59F" w14:textId="77777777" w:rsidR="00250343" w:rsidRPr="0026420A" w:rsidRDefault="00250343" w:rsidP="00250343">
            <w:pPr>
              <w:ind w:firstLine="0"/>
              <w:jc w:val="left"/>
              <w:rPr>
                <w:b/>
                <w:bCs/>
              </w:rPr>
            </w:pPr>
            <w:r w:rsidRPr="0026420A">
              <w:rPr>
                <w:b/>
                <w:bCs/>
              </w:rPr>
              <w:lastRenderedPageBreak/>
              <w:t>Comisia Națională a Pieței Financiare</w:t>
            </w:r>
          </w:p>
          <w:p w14:paraId="43EF8F51" w14:textId="77777777" w:rsidR="00250343" w:rsidRPr="0026420A" w:rsidRDefault="00250343" w:rsidP="00250343">
            <w:pPr>
              <w:ind w:firstLine="0"/>
              <w:jc w:val="left"/>
              <w:rPr>
                <w:b/>
                <w:bCs/>
              </w:rPr>
            </w:pPr>
          </w:p>
          <w:p w14:paraId="5859E600" w14:textId="77777777" w:rsidR="00250343" w:rsidRPr="0026420A" w:rsidRDefault="00250343" w:rsidP="00250343">
            <w:pPr>
              <w:ind w:firstLine="0"/>
              <w:jc w:val="left"/>
              <w:rPr>
                <w:b/>
                <w:bCs/>
              </w:rPr>
            </w:pPr>
          </w:p>
          <w:p w14:paraId="0BD96419" w14:textId="117C9A69" w:rsidR="00250343" w:rsidRPr="0026420A" w:rsidRDefault="00250343" w:rsidP="00AC2C44">
            <w:pPr>
              <w:pStyle w:val="Listparagraf"/>
              <w:numPr>
                <w:ilvl w:val="0"/>
                <w:numId w:val="8"/>
              </w:numPr>
              <w:tabs>
                <w:tab w:val="left" w:pos="225"/>
              </w:tabs>
              <w:ind w:left="22" w:firstLine="0"/>
              <w:jc w:val="left"/>
              <w:rPr>
                <w:i/>
                <w:iCs/>
              </w:rPr>
            </w:pPr>
            <w:r w:rsidRPr="0026420A">
              <w:rPr>
                <w:i/>
                <w:iCs/>
              </w:rPr>
              <w:t xml:space="preserve">Nr. 06-4/2051 </w:t>
            </w:r>
          </w:p>
          <w:p w14:paraId="2DE1BB3F" w14:textId="4EA44EBB" w:rsidR="00250343" w:rsidRPr="0026420A" w:rsidRDefault="00250343" w:rsidP="00250343">
            <w:pPr>
              <w:ind w:firstLine="0"/>
              <w:jc w:val="left"/>
              <w:rPr>
                <w:i/>
                <w:iCs/>
              </w:rPr>
            </w:pPr>
            <w:r w:rsidRPr="0026420A">
              <w:rPr>
                <w:i/>
                <w:iCs/>
              </w:rPr>
              <w:t>din 26.05.2026</w:t>
            </w:r>
          </w:p>
          <w:p w14:paraId="53EA6C40" w14:textId="5FB0BCF8" w:rsidR="00AC2C44" w:rsidRPr="0026420A" w:rsidRDefault="00AC2C44" w:rsidP="00AC2C44">
            <w:pPr>
              <w:pStyle w:val="Listparagraf"/>
              <w:numPr>
                <w:ilvl w:val="0"/>
                <w:numId w:val="8"/>
              </w:numPr>
              <w:ind w:left="164" w:hanging="142"/>
              <w:jc w:val="left"/>
            </w:pPr>
            <w:r w:rsidRPr="0026420A">
              <w:t xml:space="preserve">Nr. 06-4/2206 din 05.06.2026 </w:t>
            </w:r>
          </w:p>
          <w:p w14:paraId="6347B22F" w14:textId="77777777" w:rsidR="00AC2C44" w:rsidRPr="0026420A" w:rsidRDefault="00AC2C44" w:rsidP="00AC2C44">
            <w:pPr>
              <w:ind w:firstLine="0"/>
              <w:jc w:val="left"/>
            </w:pPr>
            <w:r w:rsidRPr="0026420A">
              <w:t>La nr. 06-4/2051 din 26.05.2026</w:t>
            </w:r>
          </w:p>
          <w:p w14:paraId="508B943C" w14:textId="77777777" w:rsidR="00AC2C44" w:rsidRPr="0026420A" w:rsidRDefault="00AC2C44" w:rsidP="00AC2C44">
            <w:pPr>
              <w:ind w:firstLine="0"/>
              <w:jc w:val="left"/>
            </w:pPr>
          </w:p>
          <w:p w14:paraId="091AA90B" w14:textId="6E9FE441" w:rsidR="00AC2C44" w:rsidRPr="0026420A" w:rsidRDefault="00AC2C44" w:rsidP="00250343">
            <w:pPr>
              <w:ind w:firstLine="0"/>
              <w:jc w:val="left"/>
              <w:rPr>
                <w:i/>
                <w:iCs/>
              </w:rPr>
            </w:pPr>
          </w:p>
          <w:p w14:paraId="070476FF" w14:textId="72CC306E" w:rsidR="00AC2C44" w:rsidRPr="0026420A" w:rsidRDefault="00AC2C44" w:rsidP="00250343">
            <w:pPr>
              <w:ind w:firstLine="0"/>
              <w:jc w:val="left"/>
              <w:rPr>
                <w:i/>
                <w:iCs/>
              </w:rPr>
            </w:pPr>
          </w:p>
          <w:p w14:paraId="1E6AD084" w14:textId="4EE40A47" w:rsidR="00AC2C44" w:rsidRPr="0026420A" w:rsidRDefault="00AC2C44" w:rsidP="00250343">
            <w:pPr>
              <w:ind w:firstLine="0"/>
              <w:jc w:val="left"/>
              <w:rPr>
                <w:i/>
                <w:iCs/>
              </w:rPr>
            </w:pPr>
          </w:p>
          <w:p w14:paraId="1D6B2B19" w14:textId="4363874B" w:rsidR="00AC2C44" w:rsidRPr="0026420A" w:rsidRDefault="00AC2C44" w:rsidP="00250343">
            <w:pPr>
              <w:ind w:firstLine="0"/>
              <w:jc w:val="left"/>
              <w:rPr>
                <w:i/>
                <w:iCs/>
              </w:rPr>
            </w:pPr>
          </w:p>
          <w:p w14:paraId="5C4A1532" w14:textId="1626C9CA" w:rsidR="00AC2C44" w:rsidRPr="0026420A" w:rsidRDefault="00AC2C44" w:rsidP="00250343">
            <w:pPr>
              <w:ind w:firstLine="0"/>
              <w:jc w:val="left"/>
              <w:rPr>
                <w:i/>
                <w:iCs/>
              </w:rPr>
            </w:pPr>
          </w:p>
          <w:p w14:paraId="69180C64" w14:textId="2CB0643D" w:rsidR="00AC2C44" w:rsidRPr="0026420A" w:rsidRDefault="00AC2C44" w:rsidP="00250343">
            <w:pPr>
              <w:ind w:firstLine="0"/>
              <w:jc w:val="left"/>
              <w:rPr>
                <w:i/>
                <w:iCs/>
              </w:rPr>
            </w:pPr>
          </w:p>
          <w:p w14:paraId="0602474A" w14:textId="467A6989" w:rsidR="00AC2C44" w:rsidRPr="0026420A" w:rsidRDefault="00AC2C44" w:rsidP="00250343">
            <w:pPr>
              <w:ind w:firstLine="0"/>
              <w:jc w:val="left"/>
              <w:rPr>
                <w:i/>
                <w:iCs/>
              </w:rPr>
            </w:pPr>
          </w:p>
          <w:p w14:paraId="612F881B" w14:textId="41EF15B0" w:rsidR="00AC2C44" w:rsidRPr="0026420A" w:rsidRDefault="00AC2C44" w:rsidP="00250343">
            <w:pPr>
              <w:ind w:firstLine="0"/>
              <w:jc w:val="left"/>
              <w:rPr>
                <w:i/>
                <w:iCs/>
              </w:rPr>
            </w:pPr>
          </w:p>
          <w:p w14:paraId="0C1FD23D" w14:textId="7F6C9ECB" w:rsidR="00AC2C44" w:rsidRPr="0026420A" w:rsidRDefault="00AC2C44" w:rsidP="00250343">
            <w:pPr>
              <w:ind w:firstLine="0"/>
              <w:jc w:val="left"/>
              <w:rPr>
                <w:i/>
                <w:iCs/>
              </w:rPr>
            </w:pPr>
          </w:p>
          <w:p w14:paraId="0514C344" w14:textId="03D494AE" w:rsidR="00AC2C44" w:rsidRPr="0026420A" w:rsidRDefault="00AC2C44" w:rsidP="00250343">
            <w:pPr>
              <w:ind w:firstLine="0"/>
              <w:jc w:val="left"/>
              <w:rPr>
                <w:i/>
                <w:iCs/>
              </w:rPr>
            </w:pPr>
          </w:p>
          <w:p w14:paraId="0D589927" w14:textId="51F150D6" w:rsidR="00AC2C44" w:rsidRPr="0026420A" w:rsidRDefault="00AC2C44" w:rsidP="00250343">
            <w:pPr>
              <w:ind w:firstLine="0"/>
              <w:jc w:val="left"/>
              <w:rPr>
                <w:i/>
                <w:iCs/>
              </w:rPr>
            </w:pPr>
          </w:p>
          <w:p w14:paraId="31B71356" w14:textId="1676A113" w:rsidR="00AC2C44" w:rsidRPr="0026420A" w:rsidRDefault="00AC2C44" w:rsidP="00250343">
            <w:pPr>
              <w:ind w:firstLine="0"/>
              <w:jc w:val="left"/>
              <w:rPr>
                <w:i/>
                <w:iCs/>
              </w:rPr>
            </w:pPr>
          </w:p>
          <w:p w14:paraId="600E15E4" w14:textId="607BF8FD" w:rsidR="00AC2C44" w:rsidRPr="0026420A" w:rsidRDefault="00AC2C44" w:rsidP="00250343">
            <w:pPr>
              <w:ind w:firstLine="0"/>
              <w:jc w:val="left"/>
              <w:rPr>
                <w:i/>
                <w:iCs/>
              </w:rPr>
            </w:pPr>
          </w:p>
          <w:p w14:paraId="0F0BF3BB" w14:textId="0D53D05A" w:rsidR="00AC2C44" w:rsidRPr="0026420A" w:rsidRDefault="00AC2C44" w:rsidP="00250343">
            <w:pPr>
              <w:ind w:firstLine="0"/>
              <w:jc w:val="left"/>
              <w:rPr>
                <w:i/>
                <w:iCs/>
              </w:rPr>
            </w:pPr>
          </w:p>
          <w:p w14:paraId="636CC3C4" w14:textId="337F0F4F" w:rsidR="00AC2C44" w:rsidRPr="0026420A" w:rsidRDefault="00AC2C44" w:rsidP="00250343">
            <w:pPr>
              <w:ind w:firstLine="0"/>
              <w:jc w:val="left"/>
              <w:rPr>
                <w:i/>
                <w:iCs/>
              </w:rPr>
            </w:pPr>
          </w:p>
          <w:p w14:paraId="2C7B148E" w14:textId="6AA3F4ED" w:rsidR="00AC2C44" w:rsidRPr="0026420A" w:rsidRDefault="00AC2C44" w:rsidP="00250343">
            <w:pPr>
              <w:ind w:firstLine="0"/>
              <w:jc w:val="left"/>
              <w:rPr>
                <w:i/>
                <w:iCs/>
              </w:rPr>
            </w:pPr>
          </w:p>
          <w:p w14:paraId="2EF82528" w14:textId="520B044A" w:rsidR="00AC2C44" w:rsidRPr="0026420A" w:rsidRDefault="00AC2C44" w:rsidP="00250343">
            <w:pPr>
              <w:ind w:firstLine="0"/>
              <w:jc w:val="left"/>
              <w:rPr>
                <w:i/>
                <w:iCs/>
              </w:rPr>
            </w:pPr>
          </w:p>
          <w:p w14:paraId="0BB06866" w14:textId="6AD77C81" w:rsidR="00AC2C44" w:rsidRPr="0026420A" w:rsidRDefault="00AC2C44" w:rsidP="00250343">
            <w:pPr>
              <w:ind w:firstLine="0"/>
              <w:jc w:val="left"/>
              <w:rPr>
                <w:i/>
                <w:iCs/>
              </w:rPr>
            </w:pPr>
          </w:p>
          <w:p w14:paraId="67D045B7" w14:textId="6C8FE4FE" w:rsidR="00AC2C44" w:rsidRPr="0026420A" w:rsidRDefault="00AC2C44" w:rsidP="00250343">
            <w:pPr>
              <w:ind w:firstLine="0"/>
              <w:jc w:val="left"/>
              <w:rPr>
                <w:i/>
                <w:iCs/>
              </w:rPr>
            </w:pPr>
          </w:p>
          <w:p w14:paraId="6750C288" w14:textId="111C7B6E" w:rsidR="00AC2C44" w:rsidRPr="0026420A" w:rsidRDefault="00AC2C44" w:rsidP="00250343">
            <w:pPr>
              <w:ind w:firstLine="0"/>
              <w:jc w:val="left"/>
              <w:rPr>
                <w:i/>
                <w:iCs/>
              </w:rPr>
            </w:pPr>
          </w:p>
          <w:p w14:paraId="0CB7E3C3" w14:textId="6863CCFB" w:rsidR="00AC2C44" w:rsidRPr="0026420A" w:rsidRDefault="00AC2C44" w:rsidP="00250343">
            <w:pPr>
              <w:ind w:firstLine="0"/>
              <w:jc w:val="left"/>
              <w:rPr>
                <w:i/>
                <w:iCs/>
              </w:rPr>
            </w:pPr>
          </w:p>
          <w:p w14:paraId="57BBAA2D" w14:textId="4CD2C245" w:rsidR="00AC2C44" w:rsidRPr="0026420A" w:rsidRDefault="00AC2C44" w:rsidP="00250343">
            <w:pPr>
              <w:ind w:firstLine="0"/>
              <w:jc w:val="left"/>
              <w:rPr>
                <w:i/>
                <w:iCs/>
              </w:rPr>
            </w:pPr>
          </w:p>
          <w:p w14:paraId="4C73A450" w14:textId="0710C0A7" w:rsidR="00AC2C44" w:rsidRPr="0026420A" w:rsidRDefault="00AC2C44" w:rsidP="00250343">
            <w:pPr>
              <w:ind w:firstLine="0"/>
              <w:jc w:val="left"/>
              <w:rPr>
                <w:i/>
                <w:iCs/>
              </w:rPr>
            </w:pPr>
          </w:p>
          <w:p w14:paraId="28BB6CCF" w14:textId="4A35FDE5" w:rsidR="00AC2C44" w:rsidRPr="0026420A" w:rsidRDefault="00AC2C44" w:rsidP="00250343">
            <w:pPr>
              <w:ind w:firstLine="0"/>
              <w:jc w:val="left"/>
              <w:rPr>
                <w:i/>
                <w:iCs/>
              </w:rPr>
            </w:pPr>
          </w:p>
          <w:p w14:paraId="145A24D1" w14:textId="1D0DDAA3" w:rsidR="00AC2C44" w:rsidRPr="0026420A" w:rsidRDefault="00AC2C44" w:rsidP="00250343">
            <w:pPr>
              <w:ind w:firstLine="0"/>
              <w:jc w:val="left"/>
              <w:rPr>
                <w:i/>
                <w:iCs/>
              </w:rPr>
            </w:pPr>
          </w:p>
          <w:p w14:paraId="37895A7C" w14:textId="34D0138F" w:rsidR="00AC2C44" w:rsidRPr="0026420A" w:rsidRDefault="00AC2C44" w:rsidP="00250343">
            <w:pPr>
              <w:ind w:firstLine="0"/>
              <w:jc w:val="left"/>
              <w:rPr>
                <w:i/>
                <w:iCs/>
              </w:rPr>
            </w:pPr>
          </w:p>
          <w:p w14:paraId="2D8B1E01" w14:textId="7DF8BFC0" w:rsidR="00AC2C44" w:rsidRPr="0026420A" w:rsidRDefault="00AC2C44" w:rsidP="00250343">
            <w:pPr>
              <w:ind w:firstLine="0"/>
              <w:jc w:val="left"/>
              <w:rPr>
                <w:i/>
                <w:iCs/>
              </w:rPr>
            </w:pPr>
          </w:p>
          <w:p w14:paraId="4AE12E6C" w14:textId="56514C5C" w:rsidR="00AC2C44" w:rsidRPr="0026420A" w:rsidRDefault="00AC2C44" w:rsidP="00250343">
            <w:pPr>
              <w:ind w:firstLine="0"/>
              <w:jc w:val="left"/>
              <w:rPr>
                <w:i/>
                <w:iCs/>
              </w:rPr>
            </w:pPr>
          </w:p>
          <w:p w14:paraId="07EB3646" w14:textId="1F3236A2" w:rsidR="00AC2C44" w:rsidRPr="0026420A" w:rsidRDefault="00AC2C44" w:rsidP="00250343">
            <w:pPr>
              <w:ind w:firstLine="0"/>
              <w:jc w:val="left"/>
              <w:rPr>
                <w:i/>
                <w:iCs/>
              </w:rPr>
            </w:pPr>
          </w:p>
          <w:p w14:paraId="6466B3E6" w14:textId="6EB8BAF9" w:rsidR="00AC2C44" w:rsidRPr="0026420A" w:rsidRDefault="00AC2C44" w:rsidP="00250343">
            <w:pPr>
              <w:ind w:firstLine="0"/>
              <w:jc w:val="left"/>
              <w:rPr>
                <w:i/>
                <w:iCs/>
              </w:rPr>
            </w:pPr>
          </w:p>
          <w:p w14:paraId="3FE9DEB0" w14:textId="7875D2E9" w:rsidR="00AC2C44" w:rsidRPr="0026420A" w:rsidRDefault="00AC2C44" w:rsidP="00250343">
            <w:pPr>
              <w:ind w:firstLine="0"/>
              <w:jc w:val="left"/>
              <w:rPr>
                <w:i/>
                <w:iCs/>
              </w:rPr>
            </w:pPr>
          </w:p>
          <w:p w14:paraId="5B292D0E" w14:textId="7F0C6408" w:rsidR="00AC2C44" w:rsidRPr="0026420A" w:rsidRDefault="00AC2C44" w:rsidP="00250343">
            <w:pPr>
              <w:ind w:firstLine="0"/>
              <w:jc w:val="left"/>
              <w:rPr>
                <w:i/>
                <w:iCs/>
              </w:rPr>
            </w:pPr>
          </w:p>
          <w:p w14:paraId="19669652" w14:textId="1A79870F" w:rsidR="00AC2C44" w:rsidRPr="0026420A" w:rsidRDefault="00AC2C44" w:rsidP="00250343">
            <w:pPr>
              <w:ind w:firstLine="0"/>
              <w:jc w:val="left"/>
              <w:rPr>
                <w:i/>
                <w:iCs/>
              </w:rPr>
            </w:pPr>
          </w:p>
          <w:p w14:paraId="433F1CF2" w14:textId="36D32634" w:rsidR="00AC2C44" w:rsidRPr="0026420A" w:rsidRDefault="00AC2C44" w:rsidP="00250343">
            <w:pPr>
              <w:ind w:firstLine="0"/>
              <w:jc w:val="left"/>
              <w:rPr>
                <w:i/>
                <w:iCs/>
              </w:rPr>
            </w:pPr>
          </w:p>
          <w:p w14:paraId="5D6D77C0" w14:textId="2533F817" w:rsidR="00AC2C44" w:rsidRPr="0026420A" w:rsidRDefault="00AC2C44" w:rsidP="00250343">
            <w:pPr>
              <w:ind w:firstLine="0"/>
              <w:jc w:val="left"/>
              <w:rPr>
                <w:i/>
                <w:iCs/>
              </w:rPr>
            </w:pPr>
          </w:p>
          <w:p w14:paraId="55C162FF" w14:textId="1EA6B7D5" w:rsidR="00AC2C44" w:rsidRPr="0026420A" w:rsidRDefault="00AC2C44" w:rsidP="00250343">
            <w:pPr>
              <w:ind w:firstLine="0"/>
              <w:jc w:val="left"/>
              <w:rPr>
                <w:i/>
                <w:iCs/>
              </w:rPr>
            </w:pPr>
          </w:p>
          <w:p w14:paraId="7CE72205" w14:textId="15768F1F" w:rsidR="00AC2C44" w:rsidRPr="0026420A" w:rsidRDefault="00AC2C44" w:rsidP="00250343">
            <w:pPr>
              <w:ind w:firstLine="0"/>
              <w:jc w:val="left"/>
              <w:rPr>
                <w:i/>
                <w:iCs/>
              </w:rPr>
            </w:pPr>
          </w:p>
          <w:p w14:paraId="005D6105" w14:textId="4E2C3DC9" w:rsidR="00AC2C44" w:rsidRPr="0026420A" w:rsidRDefault="00AC2C44" w:rsidP="00250343">
            <w:pPr>
              <w:ind w:firstLine="0"/>
              <w:jc w:val="left"/>
              <w:rPr>
                <w:i/>
                <w:iCs/>
              </w:rPr>
            </w:pPr>
          </w:p>
          <w:p w14:paraId="124B180C" w14:textId="5497A561" w:rsidR="00AC2C44" w:rsidRPr="0026420A" w:rsidRDefault="00AC2C44" w:rsidP="00250343">
            <w:pPr>
              <w:ind w:firstLine="0"/>
              <w:jc w:val="left"/>
              <w:rPr>
                <w:i/>
                <w:iCs/>
              </w:rPr>
            </w:pPr>
          </w:p>
          <w:p w14:paraId="58B0654F" w14:textId="4F139079" w:rsidR="00AC2C44" w:rsidRPr="0026420A" w:rsidRDefault="00AC2C44" w:rsidP="00250343">
            <w:pPr>
              <w:ind w:firstLine="0"/>
              <w:jc w:val="left"/>
              <w:rPr>
                <w:i/>
                <w:iCs/>
              </w:rPr>
            </w:pPr>
          </w:p>
          <w:p w14:paraId="3C9A46C7" w14:textId="35AAC7D6" w:rsidR="00AC2C44" w:rsidRPr="0026420A" w:rsidRDefault="00AC2C44" w:rsidP="00250343">
            <w:pPr>
              <w:ind w:firstLine="0"/>
              <w:jc w:val="left"/>
              <w:rPr>
                <w:i/>
                <w:iCs/>
              </w:rPr>
            </w:pPr>
          </w:p>
          <w:p w14:paraId="73C12AE4" w14:textId="7A5B4BF9" w:rsidR="00AC2C44" w:rsidRPr="0026420A" w:rsidRDefault="00AC2C44" w:rsidP="00250343">
            <w:pPr>
              <w:ind w:firstLine="0"/>
              <w:jc w:val="left"/>
              <w:rPr>
                <w:i/>
                <w:iCs/>
              </w:rPr>
            </w:pPr>
          </w:p>
          <w:p w14:paraId="1B7E88FE" w14:textId="0D1D807C" w:rsidR="00AC2C44" w:rsidRPr="0026420A" w:rsidRDefault="00AC2C44" w:rsidP="00250343">
            <w:pPr>
              <w:ind w:firstLine="0"/>
              <w:jc w:val="left"/>
              <w:rPr>
                <w:i/>
                <w:iCs/>
              </w:rPr>
            </w:pPr>
          </w:p>
          <w:p w14:paraId="3FD6B9E9" w14:textId="77777777" w:rsidR="00AC2C44" w:rsidRPr="0026420A" w:rsidRDefault="00AC2C44" w:rsidP="00250343">
            <w:pPr>
              <w:ind w:firstLine="0"/>
              <w:jc w:val="left"/>
              <w:rPr>
                <w:i/>
                <w:iCs/>
              </w:rPr>
            </w:pPr>
          </w:p>
          <w:p w14:paraId="0294895F" w14:textId="77777777" w:rsidR="009A1A36" w:rsidRPr="0026420A" w:rsidRDefault="009A1A36" w:rsidP="00CB0A00">
            <w:pPr>
              <w:ind w:firstLine="0"/>
              <w:jc w:val="left"/>
              <w:rPr>
                <w:b/>
                <w:bCs/>
              </w:rPr>
            </w:pPr>
          </w:p>
        </w:tc>
        <w:tc>
          <w:tcPr>
            <w:tcW w:w="579" w:type="dxa"/>
            <w:tcMar>
              <w:top w:w="0" w:type="dxa"/>
              <w:left w:w="108" w:type="dxa"/>
              <w:bottom w:w="0" w:type="dxa"/>
              <w:right w:w="108" w:type="dxa"/>
            </w:tcMar>
          </w:tcPr>
          <w:p w14:paraId="1766A302" w14:textId="77777777" w:rsidR="009A1A36" w:rsidRPr="0026420A" w:rsidRDefault="009A1A36" w:rsidP="00CB0A0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57883E9F" w14:textId="572A6691" w:rsidR="009A1A36" w:rsidRPr="0026420A" w:rsidRDefault="009A1A36" w:rsidP="00CB0A00">
            <w:pPr>
              <w:tabs>
                <w:tab w:val="left" w:pos="1635"/>
              </w:tabs>
              <w:ind w:firstLine="0"/>
            </w:pPr>
            <w:r w:rsidRPr="0026420A">
              <w:rPr>
                <w:b/>
                <w:bCs/>
              </w:rPr>
              <w:t xml:space="preserve">1. </w:t>
            </w:r>
            <w:r w:rsidRPr="0026420A">
              <w:t xml:space="preserve">La </w:t>
            </w:r>
            <w:r w:rsidRPr="0026420A">
              <w:rPr>
                <w:b/>
                <w:bCs/>
              </w:rPr>
              <w:t>art. 6 alin. (9), art. 19 alin. (8), și art. 48 alin. (8)</w:t>
            </w:r>
            <w:r w:rsidRPr="0026420A">
              <w:t xml:space="preserve">, proiectul de lege stabilește în mod expres obligația ca cartea albă pentru </w:t>
            </w:r>
            <w:proofErr w:type="spellStart"/>
            <w:r w:rsidRPr="0026420A">
              <w:t>criptoactive</w:t>
            </w:r>
            <w:proofErr w:type="spellEnd"/>
            <w:r w:rsidRPr="0026420A">
              <w:t xml:space="preserve"> să fie redactată în limba română. Se consideră oportună examinarea acestei cerințe din perspectiva practicii de piață și a naturii transfrontaliere a emitenților și ofertelor de </w:t>
            </w:r>
            <w:proofErr w:type="spellStart"/>
            <w:r w:rsidRPr="0026420A">
              <w:t>criptoactive</w:t>
            </w:r>
            <w:proofErr w:type="spellEnd"/>
            <w:r w:rsidRPr="0026420A">
              <w:t xml:space="preserve">, în vederea extinderii posibilității de redactare și în limba engleză. O astfel de abordare este aliniată naturii globale a pieței </w:t>
            </w:r>
            <w:proofErr w:type="spellStart"/>
            <w:r w:rsidRPr="0026420A">
              <w:t>criptoactivelor</w:t>
            </w:r>
            <w:proofErr w:type="spellEnd"/>
            <w:r w:rsidRPr="0026420A">
              <w:t xml:space="preserve"> și practicilor curente la nivel european și internațional, unde documentele de informare sunt frecvent puse la dispoziția publicului într-o limbă de circulație internațională, în paralel cu cerințele lingvistice naționale. Astfel, la articolele nominalizate se recomandă expunerea în redacția prevăzută de Regulamentul UE care asigură convergența principiilor de circulație a limbilor în cadrul uniunii. </w:t>
            </w:r>
          </w:p>
        </w:tc>
        <w:tc>
          <w:tcPr>
            <w:tcW w:w="5281" w:type="dxa"/>
            <w:tcMar>
              <w:top w:w="0" w:type="dxa"/>
              <w:left w:w="108" w:type="dxa"/>
              <w:bottom w:w="0" w:type="dxa"/>
              <w:right w:w="108" w:type="dxa"/>
            </w:tcMar>
          </w:tcPr>
          <w:p w14:paraId="70EFCBBC" w14:textId="77777777" w:rsidR="009A1A36" w:rsidRPr="0026420A" w:rsidRDefault="009A1A36" w:rsidP="00EC2519">
            <w:pPr>
              <w:ind w:firstLine="0"/>
              <w:rPr>
                <w:b/>
                <w:bCs/>
              </w:rPr>
            </w:pPr>
            <w:r w:rsidRPr="0026420A">
              <w:rPr>
                <w:b/>
                <w:bCs/>
              </w:rPr>
              <w:t>Nu se acceptă.</w:t>
            </w:r>
          </w:p>
          <w:p w14:paraId="20D741C4" w14:textId="7FE378F9" w:rsidR="009A1A36" w:rsidRPr="0026420A" w:rsidRDefault="00933DC9" w:rsidP="00CB0A00">
            <w:pPr>
              <w:ind w:firstLine="0"/>
            </w:pPr>
            <w:r w:rsidRPr="0026420A">
              <w:t xml:space="preserve">Cerința redactării cărții albe în limba română este justificată de necesitatea asigurării accesului efectiv al deținătorilor și potențialilor deținători de </w:t>
            </w:r>
            <w:proofErr w:type="spellStart"/>
            <w:r w:rsidRPr="0026420A">
              <w:t>criptoactive</w:t>
            </w:r>
            <w:proofErr w:type="spellEnd"/>
            <w:r w:rsidRPr="0026420A">
              <w:t xml:space="preserve"> la informațiile esențiale privind oferta, riscurile, drepturile și obligațiile aferente </w:t>
            </w:r>
            <w:proofErr w:type="spellStart"/>
            <w:r w:rsidRPr="0026420A">
              <w:t>criptoactivelor</w:t>
            </w:r>
            <w:proofErr w:type="spellEnd"/>
            <w:r w:rsidRPr="0026420A">
              <w:t>, precum și de necesitatea desfășurării procedurilor administrative în limba oficială a statului. Totodată, limba română este una dintre limbile oficiale ale Uniunii Europene, iar utilizarea acesteia este pe deplin compatibilă cu obiectivul de armonizare a cadrului normativ național cu acquis-</w:t>
            </w:r>
            <w:proofErr w:type="spellStart"/>
            <w:r w:rsidRPr="0026420A">
              <w:t>ul</w:t>
            </w:r>
            <w:proofErr w:type="spellEnd"/>
            <w:r w:rsidRPr="0026420A">
              <w:t xml:space="preserve"> Uniunii Europene și cu cerințele de transparență și protecție a consumatorilor. Versiunile în alte limbi pot fi utilizate, după caz, în scopuri comerciale sau informative, însă versiunea în limba română trebuie să rămână versiunea oficială și relevantă pentru conformarea cu cerințele proiectului de lege, pentru exercitarea atribuțiilor autorităților competente și pentru asigurarea securității juridice.</w:t>
            </w:r>
          </w:p>
        </w:tc>
      </w:tr>
      <w:tr w:rsidR="009A1A36" w:rsidRPr="0026420A" w14:paraId="273F8CC3" w14:textId="77777777" w:rsidTr="001F4857">
        <w:trPr>
          <w:trHeight w:val="300"/>
        </w:trPr>
        <w:tc>
          <w:tcPr>
            <w:tcW w:w="2206" w:type="dxa"/>
            <w:vMerge/>
            <w:tcMar>
              <w:top w:w="0" w:type="dxa"/>
              <w:left w:w="108" w:type="dxa"/>
              <w:bottom w:w="0" w:type="dxa"/>
              <w:right w:w="108" w:type="dxa"/>
            </w:tcMar>
          </w:tcPr>
          <w:p w14:paraId="569C26B7" w14:textId="77777777" w:rsidR="009A1A36" w:rsidRPr="0026420A" w:rsidRDefault="009A1A36" w:rsidP="00CB0A00">
            <w:pPr>
              <w:ind w:firstLine="0"/>
              <w:jc w:val="left"/>
              <w:rPr>
                <w:b/>
                <w:bCs/>
              </w:rPr>
            </w:pPr>
          </w:p>
        </w:tc>
        <w:tc>
          <w:tcPr>
            <w:tcW w:w="579" w:type="dxa"/>
            <w:tcMar>
              <w:top w:w="0" w:type="dxa"/>
              <w:left w:w="108" w:type="dxa"/>
              <w:bottom w:w="0" w:type="dxa"/>
              <w:right w:w="108" w:type="dxa"/>
            </w:tcMar>
          </w:tcPr>
          <w:p w14:paraId="3F861897" w14:textId="77777777" w:rsidR="009A1A36" w:rsidRPr="0026420A" w:rsidRDefault="009A1A36" w:rsidP="00CB0A00">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215229B7" w14:textId="77777777" w:rsidR="009A1A36" w:rsidRPr="0026420A" w:rsidRDefault="009A1A36" w:rsidP="00EC2519">
            <w:pPr>
              <w:tabs>
                <w:tab w:val="left" w:pos="1635"/>
              </w:tabs>
              <w:ind w:firstLine="0"/>
            </w:pPr>
            <w:r w:rsidRPr="0026420A">
              <w:rPr>
                <w:b/>
                <w:bCs/>
              </w:rPr>
              <w:t xml:space="preserve">2. </w:t>
            </w:r>
            <w:r w:rsidRPr="0026420A">
              <w:t xml:space="preserve">La </w:t>
            </w:r>
            <w:r w:rsidRPr="0026420A">
              <w:rPr>
                <w:b/>
                <w:bCs/>
              </w:rPr>
              <w:t xml:space="preserve">art. 17 alin. (3) </w:t>
            </w:r>
            <w:r w:rsidRPr="0026420A">
              <w:t>se va expune în următoarea redacție: „</w:t>
            </w:r>
            <w:r w:rsidRPr="0026420A">
              <w:rPr>
                <w:i/>
                <w:iCs/>
              </w:rPr>
              <w:t xml:space="preserve">(3) Comisia Națională primește notificarea menționată la alin. (1) lit. b) și evaluează, în termen de 20 de zile lucrătoare de la primirea </w:t>
            </w:r>
            <w:r w:rsidRPr="0026420A">
              <w:rPr>
                <w:i/>
                <w:iCs/>
              </w:rPr>
              <w:lastRenderedPageBreak/>
              <w:t xml:space="preserve">informațiilor enumerate, dacă au fost furnizate informațiile prevăzute în temeiul literei respective. În cazul în care Comisia Națională ajunge la concluzia că o notificare nu este completă deoarece lipsesc informații, aceasta informează imediat instituția de credit notificatoare în acest sens și stabilește un termen până la care instituția de credit respectivă trebuie să furnizeze informațiile care lipsesc. Termenul pentru furnizarea oricăror informații care lipsesc nu depășește 20 de zile lucrătoare de la data solicitării. Comisia Națională informează instituția de credit atunci când cererea este considerată completă. Până la expirarea termenului respectiv, termenul stabilit la alin. (1) lit. b) se suspendă de drept. Orice solicitări suplimentare formulate de Comisia Națională în vederea completării sau clarificării informațiilor sunt la discreția acesteia, dar nu duc la suspendarea termenului prevăzut la alin. (1) lit. b). În cazul în care instituția de credit nu prezintă informațiile solicitate în termenul stabilit, Comisia Națională o informează despre constatarea renunțării tacite la notificare. Instituția de credit nu face o ofertă publică sau nu solicită admiterea la tranzacționare a </w:t>
            </w:r>
            <w:proofErr w:type="spellStart"/>
            <w:r w:rsidRPr="0026420A">
              <w:rPr>
                <w:i/>
                <w:iCs/>
              </w:rPr>
              <w:t>tokenului</w:t>
            </w:r>
            <w:proofErr w:type="spellEnd"/>
            <w:r w:rsidRPr="0026420A">
              <w:rPr>
                <w:i/>
                <w:iCs/>
              </w:rPr>
              <w:t xml:space="preserve"> raportat la active atât timp cât notificarea este incompletă.</w:t>
            </w:r>
            <w:r w:rsidRPr="0026420A">
              <w:t xml:space="preserve">”. </w:t>
            </w:r>
          </w:p>
          <w:p w14:paraId="68171E48" w14:textId="77777777" w:rsidR="009A1A36" w:rsidRPr="0026420A" w:rsidRDefault="009A1A36" w:rsidP="00EC2519">
            <w:pPr>
              <w:tabs>
                <w:tab w:val="left" w:pos="1635"/>
              </w:tabs>
              <w:ind w:firstLine="0"/>
            </w:pPr>
          </w:p>
          <w:p w14:paraId="59F190F6" w14:textId="77777777" w:rsidR="009A1A36" w:rsidRPr="0026420A" w:rsidRDefault="009A1A36" w:rsidP="00EC2519">
            <w:pPr>
              <w:tabs>
                <w:tab w:val="left" w:pos="1635"/>
              </w:tabs>
              <w:ind w:firstLine="0"/>
            </w:pPr>
          </w:p>
          <w:p w14:paraId="23532149" w14:textId="77777777" w:rsidR="009A1A36" w:rsidRPr="0026420A" w:rsidRDefault="009A1A36" w:rsidP="00EC2519">
            <w:pPr>
              <w:tabs>
                <w:tab w:val="left" w:pos="1635"/>
              </w:tabs>
              <w:ind w:firstLine="0"/>
            </w:pPr>
          </w:p>
          <w:p w14:paraId="4730A0EC" w14:textId="77777777" w:rsidR="009A1A36" w:rsidRPr="0026420A" w:rsidRDefault="009A1A36" w:rsidP="00EC2519">
            <w:pPr>
              <w:tabs>
                <w:tab w:val="left" w:pos="1635"/>
              </w:tabs>
              <w:ind w:firstLine="0"/>
            </w:pPr>
          </w:p>
          <w:p w14:paraId="2F9A4870" w14:textId="77777777" w:rsidR="009A1A36" w:rsidRPr="0026420A" w:rsidRDefault="009A1A36" w:rsidP="00EC2519">
            <w:pPr>
              <w:tabs>
                <w:tab w:val="left" w:pos="1635"/>
              </w:tabs>
              <w:ind w:firstLine="0"/>
            </w:pPr>
          </w:p>
          <w:p w14:paraId="4CD9CE33" w14:textId="77777777" w:rsidR="009A1A36" w:rsidRPr="0026420A" w:rsidRDefault="009A1A36" w:rsidP="00EC2519">
            <w:pPr>
              <w:tabs>
                <w:tab w:val="left" w:pos="1635"/>
              </w:tabs>
              <w:ind w:firstLine="0"/>
            </w:pPr>
          </w:p>
          <w:p w14:paraId="166A3818" w14:textId="3C83A4B3" w:rsidR="009A1A36" w:rsidRPr="0026420A" w:rsidRDefault="009A1A36" w:rsidP="00CB0A00">
            <w:pPr>
              <w:tabs>
                <w:tab w:val="left" w:pos="1635"/>
              </w:tabs>
              <w:ind w:firstLine="0"/>
            </w:pPr>
          </w:p>
        </w:tc>
        <w:tc>
          <w:tcPr>
            <w:tcW w:w="5281" w:type="dxa"/>
            <w:tcMar>
              <w:top w:w="0" w:type="dxa"/>
              <w:left w:w="108" w:type="dxa"/>
              <w:bottom w:w="0" w:type="dxa"/>
              <w:right w:w="108" w:type="dxa"/>
            </w:tcMar>
          </w:tcPr>
          <w:p w14:paraId="508D8083" w14:textId="77777777" w:rsidR="009A1A36" w:rsidRPr="0026420A" w:rsidRDefault="009A1A36" w:rsidP="00EC2519">
            <w:pPr>
              <w:ind w:firstLine="0"/>
              <w:rPr>
                <w:b/>
                <w:bCs/>
              </w:rPr>
            </w:pPr>
            <w:r w:rsidRPr="0026420A">
              <w:rPr>
                <w:b/>
                <w:bCs/>
              </w:rPr>
              <w:lastRenderedPageBreak/>
              <w:t>Se acceptă parțial.</w:t>
            </w:r>
          </w:p>
          <w:p w14:paraId="5F88022C" w14:textId="77777777" w:rsidR="009A1A36" w:rsidRPr="0026420A" w:rsidRDefault="009A1A36" w:rsidP="00EC2519">
            <w:pPr>
              <w:ind w:firstLine="0"/>
            </w:pPr>
            <w:r w:rsidRPr="0026420A">
              <w:t xml:space="preserve">Se ajustează textul prevederii în partea ce vizează clarificarea aspectelor procedurale ale notificării. Nu se acceptă eliminarea </w:t>
            </w:r>
            <w:r w:rsidRPr="0026420A">
              <w:lastRenderedPageBreak/>
              <w:t>sintagmei „</w:t>
            </w:r>
            <w:r w:rsidRPr="0026420A">
              <w:rPr>
                <w:i/>
                <w:iCs/>
              </w:rPr>
              <w:t>sau cel târziu până la sfârșitul următoarei zile lucrătoare</w:t>
            </w:r>
            <w:r w:rsidRPr="0026420A">
              <w:t>”, întrucât aceasta prevede un termen de notificare mai precis și determinabil.</w:t>
            </w:r>
          </w:p>
          <w:p w14:paraId="7FC830FD" w14:textId="77777777" w:rsidR="009A1A36" w:rsidRPr="0026420A" w:rsidRDefault="009A1A36" w:rsidP="00EC2519">
            <w:pPr>
              <w:ind w:firstLine="0"/>
              <w:rPr>
                <w:i/>
                <w:iCs/>
              </w:rPr>
            </w:pPr>
            <w:r w:rsidRPr="0026420A">
              <w:t>Textul prevederii la art. 17 alin. (3) proiectului de Lege se expune în următoarea redacție:</w:t>
            </w:r>
            <w:r w:rsidRPr="0026420A">
              <w:rPr>
                <w:i/>
                <w:iCs/>
              </w:rPr>
              <w:t xml:space="preserve"> </w:t>
            </w:r>
          </w:p>
          <w:p w14:paraId="03F69F07" w14:textId="3E0C6667" w:rsidR="009A1A36" w:rsidRPr="0026420A" w:rsidRDefault="009A1A36" w:rsidP="00576775">
            <w:pPr>
              <w:ind w:firstLine="0"/>
            </w:pPr>
            <w:r w:rsidRPr="0026420A">
              <w:rPr>
                <w:i/>
                <w:iCs/>
              </w:rPr>
              <w:t>„(3)Comisia Națională primește notificarea menționată la alin. (1) lit. b) și evaluează, în termen de 20 de zile lucrătoare de la primirea informațiilor enumerate, dacă au fost furnizate informațiile prevăzute în temeiul literei respective. În cazul în care Comisia Națională ajunge la concluzia că o notificare nu este completă deoarece lipsesc informații, aceasta informează imediat sau cel târziu până la sfârșitul următoarei zile lucrătoare instituția de credit notificatoare în acest sens și stabilește un termen până la care instituția de credit respectivă trebuie să furnizeze informațiile care lipsesc. Termenul stabilit pentru furnizarea oricăror informații care lipsesc nu depășește 20 de zile lucrătoare de la data solicitării. Până la expirarea termenului respectiv, termenul stabilit la alin. (1) lit. b)  se suspendă de drept. Orice solicitări suplimentare formulate de Comisia Națională în vederea completării sau clarificării informațiilor sunt la discreția acesteia, dar nu duc la suspendarea termenului prevăzut la alin. (1) lit. b). După primirea informațiilor necesare și constatarea caracterului complet al notificării, Comisia Națională informează instituția de credit în acest sens. În cazul în care instituția de credit nu prezintă informațiile solicitate în termenul stabilit</w:t>
            </w:r>
            <w:r w:rsidRPr="0026420A">
              <w:t xml:space="preserve"> </w:t>
            </w:r>
            <w:r w:rsidRPr="0026420A">
              <w:rPr>
                <w:i/>
                <w:iCs/>
              </w:rPr>
              <w:t xml:space="preserve">și nu există temeiuri de repunere în termen, Comisia Națională poate constata renunțarea tacită la notificare și informează instituția de credit în acest sens. Informațiile prezentate după expirarea termenului nu sunt luate în considerare în cadrul notificării respective. Instituția de credit nu face o ofertă publică sau nu solicită admiterea la tranzacționare a </w:t>
            </w:r>
            <w:proofErr w:type="spellStart"/>
            <w:r w:rsidRPr="0026420A">
              <w:rPr>
                <w:i/>
                <w:iCs/>
              </w:rPr>
              <w:t>tokenului</w:t>
            </w:r>
            <w:proofErr w:type="spellEnd"/>
            <w:r w:rsidRPr="0026420A">
              <w:rPr>
                <w:i/>
                <w:iCs/>
              </w:rPr>
              <w:t xml:space="preserve"> raportat la active atât timp cât notificarea este incompletă.”</w:t>
            </w:r>
          </w:p>
        </w:tc>
      </w:tr>
      <w:tr w:rsidR="009A1A36" w:rsidRPr="0026420A" w14:paraId="5C344BD2" w14:textId="77777777" w:rsidTr="001F4857">
        <w:trPr>
          <w:trHeight w:val="6430"/>
        </w:trPr>
        <w:tc>
          <w:tcPr>
            <w:tcW w:w="2206" w:type="dxa"/>
            <w:vMerge w:val="restart"/>
            <w:tcMar>
              <w:top w:w="0" w:type="dxa"/>
              <w:left w:w="108" w:type="dxa"/>
              <w:bottom w:w="0" w:type="dxa"/>
              <w:right w:w="108" w:type="dxa"/>
            </w:tcMar>
          </w:tcPr>
          <w:p w14:paraId="200FAA34" w14:textId="3EBBE337" w:rsidR="0080245F" w:rsidRPr="0026420A" w:rsidRDefault="0080245F" w:rsidP="00EC2519">
            <w:pPr>
              <w:ind w:firstLine="0"/>
              <w:jc w:val="left"/>
              <w:rPr>
                <w:i/>
                <w:iCs/>
              </w:rPr>
            </w:pPr>
          </w:p>
          <w:p w14:paraId="49089231" w14:textId="252130E9" w:rsidR="0080245F" w:rsidRPr="0026420A" w:rsidRDefault="0080245F" w:rsidP="00EC2519">
            <w:pPr>
              <w:ind w:firstLine="0"/>
              <w:jc w:val="left"/>
              <w:rPr>
                <w:i/>
                <w:iCs/>
              </w:rPr>
            </w:pPr>
          </w:p>
          <w:p w14:paraId="055E1312" w14:textId="66FD9665" w:rsidR="0080245F" w:rsidRPr="0026420A" w:rsidRDefault="0080245F" w:rsidP="00EC2519">
            <w:pPr>
              <w:ind w:firstLine="0"/>
              <w:jc w:val="left"/>
              <w:rPr>
                <w:i/>
                <w:iCs/>
              </w:rPr>
            </w:pPr>
          </w:p>
          <w:p w14:paraId="297F8F24" w14:textId="14EA2C02" w:rsidR="0080245F" w:rsidRPr="0026420A" w:rsidRDefault="0080245F" w:rsidP="00EC2519">
            <w:pPr>
              <w:ind w:firstLine="0"/>
              <w:jc w:val="left"/>
              <w:rPr>
                <w:i/>
                <w:iCs/>
              </w:rPr>
            </w:pPr>
          </w:p>
          <w:p w14:paraId="76A7142D" w14:textId="2EE1CC61" w:rsidR="0080245F" w:rsidRPr="0026420A" w:rsidRDefault="0080245F" w:rsidP="00EC2519">
            <w:pPr>
              <w:ind w:firstLine="0"/>
              <w:jc w:val="left"/>
              <w:rPr>
                <w:i/>
                <w:iCs/>
              </w:rPr>
            </w:pPr>
          </w:p>
          <w:p w14:paraId="276A7138" w14:textId="1E614266" w:rsidR="0080245F" w:rsidRPr="0026420A" w:rsidRDefault="0080245F" w:rsidP="00EC2519">
            <w:pPr>
              <w:ind w:firstLine="0"/>
              <w:jc w:val="left"/>
              <w:rPr>
                <w:i/>
                <w:iCs/>
              </w:rPr>
            </w:pPr>
          </w:p>
          <w:p w14:paraId="143D0F69" w14:textId="08F18984" w:rsidR="0080245F" w:rsidRPr="0026420A" w:rsidRDefault="0080245F" w:rsidP="00EC2519">
            <w:pPr>
              <w:ind w:firstLine="0"/>
              <w:jc w:val="left"/>
              <w:rPr>
                <w:i/>
                <w:iCs/>
              </w:rPr>
            </w:pPr>
          </w:p>
          <w:p w14:paraId="353546F3" w14:textId="483CC874" w:rsidR="0080245F" w:rsidRPr="0026420A" w:rsidRDefault="0080245F" w:rsidP="00EC2519">
            <w:pPr>
              <w:ind w:firstLine="0"/>
              <w:jc w:val="left"/>
              <w:rPr>
                <w:i/>
                <w:iCs/>
              </w:rPr>
            </w:pPr>
          </w:p>
          <w:p w14:paraId="5EE2E3C1" w14:textId="713AD30F" w:rsidR="0080245F" w:rsidRPr="0026420A" w:rsidRDefault="0080245F" w:rsidP="00EC2519">
            <w:pPr>
              <w:ind w:firstLine="0"/>
              <w:jc w:val="left"/>
              <w:rPr>
                <w:i/>
                <w:iCs/>
              </w:rPr>
            </w:pPr>
          </w:p>
          <w:p w14:paraId="78BFD245" w14:textId="65F54665" w:rsidR="0080245F" w:rsidRPr="0026420A" w:rsidRDefault="0080245F" w:rsidP="00EC2519">
            <w:pPr>
              <w:ind w:firstLine="0"/>
              <w:jc w:val="left"/>
              <w:rPr>
                <w:i/>
                <w:iCs/>
              </w:rPr>
            </w:pPr>
          </w:p>
          <w:p w14:paraId="0D9A7BC4" w14:textId="37193035" w:rsidR="0080245F" w:rsidRPr="0026420A" w:rsidRDefault="0080245F" w:rsidP="00EC2519">
            <w:pPr>
              <w:ind w:firstLine="0"/>
              <w:jc w:val="left"/>
              <w:rPr>
                <w:i/>
                <w:iCs/>
              </w:rPr>
            </w:pPr>
          </w:p>
          <w:p w14:paraId="5C5B3878" w14:textId="295EE894" w:rsidR="0080245F" w:rsidRPr="0026420A" w:rsidRDefault="0080245F" w:rsidP="00EC2519">
            <w:pPr>
              <w:ind w:firstLine="0"/>
              <w:jc w:val="left"/>
              <w:rPr>
                <w:i/>
                <w:iCs/>
              </w:rPr>
            </w:pPr>
          </w:p>
          <w:p w14:paraId="390D4664" w14:textId="724824CC" w:rsidR="0080245F" w:rsidRPr="0026420A" w:rsidRDefault="0080245F" w:rsidP="00EC2519">
            <w:pPr>
              <w:ind w:firstLine="0"/>
              <w:jc w:val="left"/>
              <w:rPr>
                <w:i/>
                <w:iCs/>
              </w:rPr>
            </w:pPr>
          </w:p>
          <w:p w14:paraId="54B89D18" w14:textId="427C913C" w:rsidR="0080245F" w:rsidRPr="0026420A" w:rsidRDefault="0080245F" w:rsidP="00EC2519">
            <w:pPr>
              <w:ind w:firstLine="0"/>
              <w:jc w:val="left"/>
              <w:rPr>
                <w:i/>
                <w:iCs/>
              </w:rPr>
            </w:pPr>
          </w:p>
          <w:p w14:paraId="3FDC7401" w14:textId="23DAA365" w:rsidR="0080245F" w:rsidRPr="0026420A" w:rsidRDefault="0080245F" w:rsidP="00EC2519">
            <w:pPr>
              <w:ind w:firstLine="0"/>
              <w:jc w:val="left"/>
              <w:rPr>
                <w:i/>
                <w:iCs/>
              </w:rPr>
            </w:pPr>
          </w:p>
          <w:p w14:paraId="15BB2A8B" w14:textId="5EBC0046" w:rsidR="0080245F" w:rsidRPr="0026420A" w:rsidRDefault="0080245F" w:rsidP="00EC2519">
            <w:pPr>
              <w:ind w:firstLine="0"/>
              <w:jc w:val="left"/>
              <w:rPr>
                <w:i/>
                <w:iCs/>
              </w:rPr>
            </w:pPr>
          </w:p>
          <w:p w14:paraId="6D636354" w14:textId="2556BDAE" w:rsidR="0080245F" w:rsidRPr="0026420A" w:rsidRDefault="0080245F" w:rsidP="00EC2519">
            <w:pPr>
              <w:ind w:firstLine="0"/>
              <w:jc w:val="left"/>
              <w:rPr>
                <w:i/>
                <w:iCs/>
              </w:rPr>
            </w:pPr>
          </w:p>
          <w:p w14:paraId="0BB77BFA" w14:textId="243BF62F" w:rsidR="0080245F" w:rsidRPr="0026420A" w:rsidRDefault="0080245F" w:rsidP="00EC2519">
            <w:pPr>
              <w:ind w:firstLine="0"/>
              <w:jc w:val="left"/>
              <w:rPr>
                <w:i/>
                <w:iCs/>
              </w:rPr>
            </w:pPr>
          </w:p>
          <w:p w14:paraId="2B603846" w14:textId="3B88B9BD" w:rsidR="0080245F" w:rsidRPr="0026420A" w:rsidRDefault="0080245F" w:rsidP="00EC2519">
            <w:pPr>
              <w:ind w:firstLine="0"/>
              <w:jc w:val="left"/>
              <w:rPr>
                <w:i/>
                <w:iCs/>
              </w:rPr>
            </w:pPr>
          </w:p>
          <w:p w14:paraId="074A4F98" w14:textId="7A88C29D" w:rsidR="0080245F" w:rsidRPr="0026420A" w:rsidRDefault="0080245F" w:rsidP="00EC2519">
            <w:pPr>
              <w:ind w:firstLine="0"/>
              <w:jc w:val="left"/>
              <w:rPr>
                <w:i/>
                <w:iCs/>
              </w:rPr>
            </w:pPr>
          </w:p>
          <w:p w14:paraId="6B9EE9DC" w14:textId="24F0EA36" w:rsidR="0080245F" w:rsidRPr="0026420A" w:rsidRDefault="0080245F" w:rsidP="00EC2519">
            <w:pPr>
              <w:ind w:firstLine="0"/>
              <w:jc w:val="left"/>
              <w:rPr>
                <w:i/>
                <w:iCs/>
              </w:rPr>
            </w:pPr>
          </w:p>
          <w:p w14:paraId="4955E512" w14:textId="5F71A124" w:rsidR="0080245F" w:rsidRPr="0026420A" w:rsidRDefault="0080245F" w:rsidP="00EC2519">
            <w:pPr>
              <w:ind w:firstLine="0"/>
              <w:jc w:val="left"/>
              <w:rPr>
                <w:i/>
                <w:iCs/>
              </w:rPr>
            </w:pPr>
          </w:p>
          <w:p w14:paraId="253FBE18" w14:textId="50319ADB" w:rsidR="0080245F" w:rsidRPr="0026420A" w:rsidRDefault="0080245F" w:rsidP="00EC2519">
            <w:pPr>
              <w:ind w:firstLine="0"/>
              <w:jc w:val="left"/>
              <w:rPr>
                <w:i/>
                <w:iCs/>
              </w:rPr>
            </w:pPr>
          </w:p>
          <w:p w14:paraId="1A0EB321" w14:textId="1879E360" w:rsidR="0080245F" w:rsidRPr="0026420A" w:rsidRDefault="0080245F" w:rsidP="00EC2519">
            <w:pPr>
              <w:ind w:firstLine="0"/>
              <w:jc w:val="left"/>
              <w:rPr>
                <w:i/>
                <w:iCs/>
              </w:rPr>
            </w:pPr>
          </w:p>
          <w:p w14:paraId="1714A555" w14:textId="6F0E727D" w:rsidR="0080245F" w:rsidRPr="0026420A" w:rsidRDefault="0080245F" w:rsidP="00EC2519">
            <w:pPr>
              <w:ind w:firstLine="0"/>
              <w:jc w:val="left"/>
              <w:rPr>
                <w:i/>
                <w:iCs/>
              </w:rPr>
            </w:pPr>
          </w:p>
          <w:p w14:paraId="184B2384" w14:textId="5C5F0B77" w:rsidR="0080245F" w:rsidRPr="0026420A" w:rsidRDefault="0080245F" w:rsidP="00EC2519">
            <w:pPr>
              <w:ind w:firstLine="0"/>
              <w:jc w:val="left"/>
              <w:rPr>
                <w:i/>
                <w:iCs/>
              </w:rPr>
            </w:pPr>
          </w:p>
          <w:p w14:paraId="4547BD5B" w14:textId="25050E31" w:rsidR="0080245F" w:rsidRPr="0026420A" w:rsidRDefault="0080245F" w:rsidP="00EC2519">
            <w:pPr>
              <w:ind w:firstLine="0"/>
              <w:jc w:val="left"/>
              <w:rPr>
                <w:i/>
                <w:iCs/>
              </w:rPr>
            </w:pPr>
          </w:p>
          <w:p w14:paraId="4DFE3DE6" w14:textId="0C610F95" w:rsidR="0080245F" w:rsidRPr="0026420A" w:rsidRDefault="0080245F" w:rsidP="00EC2519">
            <w:pPr>
              <w:ind w:firstLine="0"/>
              <w:jc w:val="left"/>
              <w:rPr>
                <w:i/>
                <w:iCs/>
              </w:rPr>
            </w:pPr>
          </w:p>
          <w:p w14:paraId="029F7F2E" w14:textId="013F0F4D" w:rsidR="0080245F" w:rsidRPr="0026420A" w:rsidRDefault="0080245F" w:rsidP="00EC2519">
            <w:pPr>
              <w:ind w:firstLine="0"/>
              <w:jc w:val="left"/>
              <w:rPr>
                <w:i/>
                <w:iCs/>
              </w:rPr>
            </w:pPr>
          </w:p>
          <w:p w14:paraId="6B3AAD39" w14:textId="078BB999" w:rsidR="0080245F" w:rsidRPr="0026420A" w:rsidRDefault="0080245F" w:rsidP="00EC2519">
            <w:pPr>
              <w:ind w:firstLine="0"/>
              <w:jc w:val="left"/>
              <w:rPr>
                <w:i/>
                <w:iCs/>
              </w:rPr>
            </w:pPr>
          </w:p>
          <w:p w14:paraId="165BD922" w14:textId="63D72BAE" w:rsidR="0080245F" w:rsidRPr="0026420A" w:rsidRDefault="0080245F" w:rsidP="00EC2519">
            <w:pPr>
              <w:ind w:firstLine="0"/>
              <w:jc w:val="left"/>
              <w:rPr>
                <w:i/>
                <w:iCs/>
              </w:rPr>
            </w:pPr>
          </w:p>
          <w:p w14:paraId="50B3A167" w14:textId="7E1B4E8F" w:rsidR="0080245F" w:rsidRPr="0026420A" w:rsidRDefault="0080245F" w:rsidP="00EC2519">
            <w:pPr>
              <w:ind w:firstLine="0"/>
              <w:jc w:val="left"/>
              <w:rPr>
                <w:i/>
                <w:iCs/>
              </w:rPr>
            </w:pPr>
          </w:p>
          <w:p w14:paraId="78A1B876" w14:textId="66F931D1" w:rsidR="0080245F" w:rsidRPr="0026420A" w:rsidRDefault="0080245F" w:rsidP="00EC2519">
            <w:pPr>
              <w:ind w:firstLine="0"/>
              <w:jc w:val="left"/>
              <w:rPr>
                <w:i/>
                <w:iCs/>
              </w:rPr>
            </w:pPr>
          </w:p>
          <w:p w14:paraId="00F91A7D" w14:textId="1723BA02" w:rsidR="0080245F" w:rsidRPr="0026420A" w:rsidRDefault="0080245F" w:rsidP="00EC2519">
            <w:pPr>
              <w:ind w:firstLine="0"/>
              <w:jc w:val="left"/>
              <w:rPr>
                <w:i/>
                <w:iCs/>
              </w:rPr>
            </w:pPr>
          </w:p>
          <w:p w14:paraId="50A3A216" w14:textId="57E78A3A" w:rsidR="0080245F" w:rsidRPr="0026420A" w:rsidRDefault="0080245F" w:rsidP="00EC2519">
            <w:pPr>
              <w:ind w:firstLine="0"/>
              <w:jc w:val="left"/>
              <w:rPr>
                <w:i/>
                <w:iCs/>
              </w:rPr>
            </w:pPr>
          </w:p>
          <w:p w14:paraId="68AEABEF" w14:textId="0234B939" w:rsidR="0080245F" w:rsidRPr="0026420A" w:rsidRDefault="0080245F" w:rsidP="00EC2519">
            <w:pPr>
              <w:ind w:firstLine="0"/>
              <w:jc w:val="left"/>
              <w:rPr>
                <w:i/>
                <w:iCs/>
              </w:rPr>
            </w:pPr>
          </w:p>
          <w:p w14:paraId="3BB264CC" w14:textId="0B73FC2D" w:rsidR="0080245F" w:rsidRPr="0026420A" w:rsidRDefault="0080245F" w:rsidP="00EC2519">
            <w:pPr>
              <w:ind w:firstLine="0"/>
              <w:jc w:val="left"/>
              <w:rPr>
                <w:i/>
                <w:iCs/>
              </w:rPr>
            </w:pPr>
          </w:p>
          <w:p w14:paraId="7B9DEF6F" w14:textId="56978EA4" w:rsidR="0080245F" w:rsidRPr="0026420A" w:rsidRDefault="0080245F" w:rsidP="00EC2519">
            <w:pPr>
              <w:ind w:firstLine="0"/>
              <w:jc w:val="left"/>
              <w:rPr>
                <w:i/>
                <w:iCs/>
              </w:rPr>
            </w:pPr>
          </w:p>
          <w:p w14:paraId="0F480465" w14:textId="07C96B62" w:rsidR="0080245F" w:rsidRPr="0026420A" w:rsidRDefault="0080245F" w:rsidP="00EC2519">
            <w:pPr>
              <w:ind w:firstLine="0"/>
              <w:jc w:val="left"/>
              <w:rPr>
                <w:i/>
                <w:iCs/>
              </w:rPr>
            </w:pPr>
          </w:p>
          <w:p w14:paraId="5529534F" w14:textId="15C80EC3" w:rsidR="0080245F" w:rsidRPr="0026420A" w:rsidRDefault="0080245F" w:rsidP="00EC2519">
            <w:pPr>
              <w:ind w:firstLine="0"/>
              <w:jc w:val="left"/>
              <w:rPr>
                <w:i/>
                <w:iCs/>
              </w:rPr>
            </w:pPr>
          </w:p>
          <w:p w14:paraId="36EB1CFE" w14:textId="4A9238F5" w:rsidR="0080245F" w:rsidRPr="0026420A" w:rsidRDefault="0080245F" w:rsidP="00EC2519">
            <w:pPr>
              <w:ind w:firstLine="0"/>
              <w:jc w:val="left"/>
              <w:rPr>
                <w:i/>
                <w:iCs/>
              </w:rPr>
            </w:pPr>
          </w:p>
          <w:p w14:paraId="669FFAF9" w14:textId="0FC6CF19" w:rsidR="0080245F" w:rsidRPr="0026420A" w:rsidRDefault="0080245F" w:rsidP="00EC2519">
            <w:pPr>
              <w:ind w:firstLine="0"/>
              <w:jc w:val="left"/>
              <w:rPr>
                <w:i/>
                <w:iCs/>
              </w:rPr>
            </w:pPr>
          </w:p>
          <w:p w14:paraId="59039C7E" w14:textId="52F6DD9B" w:rsidR="0080245F" w:rsidRPr="0026420A" w:rsidRDefault="0080245F" w:rsidP="00EC2519">
            <w:pPr>
              <w:ind w:firstLine="0"/>
              <w:jc w:val="left"/>
              <w:rPr>
                <w:i/>
                <w:iCs/>
              </w:rPr>
            </w:pPr>
          </w:p>
          <w:p w14:paraId="63A05F2B" w14:textId="6486EFF0" w:rsidR="0080245F" w:rsidRPr="0026420A" w:rsidRDefault="0080245F" w:rsidP="00EC2519">
            <w:pPr>
              <w:ind w:firstLine="0"/>
              <w:jc w:val="left"/>
              <w:rPr>
                <w:i/>
                <w:iCs/>
              </w:rPr>
            </w:pPr>
          </w:p>
          <w:p w14:paraId="27AFA886" w14:textId="50AAB385" w:rsidR="0080245F" w:rsidRPr="0026420A" w:rsidRDefault="0080245F" w:rsidP="00EC2519">
            <w:pPr>
              <w:ind w:firstLine="0"/>
              <w:jc w:val="left"/>
              <w:rPr>
                <w:i/>
                <w:iCs/>
              </w:rPr>
            </w:pPr>
          </w:p>
          <w:p w14:paraId="3FB5D29A" w14:textId="48A9D8D4" w:rsidR="0080245F" w:rsidRPr="0026420A" w:rsidRDefault="0080245F" w:rsidP="00EC2519">
            <w:pPr>
              <w:ind w:firstLine="0"/>
              <w:jc w:val="left"/>
              <w:rPr>
                <w:i/>
                <w:iCs/>
              </w:rPr>
            </w:pPr>
          </w:p>
          <w:p w14:paraId="36F00FE3" w14:textId="127AD037" w:rsidR="0080245F" w:rsidRPr="0026420A" w:rsidRDefault="0080245F" w:rsidP="00EC2519">
            <w:pPr>
              <w:ind w:firstLine="0"/>
              <w:jc w:val="left"/>
              <w:rPr>
                <w:i/>
                <w:iCs/>
              </w:rPr>
            </w:pPr>
          </w:p>
          <w:p w14:paraId="0C9299BD" w14:textId="39508296" w:rsidR="0080245F" w:rsidRPr="0026420A" w:rsidRDefault="0080245F" w:rsidP="00EC2519">
            <w:pPr>
              <w:ind w:firstLine="0"/>
              <w:jc w:val="left"/>
              <w:rPr>
                <w:i/>
                <w:iCs/>
              </w:rPr>
            </w:pPr>
          </w:p>
          <w:p w14:paraId="60AE8B1C" w14:textId="6E3A04E8" w:rsidR="0080245F" w:rsidRPr="0026420A" w:rsidRDefault="0080245F" w:rsidP="00EC2519">
            <w:pPr>
              <w:ind w:firstLine="0"/>
              <w:jc w:val="left"/>
              <w:rPr>
                <w:i/>
                <w:iCs/>
              </w:rPr>
            </w:pPr>
          </w:p>
          <w:p w14:paraId="42DB3004" w14:textId="648D040E" w:rsidR="0080245F" w:rsidRPr="0026420A" w:rsidRDefault="0080245F" w:rsidP="00EC2519">
            <w:pPr>
              <w:ind w:firstLine="0"/>
              <w:jc w:val="left"/>
              <w:rPr>
                <w:i/>
                <w:iCs/>
              </w:rPr>
            </w:pPr>
          </w:p>
          <w:p w14:paraId="10E17AB6" w14:textId="2E7240C0" w:rsidR="0080245F" w:rsidRPr="0026420A" w:rsidRDefault="0080245F" w:rsidP="00EC2519">
            <w:pPr>
              <w:ind w:firstLine="0"/>
              <w:jc w:val="left"/>
              <w:rPr>
                <w:i/>
                <w:iCs/>
              </w:rPr>
            </w:pPr>
          </w:p>
          <w:p w14:paraId="702AD5B2" w14:textId="4DD6C9AD" w:rsidR="0080245F" w:rsidRPr="0026420A" w:rsidRDefault="0080245F" w:rsidP="00EC2519">
            <w:pPr>
              <w:ind w:firstLine="0"/>
              <w:jc w:val="left"/>
              <w:rPr>
                <w:i/>
                <w:iCs/>
              </w:rPr>
            </w:pPr>
          </w:p>
          <w:p w14:paraId="4403C565" w14:textId="7405B92C" w:rsidR="0080245F" w:rsidRPr="0026420A" w:rsidRDefault="0080245F" w:rsidP="00EC2519">
            <w:pPr>
              <w:ind w:firstLine="0"/>
              <w:jc w:val="left"/>
              <w:rPr>
                <w:i/>
                <w:iCs/>
              </w:rPr>
            </w:pPr>
          </w:p>
          <w:p w14:paraId="1A9DD189" w14:textId="32417906" w:rsidR="0080245F" w:rsidRPr="0026420A" w:rsidRDefault="0080245F" w:rsidP="00EC2519">
            <w:pPr>
              <w:ind w:firstLine="0"/>
              <w:jc w:val="left"/>
              <w:rPr>
                <w:i/>
                <w:iCs/>
              </w:rPr>
            </w:pPr>
          </w:p>
          <w:p w14:paraId="14CCB58C" w14:textId="6B0AEF87" w:rsidR="0080245F" w:rsidRPr="0026420A" w:rsidRDefault="0080245F" w:rsidP="00EC2519">
            <w:pPr>
              <w:ind w:firstLine="0"/>
              <w:jc w:val="left"/>
              <w:rPr>
                <w:i/>
                <w:iCs/>
              </w:rPr>
            </w:pPr>
          </w:p>
          <w:p w14:paraId="1D941045" w14:textId="32876DCC" w:rsidR="0080245F" w:rsidRPr="0026420A" w:rsidRDefault="0080245F" w:rsidP="00EC2519">
            <w:pPr>
              <w:ind w:firstLine="0"/>
              <w:jc w:val="left"/>
              <w:rPr>
                <w:i/>
                <w:iCs/>
              </w:rPr>
            </w:pPr>
          </w:p>
          <w:p w14:paraId="108BFE5C" w14:textId="585C884D" w:rsidR="0080245F" w:rsidRPr="0026420A" w:rsidRDefault="0080245F" w:rsidP="00EC2519">
            <w:pPr>
              <w:ind w:firstLine="0"/>
              <w:jc w:val="left"/>
              <w:rPr>
                <w:i/>
                <w:iCs/>
              </w:rPr>
            </w:pPr>
          </w:p>
          <w:p w14:paraId="70E5C3F1" w14:textId="1AF79342" w:rsidR="0080245F" w:rsidRPr="0026420A" w:rsidRDefault="0080245F" w:rsidP="00EC2519">
            <w:pPr>
              <w:ind w:firstLine="0"/>
              <w:jc w:val="left"/>
              <w:rPr>
                <w:i/>
                <w:iCs/>
              </w:rPr>
            </w:pPr>
          </w:p>
          <w:p w14:paraId="26D9123C" w14:textId="7C12D26C" w:rsidR="0080245F" w:rsidRPr="0026420A" w:rsidRDefault="0080245F" w:rsidP="00EC2519">
            <w:pPr>
              <w:ind w:firstLine="0"/>
              <w:jc w:val="left"/>
              <w:rPr>
                <w:i/>
                <w:iCs/>
              </w:rPr>
            </w:pPr>
          </w:p>
          <w:p w14:paraId="791F68E0" w14:textId="2BB8ED1D" w:rsidR="0080245F" w:rsidRPr="0026420A" w:rsidRDefault="0080245F" w:rsidP="00EC2519">
            <w:pPr>
              <w:ind w:firstLine="0"/>
              <w:jc w:val="left"/>
              <w:rPr>
                <w:i/>
                <w:iCs/>
              </w:rPr>
            </w:pPr>
          </w:p>
          <w:p w14:paraId="706D4BF9" w14:textId="3AAE5492" w:rsidR="0080245F" w:rsidRPr="0026420A" w:rsidRDefault="0080245F" w:rsidP="00EC2519">
            <w:pPr>
              <w:ind w:firstLine="0"/>
              <w:jc w:val="left"/>
              <w:rPr>
                <w:i/>
                <w:iCs/>
              </w:rPr>
            </w:pPr>
          </w:p>
          <w:p w14:paraId="4CEF446C" w14:textId="418A37BD" w:rsidR="0080245F" w:rsidRPr="0026420A" w:rsidRDefault="0080245F" w:rsidP="00EC2519">
            <w:pPr>
              <w:ind w:firstLine="0"/>
              <w:jc w:val="left"/>
              <w:rPr>
                <w:i/>
                <w:iCs/>
              </w:rPr>
            </w:pPr>
          </w:p>
          <w:p w14:paraId="6E893249" w14:textId="4C99342B" w:rsidR="0080245F" w:rsidRPr="0026420A" w:rsidRDefault="0080245F" w:rsidP="00EC2519">
            <w:pPr>
              <w:ind w:firstLine="0"/>
              <w:jc w:val="left"/>
              <w:rPr>
                <w:i/>
                <w:iCs/>
              </w:rPr>
            </w:pPr>
          </w:p>
          <w:p w14:paraId="2C733468" w14:textId="72C0742F" w:rsidR="0080245F" w:rsidRPr="0026420A" w:rsidRDefault="0080245F" w:rsidP="00EC2519">
            <w:pPr>
              <w:ind w:firstLine="0"/>
              <w:jc w:val="left"/>
              <w:rPr>
                <w:i/>
                <w:iCs/>
              </w:rPr>
            </w:pPr>
          </w:p>
          <w:p w14:paraId="5C36272F" w14:textId="40C59449" w:rsidR="0080245F" w:rsidRPr="0026420A" w:rsidRDefault="0080245F" w:rsidP="00EC2519">
            <w:pPr>
              <w:ind w:firstLine="0"/>
              <w:jc w:val="left"/>
              <w:rPr>
                <w:i/>
                <w:iCs/>
              </w:rPr>
            </w:pPr>
          </w:p>
          <w:p w14:paraId="76D67E3F" w14:textId="32B82E57" w:rsidR="0080245F" w:rsidRPr="0026420A" w:rsidRDefault="0080245F" w:rsidP="00EC2519">
            <w:pPr>
              <w:ind w:firstLine="0"/>
              <w:jc w:val="left"/>
              <w:rPr>
                <w:i/>
                <w:iCs/>
              </w:rPr>
            </w:pPr>
          </w:p>
          <w:p w14:paraId="5ED682F7" w14:textId="64D73B58" w:rsidR="0080245F" w:rsidRPr="0026420A" w:rsidRDefault="0080245F" w:rsidP="00EC2519">
            <w:pPr>
              <w:ind w:firstLine="0"/>
              <w:jc w:val="left"/>
              <w:rPr>
                <w:i/>
                <w:iCs/>
              </w:rPr>
            </w:pPr>
          </w:p>
          <w:p w14:paraId="1F11E133" w14:textId="21AD9C41" w:rsidR="0080245F" w:rsidRPr="0026420A" w:rsidRDefault="0080245F" w:rsidP="00EC2519">
            <w:pPr>
              <w:ind w:firstLine="0"/>
              <w:jc w:val="left"/>
              <w:rPr>
                <w:i/>
                <w:iCs/>
              </w:rPr>
            </w:pPr>
          </w:p>
          <w:p w14:paraId="5A663F4B" w14:textId="0C5A1201" w:rsidR="0080245F" w:rsidRPr="0026420A" w:rsidRDefault="0080245F" w:rsidP="00EC2519">
            <w:pPr>
              <w:ind w:firstLine="0"/>
              <w:jc w:val="left"/>
              <w:rPr>
                <w:i/>
                <w:iCs/>
              </w:rPr>
            </w:pPr>
          </w:p>
          <w:p w14:paraId="76715F91" w14:textId="523CD4B1" w:rsidR="0080245F" w:rsidRPr="0026420A" w:rsidRDefault="0080245F" w:rsidP="00EC2519">
            <w:pPr>
              <w:ind w:firstLine="0"/>
              <w:jc w:val="left"/>
              <w:rPr>
                <w:i/>
                <w:iCs/>
              </w:rPr>
            </w:pPr>
          </w:p>
          <w:p w14:paraId="02B85D2D" w14:textId="32D328E4" w:rsidR="0080245F" w:rsidRPr="0026420A" w:rsidRDefault="0080245F" w:rsidP="00EC2519">
            <w:pPr>
              <w:ind w:firstLine="0"/>
              <w:jc w:val="left"/>
              <w:rPr>
                <w:i/>
                <w:iCs/>
              </w:rPr>
            </w:pPr>
          </w:p>
          <w:p w14:paraId="69D49342" w14:textId="24222903" w:rsidR="0080245F" w:rsidRPr="0026420A" w:rsidRDefault="0080245F" w:rsidP="00EC2519">
            <w:pPr>
              <w:ind w:firstLine="0"/>
              <w:jc w:val="left"/>
              <w:rPr>
                <w:i/>
                <w:iCs/>
              </w:rPr>
            </w:pPr>
          </w:p>
          <w:p w14:paraId="4D8C29FC" w14:textId="6D4320B7" w:rsidR="0080245F" w:rsidRPr="0026420A" w:rsidRDefault="0080245F" w:rsidP="00EC2519">
            <w:pPr>
              <w:ind w:firstLine="0"/>
              <w:jc w:val="left"/>
              <w:rPr>
                <w:i/>
                <w:iCs/>
              </w:rPr>
            </w:pPr>
          </w:p>
          <w:p w14:paraId="3C16A97C" w14:textId="74419D50" w:rsidR="0080245F" w:rsidRPr="0026420A" w:rsidRDefault="0080245F" w:rsidP="00EC2519">
            <w:pPr>
              <w:ind w:firstLine="0"/>
              <w:jc w:val="left"/>
              <w:rPr>
                <w:i/>
                <w:iCs/>
              </w:rPr>
            </w:pPr>
          </w:p>
          <w:p w14:paraId="143CFCC0" w14:textId="0AC47126" w:rsidR="0080245F" w:rsidRPr="0026420A" w:rsidRDefault="0080245F" w:rsidP="00EC2519">
            <w:pPr>
              <w:ind w:firstLine="0"/>
              <w:jc w:val="left"/>
              <w:rPr>
                <w:i/>
                <w:iCs/>
              </w:rPr>
            </w:pPr>
          </w:p>
          <w:p w14:paraId="2D357701" w14:textId="27D108E8" w:rsidR="0080245F" w:rsidRPr="0026420A" w:rsidRDefault="0080245F" w:rsidP="00EC2519">
            <w:pPr>
              <w:ind w:firstLine="0"/>
              <w:jc w:val="left"/>
              <w:rPr>
                <w:i/>
                <w:iCs/>
              </w:rPr>
            </w:pPr>
          </w:p>
          <w:p w14:paraId="2FB88DA6" w14:textId="30A25AAA" w:rsidR="009A1A36" w:rsidRPr="0026420A" w:rsidRDefault="009A1A36" w:rsidP="00250343">
            <w:pPr>
              <w:ind w:firstLine="0"/>
              <w:jc w:val="left"/>
              <w:rPr>
                <w:i/>
                <w:iCs/>
              </w:rPr>
            </w:pPr>
          </w:p>
        </w:tc>
        <w:tc>
          <w:tcPr>
            <w:tcW w:w="579" w:type="dxa"/>
            <w:tcMar>
              <w:top w:w="0" w:type="dxa"/>
              <w:left w:w="108" w:type="dxa"/>
              <w:bottom w:w="0" w:type="dxa"/>
              <w:right w:w="108" w:type="dxa"/>
            </w:tcMar>
          </w:tcPr>
          <w:p w14:paraId="561EF05F" w14:textId="77777777" w:rsidR="009A1A36" w:rsidRPr="0026420A" w:rsidRDefault="009A1A36" w:rsidP="00EC2519">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7BF848E5" w14:textId="7CC14712" w:rsidR="009A1A36" w:rsidRPr="0026420A" w:rsidRDefault="009A1A36" w:rsidP="00EC2519">
            <w:pPr>
              <w:tabs>
                <w:tab w:val="left" w:pos="1635"/>
              </w:tabs>
              <w:ind w:firstLine="0"/>
              <w:rPr>
                <w:highlight w:val="yellow"/>
              </w:rPr>
            </w:pPr>
            <w:r w:rsidRPr="0026420A">
              <w:rPr>
                <w:b/>
                <w:bCs/>
              </w:rPr>
              <w:t xml:space="preserve">3. </w:t>
            </w:r>
            <w:r w:rsidRPr="0026420A">
              <w:t xml:space="preserve">La </w:t>
            </w:r>
            <w:r w:rsidRPr="0026420A">
              <w:rPr>
                <w:b/>
                <w:bCs/>
              </w:rPr>
              <w:t xml:space="preserve">art. 17 alin. (5) </w:t>
            </w:r>
            <w:r w:rsidRPr="0026420A">
              <w:t>textul „</w:t>
            </w:r>
            <w:r w:rsidRPr="0026420A">
              <w:rPr>
                <w:i/>
                <w:iCs/>
              </w:rPr>
              <w:t>pot emite</w:t>
            </w:r>
            <w:r w:rsidRPr="0026420A">
              <w:t>” se va substitui cu cuvântul „</w:t>
            </w:r>
            <w:r w:rsidRPr="0026420A">
              <w:rPr>
                <w:i/>
                <w:iCs/>
              </w:rPr>
              <w:t>emit</w:t>
            </w:r>
            <w:r w:rsidRPr="0026420A">
              <w:t xml:space="preserve">” pentru a corespunde textului actului UE. </w:t>
            </w:r>
          </w:p>
        </w:tc>
        <w:tc>
          <w:tcPr>
            <w:tcW w:w="5281" w:type="dxa"/>
            <w:tcMar>
              <w:top w:w="0" w:type="dxa"/>
              <w:left w:w="108" w:type="dxa"/>
              <w:bottom w:w="0" w:type="dxa"/>
              <w:right w:w="108" w:type="dxa"/>
            </w:tcMar>
          </w:tcPr>
          <w:p w14:paraId="5FE27176" w14:textId="77777777" w:rsidR="009A1A36" w:rsidRPr="0026420A" w:rsidRDefault="009A1A36" w:rsidP="00EC2519">
            <w:pPr>
              <w:ind w:firstLine="0"/>
              <w:rPr>
                <w:b/>
                <w:bCs/>
              </w:rPr>
            </w:pPr>
            <w:r w:rsidRPr="0026420A">
              <w:rPr>
                <w:b/>
                <w:bCs/>
              </w:rPr>
              <w:t>Se acceptă parțial.</w:t>
            </w:r>
          </w:p>
          <w:p w14:paraId="0D2793D6" w14:textId="77777777" w:rsidR="009A1A36" w:rsidRPr="0026420A" w:rsidRDefault="009A1A36" w:rsidP="00EC2519">
            <w:pPr>
              <w:ind w:firstLine="0"/>
            </w:pPr>
            <w:r w:rsidRPr="0026420A">
              <w:t>Proiectul de Lege este parte a cadrului juridic național al Republicii Moldova și provine de la un stat terț, iar aceasta nu poate institui obligații juridice directe în sarcina BCE sau a unei bănci centrale a altui stat.  Pentru BNM se ajustează formularea în sensul caracterului obligatoriu al emiterii avizului („emite”), avizul acesteia având efect obligatoriu. Pentru BCE și băncile centrale ale altor state se menține formularea „pot emite”, întrucât proiectul, ca act al unui stat terț, nu poate institui în sarcina acestora o obligație; totodată, avizul lor are caracter consultativ, fiind luat în considerare de Comisia Națională fără a o obliga. Această soluție este compatibilă cu statutul de stat terț și cu etapa de preaderare.</w:t>
            </w:r>
          </w:p>
          <w:p w14:paraId="425F35A9" w14:textId="77777777" w:rsidR="009A1A36" w:rsidRPr="0026420A" w:rsidRDefault="009A1A36" w:rsidP="00EC2519">
            <w:pPr>
              <w:ind w:firstLine="0"/>
              <w:rPr>
                <w:i/>
                <w:iCs/>
              </w:rPr>
            </w:pPr>
            <w:r w:rsidRPr="0026420A">
              <w:t>Textul prevederii la art. 17 alin. (5) proiectului de Lege se expune în următoarea redacție:</w:t>
            </w:r>
            <w:r w:rsidRPr="0026420A">
              <w:rPr>
                <w:i/>
                <w:iCs/>
              </w:rPr>
              <w:t xml:space="preserve"> </w:t>
            </w:r>
          </w:p>
          <w:p w14:paraId="7F1177F7" w14:textId="599A61B8" w:rsidR="009A1A36" w:rsidRPr="0026420A" w:rsidRDefault="009A1A36" w:rsidP="00EC2519">
            <w:pPr>
              <w:ind w:firstLine="0"/>
              <w:rPr>
                <w:b/>
                <w:bCs/>
                <w:highlight w:val="yellow"/>
              </w:rPr>
            </w:pPr>
            <w:r w:rsidRPr="0026420A">
              <w:rPr>
                <w:i/>
                <w:iCs/>
              </w:rPr>
              <w:t xml:space="preserve">„(5) Comisia Națională comunică fără întârziere Băncii Naționale informațiile complete primite în temeiul alin. (1) și, în cazul în care </w:t>
            </w:r>
            <w:proofErr w:type="spellStart"/>
            <w:r w:rsidRPr="0026420A">
              <w:rPr>
                <w:i/>
                <w:iCs/>
              </w:rPr>
              <w:t>tokenul</w:t>
            </w:r>
            <w:proofErr w:type="spellEnd"/>
            <w:r w:rsidRPr="0026420A">
              <w:rPr>
                <w:i/>
                <w:iCs/>
              </w:rPr>
              <w:t xml:space="preserve"> raportat la active se raportează la moneda euro sau la o monedă oficială a unui alt stat, poate transmite, în același timp informațiile menționate pentru consultare Băncii Centrale Europene (BCE) sau, după caz, băncii centrale a statului respectiv. Banca Națională emite, în termen de 20 de zile lucrătoare de la primirea informațiilor menționate, un aviz cu privire la informațiile respective și îl transmite Comisiei Naționale. BCE sau banca centrală a altui stat emitent al monedei oficiale la care se raportează </w:t>
            </w:r>
            <w:proofErr w:type="spellStart"/>
            <w:r w:rsidRPr="0026420A">
              <w:rPr>
                <w:i/>
                <w:iCs/>
              </w:rPr>
              <w:t>tokenul</w:t>
            </w:r>
            <w:proofErr w:type="spellEnd"/>
            <w:r w:rsidRPr="0026420A">
              <w:rPr>
                <w:i/>
                <w:iCs/>
              </w:rPr>
              <w:t xml:space="preserve"> raportat la active, poate emite, în același termen, un aviz cu privire la informațiile respective și îl poate transmite Comisiei Naționale. Comisia Națională solicită instituției de credit să nu facă o ofertă publică și să nu solicite admiterea la tranzacționare a </w:t>
            </w:r>
            <w:proofErr w:type="spellStart"/>
            <w:r w:rsidRPr="0026420A">
              <w:rPr>
                <w:i/>
                <w:iCs/>
              </w:rPr>
              <w:t>tokenului</w:t>
            </w:r>
            <w:proofErr w:type="spellEnd"/>
            <w:r w:rsidRPr="0026420A">
              <w:rPr>
                <w:i/>
                <w:iCs/>
              </w:rPr>
              <w:t xml:space="preserve"> raportat la active în cazurile în care Banca Națională sau, după caz, BCE sau banca centrală a altui stat, astfel cum se menționează în prezentul alineat, emite un aviz negativ din motive legate de un risc la adresa bunei funcționări a sistemelor de plăți, de transmisie a politicii monetare sau de suveranitate monetară.”</w:t>
            </w:r>
          </w:p>
        </w:tc>
      </w:tr>
      <w:tr w:rsidR="009A1A36" w:rsidRPr="0026420A" w14:paraId="261AA667" w14:textId="77777777" w:rsidTr="001F4857">
        <w:trPr>
          <w:trHeight w:val="300"/>
        </w:trPr>
        <w:tc>
          <w:tcPr>
            <w:tcW w:w="2206" w:type="dxa"/>
            <w:vMerge/>
            <w:tcMar>
              <w:top w:w="0" w:type="dxa"/>
              <w:left w:w="108" w:type="dxa"/>
              <w:bottom w:w="0" w:type="dxa"/>
              <w:right w:w="108" w:type="dxa"/>
            </w:tcMar>
          </w:tcPr>
          <w:p w14:paraId="0993EFCB" w14:textId="77777777" w:rsidR="009A1A36" w:rsidRPr="0026420A" w:rsidRDefault="009A1A36" w:rsidP="00EC2519">
            <w:pPr>
              <w:ind w:firstLine="0"/>
              <w:jc w:val="left"/>
              <w:rPr>
                <w:b/>
                <w:bCs/>
              </w:rPr>
            </w:pPr>
          </w:p>
        </w:tc>
        <w:tc>
          <w:tcPr>
            <w:tcW w:w="579" w:type="dxa"/>
            <w:tcMar>
              <w:top w:w="0" w:type="dxa"/>
              <w:left w:w="108" w:type="dxa"/>
              <w:bottom w:w="0" w:type="dxa"/>
              <w:right w:w="108" w:type="dxa"/>
            </w:tcMar>
          </w:tcPr>
          <w:p w14:paraId="0B62EF27" w14:textId="77777777" w:rsidR="009A1A36" w:rsidRPr="0026420A" w:rsidRDefault="009A1A36" w:rsidP="00EC2519">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2E4C523E" w14:textId="77777777" w:rsidR="009A1A36" w:rsidRPr="0026420A" w:rsidRDefault="009A1A36" w:rsidP="00EC2519">
            <w:pPr>
              <w:tabs>
                <w:tab w:val="left" w:pos="1635"/>
              </w:tabs>
              <w:ind w:firstLine="0"/>
            </w:pPr>
            <w:r w:rsidRPr="0026420A">
              <w:rPr>
                <w:b/>
                <w:bCs/>
              </w:rPr>
              <w:t xml:space="preserve">4. Art. 20 </w:t>
            </w:r>
            <w:r w:rsidRPr="0026420A">
              <w:t xml:space="preserve">din proiect prevede în esență, procedura de verificare cererii de autorizare depuse de emitentul solicitant. În subsidiar, art. 20 alin. (1) și alin. (2) din proiect împarte analiza cererii de autorizare în două etape distincte, respectiv verificarea completitudinii cererii în termen </w:t>
            </w:r>
            <w:r w:rsidRPr="0026420A">
              <w:lastRenderedPageBreak/>
              <w:t xml:space="preserve">de 25 de zile lucrătoare și evaluarea de fond a acesteia în termen de 60 de zile lucrătoare de la primirea unei cereri complete. </w:t>
            </w:r>
          </w:p>
          <w:p w14:paraId="6D7D6BAE" w14:textId="40FBF0E9" w:rsidR="009A1A36" w:rsidRPr="0026420A" w:rsidRDefault="009A1A36" w:rsidP="00EC2519">
            <w:pPr>
              <w:tabs>
                <w:tab w:val="left" w:pos="1635"/>
              </w:tabs>
              <w:ind w:firstLine="0"/>
            </w:pPr>
            <w:r w:rsidRPr="0026420A">
              <w:t xml:space="preserve">În ceea ce privește </w:t>
            </w:r>
            <w:r w:rsidRPr="0026420A">
              <w:rPr>
                <w:b/>
                <w:bCs/>
              </w:rPr>
              <w:t>alin. (1)</w:t>
            </w:r>
            <w:r w:rsidRPr="0026420A">
              <w:t xml:space="preserve">, utilizarea sintagmei </w:t>
            </w:r>
            <w:r w:rsidRPr="0026420A">
              <w:rPr>
                <w:i/>
                <w:iCs/>
              </w:rPr>
              <w:t xml:space="preserve">„evaluează” </w:t>
            </w:r>
            <w:r w:rsidRPr="0026420A">
              <w:t xml:space="preserve">poate genera confuzie cu privire la natura juridică a operațiunii efectuate de autoritatea respectivă, întrucât aceasta se limitează, de facto, la verificarea caracterului complet al cererii, fără a implica o analiză de fond. În consecință, se recomandă înlocuirea sintagmei </w:t>
            </w:r>
            <w:r w:rsidRPr="0026420A">
              <w:rPr>
                <w:i/>
                <w:iCs/>
              </w:rPr>
              <w:t xml:space="preserve">„evaluează” </w:t>
            </w:r>
            <w:r w:rsidRPr="0026420A">
              <w:t xml:space="preserve">din alin. (1) cu cuvintele </w:t>
            </w:r>
            <w:r w:rsidRPr="0026420A">
              <w:rPr>
                <w:i/>
                <w:iCs/>
              </w:rPr>
              <w:t xml:space="preserve">„verifică completitudinea cererii” </w:t>
            </w:r>
            <w:r w:rsidRPr="0026420A">
              <w:t>cu scopul de a distinge cele două etape prevăzute la alin. (1) și alin. (2). Totodată, deși Regulamentul UE operează la norma transpusă în alin. (1) cu termenul „</w:t>
            </w:r>
            <w:r w:rsidRPr="0026420A">
              <w:rPr>
                <w:i/>
                <w:iCs/>
              </w:rPr>
              <w:t>imediat</w:t>
            </w:r>
            <w:r w:rsidRPr="0026420A">
              <w:t xml:space="preserve">”, în proiect se utilizează textul </w:t>
            </w:r>
            <w:r w:rsidRPr="0026420A">
              <w:rPr>
                <w:i/>
                <w:iCs/>
              </w:rPr>
              <w:t xml:space="preserve">„imediat după ce a luat cunoștință, sau cel târziu până la sfârșitul următoarei zile lucrătoare”, </w:t>
            </w:r>
            <w:r w:rsidRPr="0026420A">
              <w:t xml:space="preserve">care îngreunează norma și </w:t>
            </w:r>
            <w:proofErr w:type="spellStart"/>
            <w:r w:rsidRPr="0026420A">
              <w:t>crează</w:t>
            </w:r>
            <w:proofErr w:type="spellEnd"/>
            <w:r w:rsidRPr="0026420A">
              <w:t xml:space="preserve"> incertitudine în aplicare, fără a aduce valoare adăugată</w:t>
            </w:r>
            <w:r w:rsidRPr="0026420A">
              <w:rPr>
                <w:i/>
                <w:iCs/>
              </w:rPr>
              <w:t xml:space="preserve">. </w:t>
            </w:r>
            <w:r w:rsidRPr="0026420A">
              <w:t xml:space="preserve">Or, abaterea de la norma europeană nu este justificată în condițiile în care scopul normei este de a impune autorității o conduită </w:t>
            </w:r>
            <w:proofErr w:type="spellStart"/>
            <w:r w:rsidRPr="0026420A">
              <w:t>proactivă</w:t>
            </w:r>
            <w:proofErr w:type="spellEnd"/>
            <w:r w:rsidRPr="0026420A">
              <w:t xml:space="preserve"> de notificare imediată din momentul identificării carențelor de plenitudine (ceea ce se asigură prin menținerea termenului „imediat”), însă nu este orientată spre stabilirea unei limite temporale în care autoritatea este obligată (în interiorul termenului de 25 zile lucrătoare) să identifice caracterul incomplet. </w:t>
            </w:r>
          </w:p>
        </w:tc>
        <w:tc>
          <w:tcPr>
            <w:tcW w:w="5281" w:type="dxa"/>
            <w:tcMar>
              <w:top w:w="0" w:type="dxa"/>
              <w:left w:w="108" w:type="dxa"/>
              <w:bottom w:w="0" w:type="dxa"/>
              <w:right w:w="108" w:type="dxa"/>
            </w:tcMar>
          </w:tcPr>
          <w:p w14:paraId="285A6D2D" w14:textId="77777777" w:rsidR="009A1A36" w:rsidRPr="0026420A" w:rsidRDefault="009A1A36" w:rsidP="00EC2519">
            <w:pPr>
              <w:ind w:firstLine="0"/>
              <w:rPr>
                <w:b/>
                <w:bCs/>
              </w:rPr>
            </w:pPr>
            <w:r w:rsidRPr="0026420A">
              <w:rPr>
                <w:b/>
                <w:bCs/>
              </w:rPr>
              <w:lastRenderedPageBreak/>
              <w:t>Se acceptă parțial.</w:t>
            </w:r>
          </w:p>
          <w:p w14:paraId="301B3250" w14:textId="10C874CF" w:rsidR="009A1A36" w:rsidRPr="0026420A" w:rsidRDefault="009A1A36" w:rsidP="00EC2519">
            <w:pPr>
              <w:ind w:firstLine="0"/>
            </w:pPr>
            <w:r w:rsidRPr="0026420A">
              <w:t xml:space="preserve">Se admite propunerea de ajustare în partea ce vizează delimitarea celor două etape procedurale prevăzute la art. 20 alin. (1) și alin. (2) din perspectiva clarității și previzibilității. Astfel, alin. (1) reglementează verificarea formală a cererii, </w:t>
            </w:r>
            <w:r w:rsidRPr="0026420A">
              <w:lastRenderedPageBreak/>
              <w:t xml:space="preserve">inclusiv al cărții albe pentru </w:t>
            </w:r>
            <w:proofErr w:type="spellStart"/>
            <w:r w:rsidRPr="0026420A">
              <w:t>criptoactive</w:t>
            </w:r>
            <w:proofErr w:type="spellEnd"/>
            <w:r w:rsidRPr="0026420A">
              <w:t xml:space="preserve"> și al informațiilor și documentelor care trebuie să însoțească cererea sub aspectul caracterului complet al informațiilor și documentelor prezentate, iar alin. (2) reglementează evaluarea de fond a îndeplinirii cerințelor de autorizare. În acest sens, sintagma „</w:t>
            </w:r>
            <w:r w:rsidRPr="0026420A">
              <w:rPr>
                <w:i/>
                <w:iCs/>
              </w:rPr>
              <w:t>o evaluează</w:t>
            </w:r>
            <w:r w:rsidRPr="0026420A">
              <w:t xml:space="preserve">” de la alin. (1) </w:t>
            </w:r>
            <w:r w:rsidR="00D65B36">
              <w:t>a fost</w:t>
            </w:r>
            <w:r w:rsidRPr="0026420A">
              <w:t xml:space="preserve"> înlocuită cu formula „</w:t>
            </w:r>
            <w:r w:rsidRPr="0026420A">
              <w:rPr>
                <w:b/>
                <w:bCs/>
                <w:i/>
                <w:iCs/>
              </w:rPr>
              <w:t>verifică</w:t>
            </w:r>
            <w:r w:rsidRPr="0026420A">
              <w:rPr>
                <w:i/>
                <w:iCs/>
              </w:rPr>
              <w:t xml:space="preserve"> (...), dacă cererea respectivă, inclusiv cartea albă pentru </w:t>
            </w:r>
            <w:proofErr w:type="spellStart"/>
            <w:r w:rsidRPr="0026420A">
              <w:rPr>
                <w:i/>
                <w:iCs/>
              </w:rPr>
              <w:t>criptoactive</w:t>
            </w:r>
            <w:proofErr w:type="spellEnd"/>
            <w:r w:rsidRPr="0026420A">
              <w:rPr>
                <w:i/>
                <w:iCs/>
              </w:rPr>
              <w:t xml:space="preserve"> menționată la art. 19 </w:t>
            </w:r>
            <w:r w:rsidRPr="0026420A">
              <w:rPr>
                <w:b/>
                <w:bCs/>
                <w:i/>
                <w:iCs/>
              </w:rPr>
              <w:t>este completă</w:t>
            </w:r>
            <w:r w:rsidRPr="0026420A">
              <w:t>”.</w:t>
            </w:r>
          </w:p>
          <w:p w14:paraId="1E65EE2C" w14:textId="6692D02B" w:rsidR="009A1A36" w:rsidRPr="0026420A" w:rsidRDefault="009A1A36" w:rsidP="00EC2519">
            <w:pPr>
              <w:ind w:firstLine="0"/>
            </w:pPr>
            <w:r w:rsidRPr="0026420A">
              <w:t>În ceea ce privește sintagma „</w:t>
            </w:r>
            <w:r w:rsidRPr="0026420A">
              <w:rPr>
                <w:i/>
                <w:iCs/>
              </w:rPr>
              <w:t>imediat după ce a luat cunoștință, sau cel târziu până la sfârșitul următoarei zile lucrătoare</w:t>
            </w:r>
            <w:r w:rsidRPr="0026420A">
              <w:t>”,  este de menționat că termenul „</w:t>
            </w:r>
            <w:r w:rsidRPr="0026420A">
              <w:rPr>
                <w:i/>
                <w:iCs/>
              </w:rPr>
              <w:t>imediat</w:t>
            </w:r>
            <w:r w:rsidRPr="0026420A">
              <w:t xml:space="preserve">” din actul UE constituie un standard de celeritate nedeterminat și ambiguu, iar precizarea are ca scop stabilirea unui termen-limită obiectiv, determinabil și care sporește securitatea juridică și previzibilitatea conduitei autorității, care corespunde practicii naționale de tehnică legislativă. Pentru claritate, textul </w:t>
            </w:r>
            <w:r w:rsidR="00D65B36">
              <w:t>a fost</w:t>
            </w:r>
            <w:r w:rsidRPr="0026420A">
              <w:t xml:space="preserve"> reformulat după cum urmează:</w:t>
            </w:r>
          </w:p>
          <w:p w14:paraId="7F98DB1B" w14:textId="476ECFEC" w:rsidR="009A1A36" w:rsidRPr="0026420A" w:rsidRDefault="009A1A36" w:rsidP="00EC2519">
            <w:pPr>
              <w:ind w:firstLine="0"/>
              <w:rPr>
                <w:i/>
                <w:iCs/>
              </w:rPr>
            </w:pPr>
            <w:r w:rsidRPr="0026420A">
              <w:t xml:space="preserve">„(...) </w:t>
            </w:r>
            <w:r w:rsidRPr="0026420A">
              <w:rPr>
                <w:i/>
                <w:iCs/>
              </w:rPr>
              <w:t xml:space="preserve">Comisia Națională notifică emitentul solicitant imediat după ce constată, sau cel târziu până la sfârșitul următoarei zile lucrătoare, că cererea, inclusiv cartea albă pentru </w:t>
            </w:r>
            <w:proofErr w:type="spellStart"/>
            <w:r w:rsidRPr="0026420A">
              <w:rPr>
                <w:i/>
                <w:iCs/>
              </w:rPr>
              <w:t>criptoactive</w:t>
            </w:r>
            <w:proofErr w:type="spellEnd"/>
            <w:r w:rsidRPr="0026420A">
              <w:rPr>
                <w:i/>
                <w:iCs/>
              </w:rPr>
              <w:t>, nu cuprinde toate informațiile și/sau documentele necesar</w:t>
            </w:r>
            <w:r w:rsidRPr="0026420A">
              <w:t>.”</w:t>
            </w:r>
          </w:p>
        </w:tc>
      </w:tr>
      <w:tr w:rsidR="00250343" w:rsidRPr="0026420A" w14:paraId="34D228C9" w14:textId="77777777" w:rsidTr="001F4857">
        <w:trPr>
          <w:trHeight w:val="5579"/>
        </w:trPr>
        <w:tc>
          <w:tcPr>
            <w:tcW w:w="2206" w:type="dxa"/>
            <w:vMerge/>
            <w:tcMar>
              <w:top w:w="0" w:type="dxa"/>
              <w:left w:w="108" w:type="dxa"/>
              <w:bottom w:w="0" w:type="dxa"/>
              <w:right w:w="108" w:type="dxa"/>
            </w:tcMar>
          </w:tcPr>
          <w:p w14:paraId="2D1BE9DD" w14:textId="77777777" w:rsidR="00250343" w:rsidRPr="0026420A" w:rsidRDefault="00250343" w:rsidP="00EC2519">
            <w:pPr>
              <w:ind w:firstLine="0"/>
              <w:jc w:val="left"/>
              <w:rPr>
                <w:b/>
                <w:bCs/>
              </w:rPr>
            </w:pPr>
          </w:p>
        </w:tc>
        <w:tc>
          <w:tcPr>
            <w:tcW w:w="579" w:type="dxa"/>
            <w:tcBorders>
              <w:bottom w:val="single" w:sz="4" w:space="0" w:color="auto"/>
            </w:tcBorders>
            <w:tcMar>
              <w:top w:w="0" w:type="dxa"/>
              <w:left w:w="108" w:type="dxa"/>
              <w:bottom w:w="0" w:type="dxa"/>
              <w:right w:w="108" w:type="dxa"/>
            </w:tcMar>
          </w:tcPr>
          <w:p w14:paraId="22E7A166" w14:textId="77777777" w:rsidR="00250343" w:rsidRPr="0026420A" w:rsidRDefault="00250343" w:rsidP="00EC2519">
            <w:pPr>
              <w:pStyle w:val="Listparagraf"/>
              <w:numPr>
                <w:ilvl w:val="0"/>
                <w:numId w:val="1"/>
              </w:numPr>
              <w:ind w:left="0" w:right="5" w:firstLine="0"/>
              <w:contextualSpacing w:val="0"/>
            </w:pPr>
          </w:p>
        </w:tc>
        <w:tc>
          <w:tcPr>
            <w:tcW w:w="5821" w:type="dxa"/>
            <w:tcBorders>
              <w:bottom w:val="single" w:sz="4" w:space="0" w:color="auto"/>
            </w:tcBorders>
            <w:tcMar>
              <w:top w:w="0" w:type="dxa"/>
              <w:left w:w="108" w:type="dxa"/>
              <w:bottom w:w="0" w:type="dxa"/>
              <w:right w:w="108" w:type="dxa"/>
            </w:tcMar>
          </w:tcPr>
          <w:p w14:paraId="78BE656B" w14:textId="77777777" w:rsidR="00250343" w:rsidRPr="0026420A" w:rsidRDefault="00250343" w:rsidP="00EC2519">
            <w:pPr>
              <w:tabs>
                <w:tab w:val="left" w:pos="1635"/>
              </w:tabs>
              <w:ind w:firstLine="0"/>
            </w:pPr>
            <w:r w:rsidRPr="0026420A">
              <w:rPr>
                <w:b/>
                <w:bCs/>
              </w:rPr>
              <w:t xml:space="preserve">5. </w:t>
            </w:r>
            <w:r w:rsidRPr="0026420A">
              <w:t xml:space="preserve">La </w:t>
            </w:r>
            <w:r w:rsidRPr="0026420A">
              <w:rPr>
                <w:b/>
                <w:bCs/>
              </w:rPr>
              <w:t xml:space="preserve">art. 20 alin. (2) </w:t>
            </w:r>
            <w:r w:rsidRPr="0026420A">
              <w:t>din proiect textul „</w:t>
            </w:r>
            <w:r w:rsidRPr="0026420A">
              <w:rPr>
                <w:i/>
                <w:iCs/>
              </w:rPr>
              <w:t>adoptă o decizie motivată</w:t>
            </w:r>
            <w:r w:rsidRPr="0026420A">
              <w:t>” se va substitui cu textul „</w:t>
            </w:r>
            <w:r w:rsidRPr="0026420A">
              <w:rPr>
                <w:i/>
                <w:iCs/>
              </w:rPr>
              <w:t>adoptă un proiect de decizie</w:t>
            </w:r>
            <w:r w:rsidRPr="0026420A">
              <w:t xml:space="preserve">”, conform Regulamentului UE. </w:t>
            </w:r>
          </w:p>
          <w:p w14:paraId="3B45AA0A" w14:textId="22A22D4D" w:rsidR="00250343" w:rsidRPr="0026420A" w:rsidRDefault="00250343" w:rsidP="00EC2519">
            <w:pPr>
              <w:tabs>
                <w:tab w:val="left" w:pos="1635"/>
              </w:tabs>
              <w:ind w:firstLine="0"/>
            </w:pPr>
            <w:r w:rsidRPr="0026420A">
              <w:t>Iar textul „</w:t>
            </w:r>
            <w:r w:rsidRPr="0026420A">
              <w:rPr>
                <w:i/>
                <w:iCs/>
              </w:rPr>
              <w:t xml:space="preserve">În cursul procesului de evaluare, Comisia Națională se consultă cu Banca Națională, cu Serviciul Prevenirea </w:t>
            </w:r>
            <w:proofErr w:type="spellStart"/>
            <w:r w:rsidRPr="0026420A">
              <w:rPr>
                <w:i/>
                <w:iCs/>
              </w:rPr>
              <w:t>şi</w:t>
            </w:r>
            <w:proofErr w:type="spellEnd"/>
            <w:r w:rsidRPr="0026420A">
              <w:rPr>
                <w:i/>
                <w:iCs/>
              </w:rPr>
              <w:t xml:space="preserve"> Combaterea Spălării Banilor sau cu alte autorități publice din Republica Moldova, după caz cu autoritățile competente sau cu alte autorități ori organisme din alte state în temeiul acordurilor de cooperare încheiate.</w:t>
            </w:r>
            <w:r w:rsidRPr="0026420A">
              <w:t>”, se substituie cu textul „</w:t>
            </w:r>
            <w:r w:rsidRPr="0026420A">
              <w:rPr>
                <w:i/>
                <w:iCs/>
              </w:rPr>
              <w:t>În cursul procesului de evaluare, în cazul în care atestă necesitatea, Comisia Națională cooperează cu alte autorități publice din Republica Moldova, după caz cu autoritățile competente sau cu alte autorități ori organisme din alte state în temeiul acordurilor de cooperare încheiate</w:t>
            </w:r>
            <w:r w:rsidRPr="0026420A">
              <w:t>”. Modificarea respectivă este necesară în sensul asigurării unei clarități în privința proceselor de coordonare și delimitarea clară a scopului normei date de cele subsecvente referitoare la consultarea Serviciului Prevenirea și Combaterea Spălării Banilor.</w:t>
            </w:r>
          </w:p>
          <w:p w14:paraId="2B277EED" w14:textId="7EEE06B6" w:rsidR="00250343" w:rsidRPr="0026420A" w:rsidRDefault="00250343" w:rsidP="00EC2519">
            <w:pPr>
              <w:tabs>
                <w:tab w:val="left" w:pos="1635"/>
              </w:tabs>
              <w:ind w:firstLine="0"/>
              <w:jc w:val="left"/>
            </w:pPr>
          </w:p>
        </w:tc>
        <w:tc>
          <w:tcPr>
            <w:tcW w:w="5281" w:type="dxa"/>
            <w:vMerge w:val="restart"/>
            <w:tcMar>
              <w:top w:w="0" w:type="dxa"/>
              <w:left w:w="108" w:type="dxa"/>
              <w:bottom w:w="0" w:type="dxa"/>
              <w:right w:w="108" w:type="dxa"/>
            </w:tcMar>
          </w:tcPr>
          <w:p w14:paraId="17EC7898" w14:textId="77777777" w:rsidR="00250343" w:rsidRPr="0026420A" w:rsidRDefault="00250343" w:rsidP="00EC2519">
            <w:pPr>
              <w:ind w:firstLine="0"/>
              <w:rPr>
                <w:b/>
                <w:bCs/>
              </w:rPr>
            </w:pPr>
            <w:r w:rsidRPr="0026420A">
              <w:rPr>
                <w:b/>
                <w:bCs/>
              </w:rPr>
              <w:t>Se acceptă parțial.</w:t>
            </w:r>
          </w:p>
          <w:p w14:paraId="65DB25F3" w14:textId="77777777" w:rsidR="00250343" w:rsidRPr="0026420A" w:rsidRDefault="00250343" w:rsidP="00EC2519">
            <w:pPr>
              <w:ind w:firstLine="0"/>
            </w:pPr>
            <w:r w:rsidRPr="0026420A">
              <w:t>Textul prevederilor se reformulează, cu delimitarea mecanismelor speciale de consultare și avizare prevăzute la art. 20 alin. (4)–(7), după cum urmează:</w:t>
            </w:r>
          </w:p>
          <w:p w14:paraId="234BC71A" w14:textId="77777777" w:rsidR="00250343" w:rsidRPr="0026420A" w:rsidRDefault="00250343" w:rsidP="00EC2519">
            <w:pPr>
              <w:ind w:firstLine="0"/>
              <w:rPr>
                <w:i/>
                <w:iCs/>
              </w:rPr>
            </w:pPr>
            <w:r w:rsidRPr="0026420A">
              <w:rPr>
                <w:i/>
                <w:iCs/>
              </w:rPr>
              <w:t>”</w:t>
            </w:r>
            <w:r w:rsidRPr="0026420A">
              <w:t xml:space="preserve"> </w:t>
            </w:r>
            <w:r w:rsidRPr="0026420A">
              <w:rPr>
                <w:i/>
                <w:iCs/>
              </w:rPr>
              <w:t xml:space="preserve">(2) În termen de 60 de zile lucrătoare de la primirea unei cereri complete, Comisia Națională evaluează dacă emitentul solicitant respectă cerințele stabilite în prezentul capitol și adoptă un proiect de decizie motivat prin care acordă sau refuză să acorde autorizația. În cursul celor 60 de zile lucrătoare, Comisia Națională poate solicita emitentului solicitant orice informații și/sau documente cu privire la cerere privind autorizarea, inclusiv cu privire la cartea albă pentru </w:t>
            </w:r>
            <w:proofErr w:type="spellStart"/>
            <w:r w:rsidRPr="0026420A">
              <w:rPr>
                <w:i/>
                <w:iCs/>
              </w:rPr>
              <w:t>criptoactive</w:t>
            </w:r>
            <w:proofErr w:type="spellEnd"/>
            <w:r w:rsidRPr="0026420A">
              <w:rPr>
                <w:i/>
                <w:iCs/>
              </w:rPr>
              <w:t xml:space="preserve"> menționată la art. 19.</w:t>
            </w:r>
          </w:p>
          <w:p w14:paraId="2D21F289" w14:textId="77777777" w:rsidR="00250343" w:rsidRPr="0026420A" w:rsidRDefault="00250343" w:rsidP="00EC2519">
            <w:pPr>
              <w:ind w:firstLine="0"/>
              <w:rPr>
                <w:i/>
                <w:iCs/>
              </w:rPr>
            </w:pPr>
            <w:r w:rsidRPr="0026420A">
              <w:rPr>
                <w:i/>
                <w:iCs/>
              </w:rPr>
              <w:t>(3)Termenele de verificare și evaluare prevăzute la alin. (1) și (2) se suspendă de drept pe perioada cuprinsă între data solicitării din partea Comisiei Naționale de furnizare a informațiilor și/sau a documentelor care lipsesc și data primirii de către aceasta a răspunsului din partea emitentului solicitant. Suspendarea nu depășește 20 de zile lucrătoare. Orice solicitări suplimentare formulate de Comisia Națională în vederea completării sau clarificării informațiilor sunt la discreția acesteia, dar nu duc la suspendarea termenelor de verificare și evaluare prevăzute la alineatele (1) și (2).</w:t>
            </w:r>
          </w:p>
          <w:p w14:paraId="0A622D31" w14:textId="77777777" w:rsidR="00250343" w:rsidRPr="0026420A" w:rsidRDefault="00250343" w:rsidP="00EC2519">
            <w:pPr>
              <w:ind w:firstLine="0"/>
              <w:rPr>
                <w:i/>
                <w:iCs/>
              </w:rPr>
            </w:pPr>
            <w:r w:rsidRPr="0026420A">
              <w:rPr>
                <w:i/>
                <w:iCs/>
              </w:rPr>
              <w:t xml:space="preserve">(4)În cursul procesului de evaluare, fără a aduce atingere alin. (5)–(7), Comisia Națională poate coopera cu Serviciul Prevenirea </w:t>
            </w:r>
            <w:proofErr w:type="spellStart"/>
            <w:r w:rsidRPr="0026420A">
              <w:rPr>
                <w:i/>
                <w:iCs/>
              </w:rPr>
              <w:t>şi</w:t>
            </w:r>
            <w:proofErr w:type="spellEnd"/>
            <w:r w:rsidRPr="0026420A">
              <w:rPr>
                <w:i/>
                <w:iCs/>
              </w:rPr>
              <w:t xml:space="preserve"> Combaterea Spălării Banilor sau cu alte autorități publice din Republica Moldova, după caz cu autoritățile competente sau cu alte autorități ori organisme din alte state în temeiul acordurilor de cooperare încheiate. În scopul dat, la solicitarea Comisiei Naționale, Serviciul Prevenirea și Combaterea Spălării Banilor în termen de 20 de zile lucrătoare de la data primirii solicitării, furnizează informații și opinii specializate privind riscurile de spălare a banilor și finanțare a terorismului aferente emitentului solicitant și persoanelor relevante asociate acestuia. Informațiile și opiniile furnizate de Serviciul Prevenirea și Combaterea Spălării Banilor au caracter consultativ.</w:t>
            </w:r>
          </w:p>
          <w:p w14:paraId="736C65D9" w14:textId="77777777" w:rsidR="00250343" w:rsidRPr="0026420A" w:rsidRDefault="00250343" w:rsidP="00EC2519">
            <w:pPr>
              <w:ind w:firstLine="0"/>
            </w:pPr>
            <w:r w:rsidRPr="0026420A">
              <w:rPr>
                <w:i/>
                <w:iCs/>
              </w:rPr>
              <w:lastRenderedPageBreak/>
              <w:t xml:space="preserve">(5)După scurgerea perioadei de 60 de zile lucrătoare menționate la alin. (2), Comisia Națională transmite proiectul deciziei sale și cererea emitentului solicitant către Banca Națională în virtutea calității de bancă centrală, iar în cazul în care </w:t>
            </w:r>
            <w:proofErr w:type="spellStart"/>
            <w:r w:rsidRPr="0026420A">
              <w:rPr>
                <w:i/>
                <w:iCs/>
              </w:rPr>
              <w:t>tokenul</w:t>
            </w:r>
            <w:proofErr w:type="spellEnd"/>
            <w:r w:rsidRPr="0026420A">
              <w:rPr>
                <w:i/>
                <w:iCs/>
              </w:rPr>
              <w:t xml:space="preserve"> raportat la active se raportează la moneda euro sau la o monedă oficială a unui alt stat, poate transmite, în același timp, proiectul său de decizie și cererea pentru consultare BCE sau, după caz, băncii centrale a statului respectiv.”</w:t>
            </w:r>
          </w:p>
          <w:p w14:paraId="208C26C0" w14:textId="77777777" w:rsidR="00250343" w:rsidRPr="0026420A" w:rsidRDefault="00250343" w:rsidP="00A817CF">
            <w:pPr>
              <w:ind w:firstLine="0"/>
              <w:rPr>
                <w:b/>
                <w:bCs/>
              </w:rPr>
            </w:pPr>
          </w:p>
          <w:p w14:paraId="253D1EC5" w14:textId="3BB76366" w:rsidR="00250343" w:rsidRPr="0026420A" w:rsidRDefault="00250343" w:rsidP="00EC2519">
            <w:pPr>
              <w:ind w:firstLine="0"/>
              <w:rPr>
                <w:i/>
                <w:iCs/>
              </w:rPr>
            </w:pPr>
            <w:r w:rsidRPr="0026420A">
              <w:t>Totodată, nu se acceptă propunerea de instituire a unei prezumții legale potrivit căreia lipsa unui răspuns al Serviciului Prevenirea și Combaterea Spălării Banilor în termenul stabilit echivalează cu lipsa deținerii informațiilor relevante sau cu emiterea tacită a unui aviz nu este oportună. Lipsa unui răspuns în termen nu poate fi calificată, prin efectul legii, ca inexistență a informațiilor relevante și nu poate substitui evaluarea specializată a riscurilor de spălare a banilor și finanțare a terorismului.</w:t>
            </w:r>
          </w:p>
        </w:tc>
      </w:tr>
      <w:tr w:rsidR="00250343" w:rsidRPr="0026420A" w14:paraId="005C7384" w14:textId="77777777" w:rsidTr="001F4857">
        <w:trPr>
          <w:trHeight w:val="753"/>
        </w:trPr>
        <w:tc>
          <w:tcPr>
            <w:tcW w:w="2206" w:type="dxa"/>
            <w:vMerge/>
            <w:tcMar>
              <w:top w:w="0" w:type="dxa"/>
              <w:left w:w="108" w:type="dxa"/>
              <w:bottom w:w="0" w:type="dxa"/>
              <w:right w:w="108" w:type="dxa"/>
            </w:tcMar>
          </w:tcPr>
          <w:p w14:paraId="4A2C984F" w14:textId="77777777" w:rsidR="00250343" w:rsidRPr="0026420A" w:rsidRDefault="00250343" w:rsidP="00EC2519">
            <w:pPr>
              <w:ind w:firstLine="0"/>
              <w:jc w:val="left"/>
              <w:rPr>
                <w:b/>
                <w:bCs/>
              </w:rPr>
            </w:pPr>
          </w:p>
        </w:tc>
        <w:tc>
          <w:tcPr>
            <w:tcW w:w="579" w:type="dxa"/>
            <w:tcBorders>
              <w:top w:val="single" w:sz="4" w:space="0" w:color="auto"/>
              <w:bottom w:val="single" w:sz="4" w:space="0" w:color="auto"/>
            </w:tcBorders>
            <w:tcMar>
              <w:top w:w="0" w:type="dxa"/>
              <w:left w:w="108" w:type="dxa"/>
              <w:bottom w:w="0" w:type="dxa"/>
              <w:right w:w="108" w:type="dxa"/>
            </w:tcMar>
          </w:tcPr>
          <w:p w14:paraId="2BDBF940" w14:textId="77777777" w:rsidR="00250343" w:rsidRPr="0026420A" w:rsidRDefault="00250343" w:rsidP="00EC2519">
            <w:pPr>
              <w:pStyle w:val="Listparagraf"/>
              <w:numPr>
                <w:ilvl w:val="0"/>
                <w:numId w:val="1"/>
              </w:numPr>
              <w:ind w:left="0" w:right="5" w:firstLine="0"/>
              <w:contextualSpacing w:val="0"/>
            </w:pPr>
          </w:p>
        </w:tc>
        <w:tc>
          <w:tcPr>
            <w:tcW w:w="5821" w:type="dxa"/>
            <w:tcBorders>
              <w:top w:val="single" w:sz="4" w:space="0" w:color="auto"/>
              <w:bottom w:val="single" w:sz="4" w:space="0" w:color="auto"/>
            </w:tcBorders>
            <w:tcMar>
              <w:top w:w="0" w:type="dxa"/>
              <w:left w:w="108" w:type="dxa"/>
              <w:bottom w:w="0" w:type="dxa"/>
              <w:right w:w="108" w:type="dxa"/>
            </w:tcMar>
          </w:tcPr>
          <w:p w14:paraId="30F5CAF7" w14:textId="52A8D938" w:rsidR="00250343" w:rsidRPr="0026420A" w:rsidRDefault="00250343" w:rsidP="00250343">
            <w:pPr>
              <w:tabs>
                <w:tab w:val="left" w:pos="1635"/>
              </w:tabs>
              <w:ind w:firstLine="0"/>
            </w:pPr>
            <w:r w:rsidRPr="0026420A">
              <w:rPr>
                <w:b/>
                <w:bCs/>
              </w:rPr>
              <w:t xml:space="preserve">6. </w:t>
            </w:r>
            <w:r w:rsidRPr="0026420A">
              <w:t xml:space="preserve">La </w:t>
            </w:r>
            <w:r w:rsidRPr="0026420A">
              <w:rPr>
                <w:b/>
                <w:bCs/>
              </w:rPr>
              <w:t xml:space="preserve">art. 20 alin. (3) </w:t>
            </w:r>
            <w:r w:rsidRPr="0026420A">
              <w:t>după cuvântul „</w:t>
            </w:r>
            <w:r w:rsidRPr="0026420A">
              <w:rPr>
                <w:i/>
                <w:iCs/>
              </w:rPr>
              <w:t>suspendă</w:t>
            </w:r>
            <w:r w:rsidRPr="0026420A">
              <w:t>” se completează cu textul „</w:t>
            </w:r>
            <w:r w:rsidRPr="0026420A">
              <w:rPr>
                <w:i/>
                <w:iCs/>
              </w:rPr>
              <w:t>de drept</w:t>
            </w:r>
            <w:r w:rsidRPr="0026420A">
              <w:t>”.</w:t>
            </w:r>
          </w:p>
        </w:tc>
        <w:tc>
          <w:tcPr>
            <w:tcW w:w="5281" w:type="dxa"/>
            <w:vMerge/>
            <w:tcMar>
              <w:top w:w="0" w:type="dxa"/>
              <w:left w:w="108" w:type="dxa"/>
              <w:bottom w:w="0" w:type="dxa"/>
              <w:right w:w="108" w:type="dxa"/>
            </w:tcMar>
          </w:tcPr>
          <w:p w14:paraId="607840D7" w14:textId="77777777" w:rsidR="00250343" w:rsidRPr="0026420A" w:rsidRDefault="00250343" w:rsidP="00EC2519">
            <w:pPr>
              <w:ind w:firstLine="0"/>
              <w:rPr>
                <w:b/>
                <w:bCs/>
              </w:rPr>
            </w:pPr>
          </w:p>
        </w:tc>
      </w:tr>
      <w:tr w:rsidR="00250343" w:rsidRPr="0026420A" w14:paraId="04617F40" w14:textId="77777777" w:rsidTr="001F4857">
        <w:trPr>
          <w:trHeight w:val="2595"/>
        </w:trPr>
        <w:tc>
          <w:tcPr>
            <w:tcW w:w="2206" w:type="dxa"/>
            <w:vMerge/>
            <w:tcMar>
              <w:top w:w="0" w:type="dxa"/>
              <w:left w:w="108" w:type="dxa"/>
              <w:bottom w:w="0" w:type="dxa"/>
              <w:right w:w="108" w:type="dxa"/>
            </w:tcMar>
          </w:tcPr>
          <w:p w14:paraId="0ED5998A" w14:textId="77777777" w:rsidR="00250343" w:rsidRPr="0026420A" w:rsidRDefault="00250343" w:rsidP="00EC2519">
            <w:pPr>
              <w:ind w:firstLine="0"/>
              <w:jc w:val="left"/>
              <w:rPr>
                <w:b/>
                <w:bCs/>
              </w:rPr>
            </w:pPr>
          </w:p>
        </w:tc>
        <w:tc>
          <w:tcPr>
            <w:tcW w:w="579" w:type="dxa"/>
            <w:tcBorders>
              <w:top w:val="single" w:sz="4" w:space="0" w:color="auto"/>
              <w:bottom w:val="single" w:sz="4" w:space="0" w:color="auto"/>
            </w:tcBorders>
            <w:tcMar>
              <w:top w:w="0" w:type="dxa"/>
              <w:left w:w="108" w:type="dxa"/>
              <w:bottom w:w="0" w:type="dxa"/>
              <w:right w:w="108" w:type="dxa"/>
            </w:tcMar>
          </w:tcPr>
          <w:p w14:paraId="336FEBBF" w14:textId="77777777" w:rsidR="00250343" w:rsidRPr="0026420A" w:rsidRDefault="00250343" w:rsidP="00EC2519">
            <w:pPr>
              <w:pStyle w:val="Listparagraf"/>
              <w:numPr>
                <w:ilvl w:val="0"/>
                <w:numId w:val="1"/>
              </w:numPr>
              <w:ind w:left="0" w:right="5" w:firstLine="0"/>
              <w:contextualSpacing w:val="0"/>
            </w:pPr>
          </w:p>
        </w:tc>
        <w:tc>
          <w:tcPr>
            <w:tcW w:w="5821" w:type="dxa"/>
            <w:tcBorders>
              <w:top w:val="single" w:sz="4" w:space="0" w:color="auto"/>
              <w:bottom w:val="single" w:sz="4" w:space="0" w:color="auto"/>
            </w:tcBorders>
            <w:tcMar>
              <w:top w:w="0" w:type="dxa"/>
              <w:left w:w="108" w:type="dxa"/>
              <w:bottom w:w="0" w:type="dxa"/>
              <w:right w:w="108" w:type="dxa"/>
            </w:tcMar>
          </w:tcPr>
          <w:p w14:paraId="649D9EC6" w14:textId="54F3F75D" w:rsidR="00250343" w:rsidRPr="0026420A" w:rsidRDefault="00250343" w:rsidP="00250343">
            <w:pPr>
              <w:tabs>
                <w:tab w:val="left" w:pos="1635"/>
              </w:tabs>
              <w:ind w:firstLine="0"/>
            </w:pPr>
            <w:r w:rsidRPr="0026420A">
              <w:t xml:space="preserve">7. </w:t>
            </w:r>
            <w:r w:rsidRPr="0026420A">
              <w:rPr>
                <w:b/>
                <w:bCs/>
              </w:rPr>
              <w:t>Art. 20 alin. (4)</w:t>
            </w:r>
            <w:r w:rsidRPr="0026420A">
              <w:t xml:space="preserve"> se completează la final cu textul: </w:t>
            </w:r>
            <w:r w:rsidRPr="0026420A">
              <w:rPr>
                <w:i/>
                <w:iCs/>
              </w:rPr>
              <w:t>„În cazul în care Serviciul Prevenirea și Combaterea Spălării Banilor nu furnizează un răspuns în termenul prevăzut, se prezumă lipsa deținerii informațiilor relevante</w:t>
            </w:r>
            <w:r w:rsidRPr="0026420A">
              <w:t>.”. Norma respectivă este necesară în vederea aducerii clarității privind efectele coordonării asupra deciziei finale a CNPF.</w:t>
            </w:r>
          </w:p>
          <w:p w14:paraId="67B3C318" w14:textId="0AE2D916" w:rsidR="00250343" w:rsidRPr="0026420A" w:rsidRDefault="00250343" w:rsidP="00250343">
            <w:pPr>
              <w:tabs>
                <w:tab w:val="left" w:pos="1635"/>
              </w:tabs>
              <w:ind w:firstLine="0"/>
            </w:pPr>
          </w:p>
        </w:tc>
        <w:tc>
          <w:tcPr>
            <w:tcW w:w="5281" w:type="dxa"/>
            <w:vMerge/>
            <w:tcMar>
              <w:top w:w="0" w:type="dxa"/>
              <w:left w:w="108" w:type="dxa"/>
              <w:bottom w:w="0" w:type="dxa"/>
              <w:right w:w="108" w:type="dxa"/>
            </w:tcMar>
          </w:tcPr>
          <w:p w14:paraId="76505F36" w14:textId="77777777" w:rsidR="00250343" w:rsidRPr="0026420A" w:rsidRDefault="00250343" w:rsidP="00EC2519">
            <w:pPr>
              <w:ind w:firstLine="0"/>
              <w:rPr>
                <w:b/>
                <w:bCs/>
              </w:rPr>
            </w:pPr>
          </w:p>
        </w:tc>
      </w:tr>
      <w:tr w:rsidR="00250343" w:rsidRPr="0026420A" w14:paraId="082B558B" w14:textId="77777777" w:rsidTr="001F4857">
        <w:trPr>
          <w:trHeight w:val="7680"/>
        </w:trPr>
        <w:tc>
          <w:tcPr>
            <w:tcW w:w="2206" w:type="dxa"/>
            <w:vMerge/>
            <w:tcMar>
              <w:top w:w="0" w:type="dxa"/>
              <w:left w:w="108" w:type="dxa"/>
              <w:bottom w:w="0" w:type="dxa"/>
              <w:right w:w="108" w:type="dxa"/>
            </w:tcMar>
          </w:tcPr>
          <w:p w14:paraId="47503F3C" w14:textId="77777777" w:rsidR="00250343" w:rsidRPr="0026420A" w:rsidRDefault="00250343" w:rsidP="00EC2519">
            <w:pPr>
              <w:ind w:firstLine="0"/>
              <w:jc w:val="left"/>
              <w:rPr>
                <w:b/>
                <w:bCs/>
              </w:rPr>
            </w:pPr>
          </w:p>
        </w:tc>
        <w:tc>
          <w:tcPr>
            <w:tcW w:w="579" w:type="dxa"/>
            <w:tcBorders>
              <w:top w:val="single" w:sz="4" w:space="0" w:color="auto"/>
            </w:tcBorders>
            <w:tcMar>
              <w:top w:w="0" w:type="dxa"/>
              <w:left w:w="108" w:type="dxa"/>
              <w:bottom w:w="0" w:type="dxa"/>
              <w:right w:w="108" w:type="dxa"/>
            </w:tcMar>
          </w:tcPr>
          <w:p w14:paraId="6C96CB31" w14:textId="77777777" w:rsidR="00250343" w:rsidRPr="0026420A" w:rsidRDefault="00250343" w:rsidP="00EC2519">
            <w:pPr>
              <w:pStyle w:val="Listparagraf"/>
              <w:numPr>
                <w:ilvl w:val="0"/>
                <w:numId w:val="1"/>
              </w:numPr>
              <w:ind w:left="0" w:right="5" w:firstLine="0"/>
              <w:contextualSpacing w:val="0"/>
            </w:pPr>
          </w:p>
        </w:tc>
        <w:tc>
          <w:tcPr>
            <w:tcW w:w="5821" w:type="dxa"/>
            <w:tcBorders>
              <w:top w:val="single" w:sz="4" w:space="0" w:color="auto"/>
            </w:tcBorders>
            <w:tcMar>
              <w:top w:w="0" w:type="dxa"/>
              <w:left w:w="108" w:type="dxa"/>
              <w:bottom w:w="0" w:type="dxa"/>
              <w:right w:w="108" w:type="dxa"/>
            </w:tcMar>
          </w:tcPr>
          <w:p w14:paraId="6FFE144E" w14:textId="4767AB30" w:rsidR="00250343" w:rsidRPr="0026420A" w:rsidRDefault="00250343" w:rsidP="00250343">
            <w:pPr>
              <w:tabs>
                <w:tab w:val="left" w:pos="1635"/>
              </w:tabs>
              <w:ind w:firstLine="0"/>
            </w:pPr>
            <w:r w:rsidRPr="0026420A">
              <w:rPr>
                <w:b/>
                <w:bCs/>
              </w:rPr>
              <w:t xml:space="preserve">8. </w:t>
            </w:r>
            <w:r w:rsidRPr="0026420A">
              <w:t xml:space="preserve">La </w:t>
            </w:r>
            <w:r w:rsidRPr="0026420A">
              <w:rPr>
                <w:b/>
                <w:bCs/>
              </w:rPr>
              <w:t xml:space="preserve">art. 20 alin (5) </w:t>
            </w:r>
            <w:r w:rsidRPr="0026420A">
              <w:t>din proiect se va substitui textul „</w:t>
            </w:r>
            <w:r w:rsidRPr="0026420A">
              <w:rPr>
                <w:i/>
                <w:iCs/>
              </w:rPr>
              <w:t>În cursul perioadei</w:t>
            </w:r>
            <w:r w:rsidRPr="0026420A">
              <w:t>” cu cuvintele „</w:t>
            </w:r>
            <w:r w:rsidRPr="0026420A">
              <w:rPr>
                <w:i/>
                <w:iCs/>
              </w:rPr>
              <w:t>După aprobarea proiectului deciziei în condițiile alin. (2)</w:t>
            </w:r>
            <w:r w:rsidRPr="0026420A">
              <w:t>”, or, potrivit art. 20 alin. (2) Comisia Națională adoptă în termen de 60 de zile lucrătoare un proiect de decizie, iar Regulamentul UE stabilește solicitarea emiterii avizului de către banca centrală, după aprobarea respectivului proiect.</w:t>
            </w:r>
          </w:p>
        </w:tc>
        <w:tc>
          <w:tcPr>
            <w:tcW w:w="5281" w:type="dxa"/>
            <w:vMerge/>
            <w:tcMar>
              <w:top w:w="0" w:type="dxa"/>
              <w:left w:w="108" w:type="dxa"/>
              <w:bottom w:w="0" w:type="dxa"/>
              <w:right w:w="108" w:type="dxa"/>
            </w:tcMar>
          </w:tcPr>
          <w:p w14:paraId="015DD7C5" w14:textId="77777777" w:rsidR="00250343" w:rsidRPr="0026420A" w:rsidRDefault="00250343" w:rsidP="00EC2519">
            <w:pPr>
              <w:ind w:firstLine="0"/>
              <w:rPr>
                <w:b/>
                <w:bCs/>
              </w:rPr>
            </w:pPr>
          </w:p>
        </w:tc>
      </w:tr>
      <w:tr w:rsidR="009A1A36" w:rsidRPr="0026420A" w14:paraId="47C9E43B" w14:textId="77777777" w:rsidTr="001F4857">
        <w:trPr>
          <w:trHeight w:val="300"/>
        </w:trPr>
        <w:tc>
          <w:tcPr>
            <w:tcW w:w="2206" w:type="dxa"/>
            <w:vMerge/>
            <w:tcMar>
              <w:top w:w="0" w:type="dxa"/>
              <w:left w:w="108" w:type="dxa"/>
              <w:bottom w:w="0" w:type="dxa"/>
              <w:right w:w="108" w:type="dxa"/>
            </w:tcMar>
          </w:tcPr>
          <w:p w14:paraId="6CF7A5D1" w14:textId="77777777" w:rsidR="009A1A36" w:rsidRPr="0026420A" w:rsidRDefault="009A1A36" w:rsidP="00EC2519">
            <w:pPr>
              <w:ind w:firstLine="0"/>
              <w:jc w:val="left"/>
              <w:rPr>
                <w:b/>
                <w:bCs/>
              </w:rPr>
            </w:pPr>
          </w:p>
        </w:tc>
        <w:tc>
          <w:tcPr>
            <w:tcW w:w="579" w:type="dxa"/>
            <w:tcMar>
              <w:top w:w="0" w:type="dxa"/>
              <w:left w:w="108" w:type="dxa"/>
              <w:bottom w:w="0" w:type="dxa"/>
              <w:right w:w="108" w:type="dxa"/>
            </w:tcMar>
          </w:tcPr>
          <w:p w14:paraId="73A12E25" w14:textId="77777777" w:rsidR="009A1A36" w:rsidRPr="0026420A" w:rsidRDefault="009A1A36" w:rsidP="00EC2519">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09743EF3" w14:textId="4602D24D" w:rsidR="009A1A36" w:rsidRPr="0026420A" w:rsidRDefault="009A1A36" w:rsidP="00EC2519">
            <w:pPr>
              <w:tabs>
                <w:tab w:val="left" w:pos="1635"/>
              </w:tabs>
              <w:ind w:firstLine="0"/>
            </w:pPr>
            <w:r w:rsidRPr="0026420A">
              <w:rPr>
                <w:b/>
                <w:bCs/>
              </w:rPr>
              <w:t xml:space="preserve">9. </w:t>
            </w:r>
            <w:r w:rsidRPr="0026420A">
              <w:t xml:space="preserve">La </w:t>
            </w:r>
            <w:r w:rsidRPr="0026420A">
              <w:rPr>
                <w:b/>
                <w:bCs/>
              </w:rPr>
              <w:t xml:space="preserve">art. 20 alin. (7) </w:t>
            </w:r>
            <w:r w:rsidRPr="0026420A">
              <w:t>textul „</w:t>
            </w:r>
            <w:r w:rsidRPr="0026420A">
              <w:rPr>
                <w:i/>
                <w:iCs/>
              </w:rPr>
              <w:t>pot emite</w:t>
            </w:r>
            <w:r w:rsidRPr="0026420A">
              <w:t>” se va substitui cu cuvântul „</w:t>
            </w:r>
            <w:r w:rsidRPr="0026420A">
              <w:rPr>
                <w:i/>
                <w:iCs/>
              </w:rPr>
              <w:t>emit</w:t>
            </w:r>
            <w:r w:rsidRPr="0026420A">
              <w:t xml:space="preserve">” pentru a corespunde textului actului UE. </w:t>
            </w:r>
          </w:p>
        </w:tc>
        <w:tc>
          <w:tcPr>
            <w:tcW w:w="5281" w:type="dxa"/>
            <w:tcMar>
              <w:top w:w="0" w:type="dxa"/>
              <w:left w:w="108" w:type="dxa"/>
              <w:bottom w:w="0" w:type="dxa"/>
              <w:right w:w="108" w:type="dxa"/>
            </w:tcMar>
          </w:tcPr>
          <w:p w14:paraId="4F1A1DCB" w14:textId="77777777" w:rsidR="009A1A36" w:rsidRPr="0026420A" w:rsidRDefault="009A1A36" w:rsidP="00EC2519">
            <w:pPr>
              <w:ind w:firstLine="0"/>
              <w:rPr>
                <w:b/>
                <w:bCs/>
              </w:rPr>
            </w:pPr>
            <w:r w:rsidRPr="0026420A">
              <w:rPr>
                <w:b/>
                <w:bCs/>
              </w:rPr>
              <w:t>Se acceptă parțial.</w:t>
            </w:r>
          </w:p>
          <w:p w14:paraId="0C74047A" w14:textId="77777777" w:rsidR="00933DC9" w:rsidRPr="0026420A" w:rsidRDefault="00933DC9" w:rsidP="00933DC9">
            <w:pPr>
              <w:ind w:firstLine="0"/>
            </w:pPr>
            <w:r w:rsidRPr="0026420A">
              <w:t xml:space="preserve">Proiectul de Lege este parte a cadrului juridic național al Republicii Moldova și provine de la un stat terț, iar aceasta nu poate institui obligații juridice directe în sarcina BCE sau a unei bănci centrale a altui stat.  Pentru BNM se ajustează formularea în sensul caracterului obligatoriu al emiterii avizului („emite”), avizul acesteia având efect obligatoriu. Pentru BCE și băncile centrale ale altor state se menține formularea „pot emite”, </w:t>
            </w:r>
            <w:r w:rsidRPr="0026420A">
              <w:lastRenderedPageBreak/>
              <w:t>întrucât proiectul, ca act al unui stat terț, nu poate institui în sarcina acestora o obligație; totodată, avizul lor are caracter consultativ, fiind luat în considerare de Comisia Națională fără a o obliga. Această soluție este compatibilă cu statutul de stat terț și cu etapa de preaderare.</w:t>
            </w:r>
          </w:p>
          <w:p w14:paraId="6A3736DB" w14:textId="77777777" w:rsidR="009A1A36" w:rsidRPr="0026420A" w:rsidRDefault="009A1A36" w:rsidP="00EC2519">
            <w:pPr>
              <w:ind w:firstLine="0"/>
            </w:pPr>
            <w:r w:rsidRPr="0026420A">
              <w:t>Textul prevederii la art. 20 alin.(7) al proiectului de Lege se expune în următoarea redacție:</w:t>
            </w:r>
          </w:p>
          <w:p w14:paraId="4B9FAD58" w14:textId="63405024" w:rsidR="009A1A36" w:rsidRPr="0026420A" w:rsidRDefault="009A1A36" w:rsidP="00EC2519">
            <w:pPr>
              <w:ind w:firstLine="0"/>
            </w:pPr>
            <w:r w:rsidRPr="0026420A">
              <w:rPr>
                <w:i/>
                <w:iCs/>
              </w:rPr>
              <w:t xml:space="preserve">”(7) Totodată, în același termen de 20 de zile lucrătoare de la primirea proiectului de decizie și a cererii, Banca Națională în calitate de bană centrală, emite un aviz cu privire la riscurile pe care emiterea respectivului </w:t>
            </w:r>
            <w:proofErr w:type="spellStart"/>
            <w:r w:rsidRPr="0026420A">
              <w:rPr>
                <w:i/>
                <w:iCs/>
              </w:rPr>
              <w:t>token</w:t>
            </w:r>
            <w:proofErr w:type="spellEnd"/>
            <w:r w:rsidRPr="0026420A">
              <w:rPr>
                <w:i/>
                <w:iCs/>
              </w:rPr>
              <w:t xml:space="preserve"> raportat la active le-ar putea prezenta pentru stabilitatea financiară, buna funcționare a sistemelor de plăți, transmisia politicii monetare și suveranitatea monetară și transmite avizul respectiv Comisiei Naționale. După caz, BCE sau banca centrală a altui stat menționată la alin. (5), poate emite, în același termen, un aviz în ceea ce privește evaluarea riscurilor pe care emiterea respectivului </w:t>
            </w:r>
            <w:proofErr w:type="spellStart"/>
            <w:r w:rsidRPr="0026420A">
              <w:rPr>
                <w:i/>
                <w:iCs/>
              </w:rPr>
              <w:t>token</w:t>
            </w:r>
            <w:proofErr w:type="spellEnd"/>
            <w:r w:rsidRPr="0026420A">
              <w:rPr>
                <w:i/>
                <w:iCs/>
              </w:rPr>
              <w:t xml:space="preserve"> raportat la active le-ar putea prezenta și îl poate transmite Comisiei Naționale.”</w:t>
            </w:r>
          </w:p>
        </w:tc>
      </w:tr>
      <w:tr w:rsidR="009A1A36" w:rsidRPr="0026420A" w14:paraId="2808522E" w14:textId="77777777" w:rsidTr="001F4857">
        <w:trPr>
          <w:trHeight w:val="3815"/>
        </w:trPr>
        <w:tc>
          <w:tcPr>
            <w:tcW w:w="2206" w:type="dxa"/>
            <w:vMerge/>
            <w:tcMar>
              <w:top w:w="0" w:type="dxa"/>
              <w:left w:w="108" w:type="dxa"/>
              <w:bottom w:w="0" w:type="dxa"/>
              <w:right w:w="108" w:type="dxa"/>
            </w:tcMar>
          </w:tcPr>
          <w:p w14:paraId="2217AF7D" w14:textId="77777777" w:rsidR="009A1A36" w:rsidRPr="0026420A" w:rsidRDefault="009A1A36" w:rsidP="00EC2519">
            <w:pPr>
              <w:ind w:firstLine="0"/>
              <w:jc w:val="left"/>
              <w:rPr>
                <w:b/>
                <w:bCs/>
              </w:rPr>
            </w:pPr>
          </w:p>
        </w:tc>
        <w:tc>
          <w:tcPr>
            <w:tcW w:w="579" w:type="dxa"/>
            <w:tcMar>
              <w:top w:w="0" w:type="dxa"/>
              <w:left w:w="108" w:type="dxa"/>
              <w:bottom w:w="0" w:type="dxa"/>
              <w:right w:w="108" w:type="dxa"/>
            </w:tcMar>
          </w:tcPr>
          <w:p w14:paraId="01B41EBD" w14:textId="77777777" w:rsidR="009A1A36" w:rsidRPr="0026420A" w:rsidRDefault="009A1A36" w:rsidP="00EC2519">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760BE158" w14:textId="3F59B61F" w:rsidR="009A1A36" w:rsidRPr="0026420A" w:rsidRDefault="009A1A36" w:rsidP="00EC2519">
            <w:pPr>
              <w:tabs>
                <w:tab w:val="left" w:pos="1635"/>
              </w:tabs>
              <w:ind w:firstLine="0"/>
            </w:pPr>
            <w:r w:rsidRPr="0026420A">
              <w:rPr>
                <w:b/>
                <w:bCs/>
              </w:rPr>
              <w:t xml:space="preserve">10. </w:t>
            </w:r>
            <w:r w:rsidRPr="0026420A">
              <w:t xml:space="preserve">În condițiile amendamentelor propuse mai sus dar și ținând cont de necesitatea aducerii clarității privind conduita CNPF la expirarea termenului acordat pentru emiterea avizului, se propune la </w:t>
            </w:r>
            <w:r w:rsidRPr="0026420A">
              <w:rPr>
                <w:b/>
                <w:bCs/>
              </w:rPr>
              <w:t xml:space="preserve">art. 21 alin. (1) </w:t>
            </w:r>
            <w:r w:rsidRPr="0026420A">
              <w:t>după textul „alin. (6) și (7)” completarea cu textul „</w:t>
            </w:r>
            <w:r w:rsidRPr="0026420A">
              <w:rPr>
                <w:i/>
                <w:iCs/>
              </w:rPr>
              <w:t>sau la expirarea termenelor prevăzute de respectivele alineate</w:t>
            </w:r>
            <w:r w:rsidRPr="0026420A">
              <w:t xml:space="preserve">”. </w:t>
            </w:r>
          </w:p>
        </w:tc>
        <w:tc>
          <w:tcPr>
            <w:tcW w:w="5281" w:type="dxa"/>
            <w:tcMar>
              <w:top w:w="0" w:type="dxa"/>
              <w:left w:w="108" w:type="dxa"/>
              <w:bottom w:w="0" w:type="dxa"/>
              <w:right w:w="108" w:type="dxa"/>
            </w:tcMar>
          </w:tcPr>
          <w:p w14:paraId="49A3FC2E" w14:textId="77777777" w:rsidR="009A1A36" w:rsidRPr="0026420A" w:rsidRDefault="009A1A36" w:rsidP="00EC2519">
            <w:pPr>
              <w:ind w:firstLine="0"/>
              <w:rPr>
                <w:b/>
                <w:bCs/>
              </w:rPr>
            </w:pPr>
            <w:r w:rsidRPr="0026420A">
              <w:rPr>
                <w:b/>
                <w:bCs/>
              </w:rPr>
              <w:t>Se acceptă parțial.</w:t>
            </w:r>
          </w:p>
          <w:p w14:paraId="330E5617" w14:textId="77777777" w:rsidR="009A1A36" w:rsidRPr="0026420A" w:rsidRDefault="009A1A36" w:rsidP="00EC2519">
            <w:pPr>
              <w:ind w:firstLine="0"/>
            </w:pPr>
            <w:r w:rsidRPr="0026420A">
              <w:t xml:space="preserve">Completarea propusă este admisibilă numai în privința avizului BCE sau al băncii centrale a altui stat menționat la art. 20 alin. (5) și alin. (7), care are caracter facultativ. Cooperarea cu BNM menționată la art. 20, alin. (6) și (7) este obligatorie, termenul de 20 de zile lucrătoare este un termen de emitere a avizelor, nu un mecanism prin care Comisia Națională poate trece peste avizul BNM. </w:t>
            </w:r>
          </w:p>
          <w:p w14:paraId="480980FA" w14:textId="77777777" w:rsidR="009A1A36" w:rsidRPr="0026420A" w:rsidRDefault="009A1A36" w:rsidP="00EC2519">
            <w:pPr>
              <w:ind w:firstLine="0"/>
            </w:pPr>
            <w:r w:rsidRPr="0026420A">
              <w:t>Textul prevederii la art. 21 alin.(1) al proiectului de Lege se expune în următoarea redacție:</w:t>
            </w:r>
          </w:p>
          <w:p w14:paraId="40D0DF03" w14:textId="2FA5E1BF" w:rsidR="009A1A36" w:rsidRPr="0026420A" w:rsidRDefault="009A1A36" w:rsidP="00A817CF">
            <w:pPr>
              <w:ind w:firstLine="0"/>
            </w:pPr>
            <w:r w:rsidRPr="0026420A">
              <w:rPr>
                <w:i/>
                <w:iCs/>
              </w:rPr>
              <w:t xml:space="preserve">„(1)În termen de 25 de zile lucrătoare de la primirea avizelor menționate la art. 20 alin. (6) și (7), iar în cazul în care avizul BCE sau al băncii centrale a unui alt stat prevăzut la art. 20 alin. (7) nu a fost primit, de la expirarea termenului prevăzut de respectivul alineat, Comisia Națională adoptă o decizie motivată prin care acordă sau refuză să acorde autorizația emitentului solicitant și, în termen de 5 zile lucrătoare de la adoptarea deciziei respective, comunică respectiva decizie emitentului solicitant. În cazul în care emitentul solicitant primește autorizația, se consideră că și cartea sa albă pentru </w:t>
            </w:r>
            <w:proofErr w:type="spellStart"/>
            <w:r w:rsidRPr="0026420A">
              <w:rPr>
                <w:i/>
                <w:iCs/>
              </w:rPr>
              <w:t>criptoactive</w:t>
            </w:r>
            <w:proofErr w:type="spellEnd"/>
            <w:r w:rsidRPr="0026420A">
              <w:rPr>
                <w:i/>
                <w:iCs/>
              </w:rPr>
              <w:t xml:space="preserve"> este aprobată.”</w:t>
            </w:r>
          </w:p>
        </w:tc>
      </w:tr>
      <w:tr w:rsidR="009A1A36" w:rsidRPr="0026420A" w14:paraId="27E1F26C" w14:textId="77777777" w:rsidTr="001F4857">
        <w:trPr>
          <w:trHeight w:val="5047"/>
        </w:trPr>
        <w:tc>
          <w:tcPr>
            <w:tcW w:w="2206" w:type="dxa"/>
            <w:vMerge/>
            <w:tcMar>
              <w:top w:w="0" w:type="dxa"/>
              <w:left w:w="108" w:type="dxa"/>
              <w:bottom w:w="0" w:type="dxa"/>
              <w:right w:w="108" w:type="dxa"/>
            </w:tcMar>
          </w:tcPr>
          <w:p w14:paraId="0B0B9DF0" w14:textId="77777777" w:rsidR="009A1A36" w:rsidRPr="0026420A" w:rsidRDefault="009A1A36" w:rsidP="00EC2519">
            <w:pPr>
              <w:ind w:firstLine="0"/>
              <w:jc w:val="left"/>
              <w:rPr>
                <w:b/>
                <w:bCs/>
              </w:rPr>
            </w:pPr>
          </w:p>
        </w:tc>
        <w:tc>
          <w:tcPr>
            <w:tcW w:w="579" w:type="dxa"/>
            <w:tcMar>
              <w:top w:w="0" w:type="dxa"/>
              <w:left w:w="108" w:type="dxa"/>
              <w:bottom w:w="0" w:type="dxa"/>
              <w:right w:w="108" w:type="dxa"/>
            </w:tcMar>
          </w:tcPr>
          <w:p w14:paraId="57B6C126" w14:textId="77777777" w:rsidR="009A1A36" w:rsidRPr="0026420A" w:rsidRDefault="009A1A36" w:rsidP="00EC2519">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191CBB27" w14:textId="5BDF75A3" w:rsidR="009A1A36" w:rsidRPr="0026420A" w:rsidRDefault="009A1A36" w:rsidP="00EC2519">
            <w:pPr>
              <w:tabs>
                <w:tab w:val="left" w:pos="1635"/>
              </w:tabs>
              <w:ind w:firstLine="0"/>
            </w:pPr>
            <w:r w:rsidRPr="0026420A">
              <w:rPr>
                <w:b/>
                <w:bCs/>
              </w:rPr>
              <w:t xml:space="preserve">11. </w:t>
            </w:r>
            <w:r w:rsidRPr="0026420A">
              <w:t xml:space="preserve">La </w:t>
            </w:r>
            <w:r w:rsidRPr="0026420A">
              <w:rPr>
                <w:b/>
                <w:bCs/>
              </w:rPr>
              <w:t xml:space="preserve">art. 25 alin. (2) </w:t>
            </w:r>
            <w:r w:rsidRPr="0026420A">
              <w:t>textul „</w:t>
            </w:r>
            <w:r w:rsidRPr="0026420A">
              <w:rPr>
                <w:i/>
                <w:iCs/>
              </w:rPr>
              <w:t>În cazul în care autoritatea competentă face o astfel de solicitare, termenul-limită de 30 de zile lucrătoare începe să curgă numai în momentul în care autoritatea competentă a primit informațiile suplimentare solicitate.</w:t>
            </w:r>
            <w:r w:rsidRPr="0026420A">
              <w:t>” se va substitui cu textul „</w:t>
            </w:r>
            <w:r w:rsidRPr="0026420A">
              <w:rPr>
                <w:i/>
                <w:iCs/>
              </w:rPr>
              <w:t>Termenul procedurii administrative se suspendă de drept din data solicitării până la data recepționării informațiilor, explicațiilor sau justificărilor.</w:t>
            </w:r>
            <w:r w:rsidRPr="0026420A">
              <w:t>”</w:t>
            </w:r>
            <w:r w:rsidRPr="0026420A">
              <w:rPr>
                <w:i/>
                <w:iCs/>
              </w:rPr>
              <w:t xml:space="preserve">. </w:t>
            </w:r>
            <w:r w:rsidRPr="0026420A">
              <w:rPr>
                <w:i/>
                <w:iCs/>
              </w:rPr>
              <w:br/>
            </w:r>
          </w:p>
        </w:tc>
        <w:tc>
          <w:tcPr>
            <w:tcW w:w="5281" w:type="dxa"/>
            <w:tcMar>
              <w:top w:w="0" w:type="dxa"/>
              <w:left w:w="108" w:type="dxa"/>
              <w:bottom w:w="0" w:type="dxa"/>
              <w:right w:w="108" w:type="dxa"/>
            </w:tcMar>
          </w:tcPr>
          <w:p w14:paraId="668777CD" w14:textId="77777777" w:rsidR="009A1A36" w:rsidRPr="0026420A" w:rsidRDefault="009A1A36" w:rsidP="00EC2519">
            <w:pPr>
              <w:ind w:firstLine="0"/>
              <w:rPr>
                <w:b/>
                <w:bCs/>
              </w:rPr>
            </w:pPr>
            <w:r w:rsidRPr="0026420A">
              <w:rPr>
                <w:b/>
                <w:bCs/>
              </w:rPr>
              <w:t>Se acceptă.</w:t>
            </w:r>
          </w:p>
          <w:p w14:paraId="760BD421" w14:textId="77777777" w:rsidR="009A1A36" w:rsidRPr="0026420A" w:rsidRDefault="009A1A36" w:rsidP="00EC2519">
            <w:pPr>
              <w:ind w:firstLine="0"/>
            </w:pPr>
            <w:r w:rsidRPr="0026420A">
              <w:t>Se corelează cu soluțiile procedurale aplicate la art. 17 și 20.</w:t>
            </w:r>
          </w:p>
          <w:p w14:paraId="3ED5DBF7" w14:textId="77777777" w:rsidR="009A1A36" w:rsidRPr="0026420A" w:rsidRDefault="009A1A36" w:rsidP="00C04EB1">
            <w:pPr>
              <w:ind w:firstLine="0"/>
            </w:pPr>
            <w:r w:rsidRPr="0026420A">
              <w:t>La art. 25 alin.(2) al proiectului de Lege, textul prevederii se ajustează, după cum urmează:</w:t>
            </w:r>
          </w:p>
          <w:p w14:paraId="7E4493AB" w14:textId="2D6474D0" w:rsidR="009A1A36" w:rsidRPr="0026420A" w:rsidRDefault="009A1A36" w:rsidP="00EC2519">
            <w:pPr>
              <w:ind w:firstLine="0"/>
            </w:pPr>
            <w:r w:rsidRPr="0026420A">
              <w:rPr>
                <w:i/>
                <w:iCs/>
              </w:rPr>
              <w:t xml:space="preserve">„(...)Pe parcursul examinării proiectului de carte albă pentru </w:t>
            </w:r>
            <w:proofErr w:type="spellStart"/>
            <w:r w:rsidRPr="0026420A">
              <w:rPr>
                <w:i/>
                <w:iCs/>
              </w:rPr>
              <w:t>criptoactive</w:t>
            </w:r>
            <w:proofErr w:type="spellEnd"/>
            <w:r w:rsidRPr="0026420A">
              <w:rPr>
                <w:i/>
                <w:iCs/>
              </w:rPr>
              <w:t xml:space="preserve"> modificată, Comisia Națională poate solicita orice informații, explicații sau justificări suplimentare privind proiectul de carte albă pentru </w:t>
            </w:r>
            <w:proofErr w:type="spellStart"/>
            <w:r w:rsidRPr="0026420A">
              <w:rPr>
                <w:i/>
                <w:iCs/>
              </w:rPr>
              <w:t>criptoactive</w:t>
            </w:r>
            <w:proofErr w:type="spellEnd"/>
            <w:r w:rsidRPr="0026420A">
              <w:rPr>
                <w:i/>
                <w:iCs/>
              </w:rPr>
              <w:t xml:space="preserve"> modificată, acordând un termen </w:t>
            </w:r>
            <w:r w:rsidRPr="0026420A">
              <w:rPr>
                <w:b/>
                <w:bCs/>
                <w:i/>
                <w:iCs/>
              </w:rPr>
              <w:t>pentru prezentarea acestora, care nu poate depăși 20 de zile lucrătoare de la data solicitării</w:t>
            </w:r>
            <w:r w:rsidRPr="0026420A">
              <w:rPr>
                <w:i/>
                <w:iCs/>
              </w:rPr>
              <w:t xml:space="preserve">. În cazul în care </w:t>
            </w:r>
            <w:r w:rsidRPr="0026420A">
              <w:rPr>
                <w:b/>
                <w:bCs/>
                <w:i/>
                <w:iCs/>
              </w:rPr>
              <w:t>Comisia Națională</w:t>
            </w:r>
            <w:r w:rsidRPr="0026420A">
              <w:rPr>
                <w:i/>
                <w:iCs/>
              </w:rPr>
              <w:t xml:space="preserve"> face o astfel de solicitare, termenul-limită de 30 de zile lucrătoare </w:t>
            </w:r>
            <w:r w:rsidRPr="0026420A">
              <w:rPr>
                <w:b/>
                <w:bCs/>
                <w:i/>
                <w:iCs/>
              </w:rPr>
              <w:t>se suspendă de drept pe perioada cuprinsă între data solicitării și data recepționării informațiilor,</w:t>
            </w:r>
            <w:r w:rsidRPr="0026420A">
              <w:rPr>
                <w:b/>
                <w:bCs/>
              </w:rPr>
              <w:t xml:space="preserve"> </w:t>
            </w:r>
            <w:r w:rsidRPr="0026420A">
              <w:rPr>
                <w:b/>
                <w:bCs/>
                <w:i/>
                <w:iCs/>
              </w:rPr>
              <w:t>explicațiilor sau justificărilor</w:t>
            </w:r>
            <w:r w:rsidRPr="0026420A">
              <w:rPr>
                <w:i/>
                <w:iCs/>
              </w:rPr>
              <w:t xml:space="preserve"> suplimentare solicitate.</w:t>
            </w:r>
          </w:p>
        </w:tc>
      </w:tr>
      <w:tr w:rsidR="009A1A36" w:rsidRPr="0026420A" w14:paraId="14AD6A40" w14:textId="77777777" w:rsidTr="001F4857">
        <w:trPr>
          <w:trHeight w:val="4904"/>
        </w:trPr>
        <w:tc>
          <w:tcPr>
            <w:tcW w:w="2206" w:type="dxa"/>
            <w:vMerge/>
            <w:tcMar>
              <w:top w:w="0" w:type="dxa"/>
              <w:left w:w="108" w:type="dxa"/>
              <w:bottom w:w="0" w:type="dxa"/>
              <w:right w:w="108" w:type="dxa"/>
            </w:tcMar>
          </w:tcPr>
          <w:p w14:paraId="4DCDF028" w14:textId="77777777" w:rsidR="009A1A36" w:rsidRPr="0026420A" w:rsidRDefault="009A1A36" w:rsidP="00EC2519">
            <w:pPr>
              <w:ind w:firstLine="0"/>
              <w:jc w:val="left"/>
              <w:rPr>
                <w:b/>
                <w:bCs/>
              </w:rPr>
            </w:pPr>
          </w:p>
        </w:tc>
        <w:tc>
          <w:tcPr>
            <w:tcW w:w="579" w:type="dxa"/>
            <w:tcMar>
              <w:top w:w="0" w:type="dxa"/>
              <w:left w:w="108" w:type="dxa"/>
              <w:bottom w:w="0" w:type="dxa"/>
              <w:right w:w="108" w:type="dxa"/>
            </w:tcMar>
          </w:tcPr>
          <w:p w14:paraId="70830D2A" w14:textId="77777777" w:rsidR="009A1A36" w:rsidRPr="0026420A" w:rsidRDefault="009A1A36" w:rsidP="00EC2519">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5B05157A" w14:textId="77777777" w:rsidR="009A1A36" w:rsidRPr="0026420A" w:rsidRDefault="009A1A36" w:rsidP="00EC2519">
            <w:pPr>
              <w:tabs>
                <w:tab w:val="left" w:pos="1635"/>
              </w:tabs>
              <w:ind w:firstLine="0"/>
              <w:rPr>
                <w:i/>
                <w:iCs/>
              </w:rPr>
            </w:pPr>
            <w:r w:rsidRPr="0026420A">
              <w:rPr>
                <w:b/>
                <w:bCs/>
              </w:rPr>
              <w:t xml:space="preserve">12. </w:t>
            </w:r>
            <w:r w:rsidRPr="0026420A">
              <w:t xml:space="preserve">La </w:t>
            </w:r>
            <w:r w:rsidRPr="0026420A">
              <w:rPr>
                <w:b/>
                <w:bCs/>
              </w:rPr>
              <w:t xml:space="preserve">art. 25 alin. (3) </w:t>
            </w:r>
            <w:r w:rsidRPr="0026420A">
              <w:t>la final se va completa cu textul „</w:t>
            </w:r>
            <w:r w:rsidRPr="0026420A">
              <w:rPr>
                <w:i/>
                <w:iCs/>
              </w:rPr>
              <w:t xml:space="preserve">În cazul în care în termen de 20 de zile lucrătoare nu este furnizat un aviz, se prezumă lipsa unor obiecții. </w:t>
            </w:r>
          </w:p>
          <w:p w14:paraId="6D15E0C2" w14:textId="77777777" w:rsidR="009A1A36" w:rsidRPr="0026420A" w:rsidRDefault="009A1A36" w:rsidP="00EC2519">
            <w:pPr>
              <w:tabs>
                <w:tab w:val="left" w:pos="1635"/>
              </w:tabs>
              <w:ind w:firstLine="0"/>
              <w:rPr>
                <w:i/>
                <w:iCs/>
              </w:rPr>
            </w:pPr>
          </w:p>
          <w:p w14:paraId="7B5C517B" w14:textId="77777777" w:rsidR="009A1A36" w:rsidRPr="0026420A" w:rsidRDefault="009A1A36" w:rsidP="00EC2519">
            <w:pPr>
              <w:tabs>
                <w:tab w:val="left" w:pos="1635"/>
              </w:tabs>
              <w:ind w:firstLine="0"/>
              <w:rPr>
                <w:i/>
                <w:iCs/>
              </w:rPr>
            </w:pPr>
          </w:p>
          <w:p w14:paraId="6E9CEDE7" w14:textId="01E2207D" w:rsidR="009A1A36" w:rsidRPr="0026420A" w:rsidRDefault="009A1A36" w:rsidP="00EC2519">
            <w:pPr>
              <w:tabs>
                <w:tab w:val="left" w:pos="1635"/>
              </w:tabs>
              <w:ind w:firstLine="0"/>
            </w:pPr>
          </w:p>
        </w:tc>
        <w:tc>
          <w:tcPr>
            <w:tcW w:w="5281" w:type="dxa"/>
            <w:tcMar>
              <w:top w:w="0" w:type="dxa"/>
              <w:left w:w="108" w:type="dxa"/>
              <w:bottom w:w="0" w:type="dxa"/>
              <w:right w:w="108" w:type="dxa"/>
            </w:tcMar>
          </w:tcPr>
          <w:p w14:paraId="62127121" w14:textId="77777777" w:rsidR="005A06A5" w:rsidRPr="0026420A" w:rsidRDefault="009A1A36" w:rsidP="005A06A5">
            <w:pPr>
              <w:ind w:firstLine="0"/>
            </w:pPr>
            <w:r w:rsidRPr="0026420A">
              <w:rPr>
                <w:b/>
                <w:bCs/>
                <w:i/>
                <w:iCs/>
              </w:rPr>
              <w:t>Se acceptă parțial.</w:t>
            </w:r>
            <w:r w:rsidR="005A06A5" w:rsidRPr="0026420A">
              <w:t xml:space="preserve"> </w:t>
            </w:r>
          </w:p>
          <w:p w14:paraId="2E9698D3" w14:textId="0DA73113" w:rsidR="005A06A5" w:rsidRPr="0026420A" w:rsidRDefault="005A06A5" w:rsidP="005A06A5">
            <w:pPr>
              <w:ind w:firstLine="0"/>
            </w:pPr>
            <w:r w:rsidRPr="0026420A">
              <w:t>Proiectul de Lege este parte a cadrului juridic național al Republicii Moldova și provine de la un stat terț, iar aceasta nu poate institui obligații juridice directe în sarcina BCE sau a unei bănci centrale a altui stat.  Pentru BNM se ajustează formularea în sensul caracterului obligatoriu al emiterii avizului („emite”), avizul acesteia având efect obligatoriu. Pentru BCE și băncile centrale ale altor state se menține formularea „pot emite”, întrucât proiectul, ca act al unui stat terț, nu poate institui în sarcina acestora o obligație; totodată, avizul lor are caracter consultativ, fiind luat în considerare de Comisia Națională fără a o obliga. Această soluție este compatibilă cu statutul de stat terț și cu etapa de preaderare.</w:t>
            </w:r>
          </w:p>
          <w:p w14:paraId="7BA3AA2D" w14:textId="7AEB43D7" w:rsidR="009A1A36" w:rsidRPr="0026420A" w:rsidRDefault="009A1A36" w:rsidP="00EC2519">
            <w:pPr>
              <w:ind w:firstLine="0"/>
              <w:rPr>
                <w:i/>
                <w:iCs/>
              </w:rPr>
            </w:pPr>
            <w:r w:rsidRPr="0026420A">
              <w:rPr>
                <w:i/>
                <w:iCs/>
              </w:rPr>
              <w:t>La art. 25 alin.(3) al proiectului de Lege, textul prevederii se ajustează, după cum urmează:</w:t>
            </w:r>
          </w:p>
          <w:p w14:paraId="155FBB9E" w14:textId="50C470D0" w:rsidR="009A1A36" w:rsidRPr="0026420A" w:rsidRDefault="009A1A36" w:rsidP="00EC2519">
            <w:pPr>
              <w:ind w:firstLine="0"/>
              <w:rPr>
                <w:i/>
                <w:iCs/>
              </w:rPr>
            </w:pPr>
            <w:r w:rsidRPr="0026420A">
              <w:rPr>
                <w:i/>
                <w:iCs/>
              </w:rPr>
              <w:t xml:space="preserve">”(3)În cazul în care Comisia Națională, consideră că modificările aduse unei cărți albe pentru </w:t>
            </w:r>
            <w:proofErr w:type="spellStart"/>
            <w:r w:rsidRPr="0026420A">
              <w:rPr>
                <w:i/>
                <w:iCs/>
              </w:rPr>
              <w:t>criptoactive</w:t>
            </w:r>
            <w:proofErr w:type="spellEnd"/>
            <w:r w:rsidRPr="0026420A">
              <w:rPr>
                <w:i/>
                <w:iCs/>
              </w:rPr>
              <w:t xml:space="preserve"> sunt potențial relevante pentru buna funcționare a sistemelor de plăți, pentru transmisia politicii monetare și pentru suveranitatea monetară, Comisia Națională </w:t>
            </w:r>
            <w:r w:rsidRPr="0026420A">
              <w:rPr>
                <w:b/>
                <w:bCs/>
                <w:i/>
                <w:iCs/>
              </w:rPr>
              <w:t>se consultă cu</w:t>
            </w:r>
            <w:r w:rsidRPr="0026420A">
              <w:rPr>
                <w:i/>
                <w:iCs/>
              </w:rPr>
              <w:t xml:space="preserve"> Banca Națională, în virtutea calității sale de bancă centrală, și, după caz, </w:t>
            </w:r>
            <w:r w:rsidRPr="0026420A">
              <w:rPr>
                <w:b/>
                <w:bCs/>
                <w:i/>
                <w:iCs/>
              </w:rPr>
              <w:t>poate</w:t>
            </w:r>
            <w:r w:rsidRPr="0026420A">
              <w:rPr>
                <w:i/>
                <w:iCs/>
              </w:rPr>
              <w:t xml:space="preserve"> </w:t>
            </w:r>
            <w:r w:rsidRPr="0026420A">
              <w:rPr>
                <w:b/>
                <w:bCs/>
                <w:i/>
                <w:iCs/>
              </w:rPr>
              <w:t>transmite pentru consultare</w:t>
            </w:r>
            <w:r w:rsidRPr="0026420A">
              <w:rPr>
                <w:i/>
                <w:iCs/>
              </w:rPr>
              <w:t xml:space="preserve"> BCE sau băncii centrale menționate la articolul 20 alin. (5). La rândul său, Banca Națională, în calitate de bancă centrală, prezintă un aviz în termen de 20 de zile lucrătoare de la primirea consultării menționate la prezentul alineat. </w:t>
            </w:r>
            <w:r w:rsidRPr="0026420A">
              <w:rPr>
                <w:b/>
                <w:bCs/>
                <w:i/>
                <w:iCs/>
              </w:rPr>
              <w:t>BCE sau banca centrală menționată la art. 20 alin. (5) poate prezenta avizul în același termen. În cazul în care BCE sau banca centrală menționată la art. 20 alin. (5) nu transmite avizul în termenul prevăzut, Comisia Națională poate continua examinarea proiectului de carte albă modificată pe baza informațiilor disponibile.”</w:t>
            </w:r>
          </w:p>
        </w:tc>
      </w:tr>
      <w:tr w:rsidR="009A1A36" w:rsidRPr="0026420A" w14:paraId="0F4C41BF" w14:textId="77777777" w:rsidTr="001F4857">
        <w:trPr>
          <w:trHeight w:val="300"/>
        </w:trPr>
        <w:tc>
          <w:tcPr>
            <w:tcW w:w="2206" w:type="dxa"/>
            <w:vMerge/>
            <w:tcMar>
              <w:top w:w="0" w:type="dxa"/>
              <w:left w:w="108" w:type="dxa"/>
              <w:bottom w:w="0" w:type="dxa"/>
              <w:right w:w="108" w:type="dxa"/>
            </w:tcMar>
          </w:tcPr>
          <w:p w14:paraId="63FBE8E1" w14:textId="77777777" w:rsidR="009A1A36" w:rsidRPr="0026420A" w:rsidRDefault="009A1A36" w:rsidP="00EC2519">
            <w:pPr>
              <w:ind w:firstLine="0"/>
              <w:jc w:val="left"/>
              <w:rPr>
                <w:b/>
                <w:bCs/>
              </w:rPr>
            </w:pPr>
          </w:p>
        </w:tc>
        <w:tc>
          <w:tcPr>
            <w:tcW w:w="579" w:type="dxa"/>
            <w:tcMar>
              <w:top w:w="0" w:type="dxa"/>
              <w:left w:w="108" w:type="dxa"/>
              <w:bottom w:w="0" w:type="dxa"/>
              <w:right w:w="108" w:type="dxa"/>
            </w:tcMar>
          </w:tcPr>
          <w:p w14:paraId="5221E1BE" w14:textId="77777777" w:rsidR="009A1A36" w:rsidRPr="0026420A" w:rsidRDefault="009A1A36" w:rsidP="00EC2519">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1B28CE21" w14:textId="77777777" w:rsidR="009A1A36" w:rsidRPr="0026420A" w:rsidRDefault="009A1A36" w:rsidP="00EC2519">
            <w:pPr>
              <w:tabs>
                <w:tab w:val="left" w:pos="1635"/>
              </w:tabs>
              <w:ind w:firstLine="0"/>
            </w:pPr>
            <w:r w:rsidRPr="0026420A">
              <w:rPr>
                <w:b/>
                <w:bCs/>
              </w:rPr>
              <w:t xml:space="preserve">13. </w:t>
            </w:r>
            <w:r w:rsidRPr="0026420A">
              <w:t xml:space="preserve">Pentru asigurarea clarității modului de aplicare, </w:t>
            </w:r>
            <w:r w:rsidRPr="0026420A">
              <w:rPr>
                <w:b/>
                <w:bCs/>
              </w:rPr>
              <w:t xml:space="preserve">art. 31 alin. (4) </w:t>
            </w:r>
            <w:r w:rsidRPr="0026420A">
              <w:t xml:space="preserve">se va expune în următoarea redacție: </w:t>
            </w:r>
          </w:p>
          <w:p w14:paraId="0778976B" w14:textId="77777777" w:rsidR="009A1A36" w:rsidRPr="0026420A" w:rsidRDefault="009A1A36" w:rsidP="0082642C">
            <w:pPr>
              <w:ind w:firstLine="0"/>
            </w:pPr>
            <w:r w:rsidRPr="0026420A">
              <w:t>„</w:t>
            </w:r>
            <w:r w:rsidRPr="0026420A">
              <w:rPr>
                <w:i/>
                <w:iCs/>
              </w:rPr>
              <w:t xml:space="preserve">Emitenții de </w:t>
            </w:r>
            <w:proofErr w:type="spellStart"/>
            <w:r w:rsidRPr="0026420A">
              <w:rPr>
                <w:i/>
                <w:iCs/>
              </w:rPr>
              <w:t>tokenuri</w:t>
            </w:r>
            <w:proofErr w:type="spellEnd"/>
            <w:r w:rsidRPr="0026420A">
              <w:rPr>
                <w:i/>
                <w:iCs/>
              </w:rPr>
              <w:t xml:space="preserve"> raportate la active analizează toate plângerile în mod corect cât mai curând posibil, fără a depăși 15 zile lucrătoare de la data primirii plângerii și le comunică deținătorilor de </w:t>
            </w:r>
            <w:proofErr w:type="spellStart"/>
            <w:r w:rsidRPr="0026420A">
              <w:rPr>
                <w:i/>
                <w:iCs/>
              </w:rPr>
              <w:t>tokenuri</w:t>
            </w:r>
            <w:proofErr w:type="spellEnd"/>
            <w:r w:rsidRPr="0026420A">
              <w:rPr>
                <w:i/>
                <w:iCs/>
              </w:rPr>
              <w:t xml:space="preserve"> raportate la active rezultatul acestor analize în termenul respectiv. În cazul în care, în situații excepționale, decizia cu privire la o plângere nu poate fi furnizată în termenul prevăzut, emitenții de </w:t>
            </w:r>
            <w:proofErr w:type="spellStart"/>
            <w:r w:rsidRPr="0026420A">
              <w:rPr>
                <w:i/>
                <w:iCs/>
              </w:rPr>
              <w:t>tokenuri</w:t>
            </w:r>
            <w:proofErr w:type="spellEnd"/>
            <w:r w:rsidRPr="0026420A">
              <w:rPr>
                <w:i/>
                <w:iCs/>
              </w:rPr>
              <w:t xml:space="preserve"> raportate la active informează obligatoriu deținătorii de </w:t>
            </w:r>
            <w:proofErr w:type="spellStart"/>
            <w:r w:rsidRPr="0026420A">
              <w:rPr>
                <w:i/>
                <w:iCs/>
              </w:rPr>
              <w:t>tokenuri</w:t>
            </w:r>
            <w:proofErr w:type="spellEnd"/>
            <w:r w:rsidRPr="0026420A">
              <w:rPr>
                <w:i/>
                <w:iCs/>
              </w:rPr>
              <w:t xml:space="preserve"> raportate la active, fără întârzieri nejustificate, cu privire la motivele </w:t>
            </w:r>
            <w:r w:rsidRPr="0026420A">
              <w:rPr>
                <w:i/>
                <w:iCs/>
              </w:rPr>
              <w:lastRenderedPageBreak/>
              <w:t>întârzierii și la data preconizată până la care va fi emisă decizia, dar care nu poate depăși 2 luni de la data primirii plângerii.</w:t>
            </w:r>
            <w:r w:rsidRPr="0026420A">
              <w:t>”.</w:t>
            </w:r>
          </w:p>
          <w:p w14:paraId="78DE2656" w14:textId="385585AA" w:rsidR="009A1A36" w:rsidRPr="0026420A" w:rsidRDefault="009A1A36" w:rsidP="00EC2519">
            <w:pPr>
              <w:tabs>
                <w:tab w:val="left" w:pos="1635"/>
              </w:tabs>
              <w:ind w:firstLine="0"/>
            </w:pPr>
            <w:r w:rsidRPr="0026420A">
              <w:t xml:space="preserve"> </w:t>
            </w:r>
          </w:p>
        </w:tc>
        <w:tc>
          <w:tcPr>
            <w:tcW w:w="5281" w:type="dxa"/>
            <w:tcMar>
              <w:top w:w="0" w:type="dxa"/>
              <w:left w:w="108" w:type="dxa"/>
              <w:bottom w:w="0" w:type="dxa"/>
              <w:right w:w="108" w:type="dxa"/>
            </w:tcMar>
          </w:tcPr>
          <w:p w14:paraId="4142788E" w14:textId="77777777" w:rsidR="009A1A36" w:rsidRPr="0026420A" w:rsidRDefault="009A1A36" w:rsidP="0082642C">
            <w:pPr>
              <w:ind w:firstLine="0"/>
              <w:rPr>
                <w:i/>
                <w:iCs/>
              </w:rPr>
            </w:pPr>
            <w:r w:rsidRPr="0026420A">
              <w:rPr>
                <w:b/>
                <w:bCs/>
                <w:i/>
                <w:iCs/>
              </w:rPr>
              <w:lastRenderedPageBreak/>
              <w:t>Se acceptă parțial.</w:t>
            </w:r>
          </w:p>
          <w:p w14:paraId="2E17C87D" w14:textId="77777777" w:rsidR="009A1A36" w:rsidRPr="0026420A" w:rsidRDefault="009A1A36" w:rsidP="0082642C">
            <w:pPr>
              <w:ind w:firstLine="0"/>
            </w:pPr>
            <w:r w:rsidRPr="0026420A">
              <w:t xml:space="preserve">Textul prevederii la art. 31 alin. (4) al proiectului de Lege, se va expune în următoarea redacție: </w:t>
            </w:r>
          </w:p>
          <w:p w14:paraId="7D71BC28" w14:textId="61732246" w:rsidR="009A1A36" w:rsidRPr="0026420A" w:rsidRDefault="009A1A36" w:rsidP="00CA5ED0">
            <w:pPr>
              <w:ind w:firstLine="0"/>
              <w:rPr>
                <w:i/>
                <w:iCs/>
              </w:rPr>
            </w:pPr>
            <w:r w:rsidRPr="0026420A">
              <w:rPr>
                <w:i/>
                <w:iCs/>
              </w:rPr>
              <w:t xml:space="preserve">„(4)Emitenții de </w:t>
            </w:r>
            <w:proofErr w:type="spellStart"/>
            <w:r w:rsidRPr="0026420A">
              <w:rPr>
                <w:i/>
                <w:iCs/>
              </w:rPr>
              <w:t>tokenuri</w:t>
            </w:r>
            <w:proofErr w:type="spellEnd"/>
            <w:r w:rsidRPr="0026420A">
              <w:rPr>
                <w:i/>
                <w:iCs/>
              </w:rPr>
              <w:t xml:space="preserve"> raportate la active analizează toate plângerile în timp util și în mod corect și le comunică deținătorilor de </w:t>
            </w:r>
            <w:proofErr w:type="spellStart"/>
            <w:r w:rsidRPr="0026420A">
              <w:rPr>
                <w:i/>
                <w:iCs/>
              </w:rPr>
              <w:t>tokenuri</w:t>
            </w:r>
            <w:proofErr w:type="spellEnd"/>
            <w:r w:rsidRPr="0026420A">
              <w:rPr>
                <w:i/>
                <w:iCs/>
              </w:rPr>
              <w:t xml:space="preserve"> raportate la active rezultatul acestor analize </w:t>
            </w:r>
            <w:r w:rsidRPr="0026420A">
              <w:rPr>
                <w:b/>
                <w:bCs/>
                <w:i/>
                <w:iCs/>
              </w:rPr>
              <w:t>într-un limbaj simplu și ușor de înțeles, în scris,</w:t>
            </w:r>
            <w:r w:rsidRPr="0026420A">
              <w:rPr>
                <w:i/>
                <w:iCs/>
              </w:rPr>
              <w:t xml:space="preserve"> într-un termen rezonabil, </w:t>
            </w:r>
            <w:r w:rsidRPr="0026420A">
              <w:rPr>
                <w:b/>
                <w:bCs/>
                <w:i/>
                <w:iCs/>
              </w:rPr>
              <w:t>fără a depăși 15 zile lucrătoare de la data primirii plângerii.</w:t>
            </w:r>
            <w:r w:rsidRPr="0026420A">
              <w:rPr>
                <w:i/>
                <w:iCs/>
              </w:rPr>
              <w:t xml:space="preserve"> În cazul în care, în situații excepționale, decizia cu privire la o plângere nu poate fi furnizată în termenul </w:t>
            </w:r>
            <w:r w:rsidRPr="0026420A">
              <w:rPr>
                <w:i/>
                <w:iCs/>
              </w:rPr>
              <w:lastRenderedPageBreak/>
              <w:t xml:space="preserve">prevăzut, emitenții de </w:t>
            </w:r>
            <w:proofErr w:type="spellStart"/>
            <w:r w:rsidRPr="0026420A">
              <w:rPr>
                <w:i/>
                <w:iCs/>
              </w:rPr>
              <w:t>tokenuri</w:t>
            </w:r>
            <w:proofErr w:type="spellEnd"/>
            <w:r w:rsidRPr="0026420A">
              <w:rPr>
                <w:i/>
                <w:iCs/>
              </w:rPr>
              <w:t xml:space="preserve"> raportate la active informează obligatoriu deținătorii de </w:t>
            </w:r>
            <w:proofErr w:type="spellStart"/>
            <w:r w:rsidRPr="0026420A">
              <w:rPr>
                <w:i/>
                <w:iCs/>
              </w:rPr>
              <w:t>tokenuri</w:t>
            </w:r>
            <w:proofErr w:type="spellEnd"/>
            <w:r w:rsidRPr="0026420A">
              <w:rPr>
                <w:i/>
                <w:iCs/>
              </w:rPr>
              <w:t xml:space="preserve"> raportate la active, fără întârzieri nejustificate, cu privire la motivele întârzierii și la data preconizată până la care va fi emisă decizia, dar care nu poate depăși 2 luni de la data primirii plângerii. În cazul în care decizia nu soluționează integral plângerea deținătorului, răspunsul include o explicație detaliată a poziției emitentului și indică posibilitatea adresării către mecanisme alternative de soluționare a litigiilor sau către autoritatea competentă potrivit legislației aplicabile.”</w:t>
            </w:r>
          </w:p>
        </w:tc>
      </w:tr>
      <w:tr w:rsidR="009A1A36" w:rsidRPr="0026420A" w14:paraId="77D63592" w14:textId="77777777" w:rsidTr="001F4857">
        <w:trPr>
          <w:trHeight w:val="300"/>
        </w:trPr>
        <w:tc>
          <w:tcPr>
            <w:tcW w:w="2206" w:type="dxa"/>
            <w:vMerge/>
            <w:tcMar>
              <w:top w:w="0" w:type="dxa"/>
              <w:left w:w="108" w:type="dxa"/>
              <w:bottom w:w="0" w:type="dxa"/>
              <w:right w:w="108" w:type="dxa"/>
            </w:tcMar>
          </w:tcPr>
          <w:p w14:paraId="0832F39A" w14:textId="77777777" w:rsidR="009A1A36" w:rsidRPr="0026420A" w:rsidRDefault="009A1A36" w:rsidP="00EC2519">
            <w:pPr>
              <w:ind w:firstLine="0"/>
              <w:jc w:val="left"/>
              <w:rPr>
                <w:b/>
                <w:bCs/>
              </w:rPr>
            </w:pPr>
          </w:p>
        </w:tc>
        <w:tc>
          <w:tcPr>
            <w:tcW w:w="579" w:type="dxa"/>
            <w:tcMar>
              <w:top w:w="0" w:type="dxa"/>
              <w:left w:w="108" w:type="dxa"/>
              <w:bottom w:w="0" w:type="dxa"/>
              <w:right w:w="108" w:type="dxa"/>
            </w:tcMar>
          </w:tcPr>
          <w:p w14:paraId="25B81AF0" w14:textId="77777777" w:rsidR="009A1A36" w:rsidRPr="0026420A" w:rsidRDefault="009A1A36" w:rsidP="00EC2519">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22EE2150" w14:textId="4D42FB7C" w:rsidR="009A1A36" w:rsidRPr="0026420A" w:rsidRDefault="009A1A36" w:rsidP="00EC2519">
            <w:pPr>
              <w:tabs>
                <w:tab w:val="left" w:pos="1635"/>
              </w:tabs>
              <w:ind w:firstLine="0"/>
            </w:pPr>
            <w:r w:rsidRPr="0026420A">
              <w:rPr>
                <w:b/>
                <w:bCs/>
              </w:rPr>
              <w:t xml:space="preserve">14. </w:t>
            </w:r>
            <w:r w:rsidRPr="0026420A">
              <w:t xml:space="preserve">La </w:t>
            </w:r>
            <w:r w:rsidRPr="0026420A">
              <w:rPr>
                <w:b/>
                <w:bCs/>
              </w:rPr>
              <w:t xml:space="preserve">art. 41 alin. (3) </w:t>
            </w:r>
            <w:r w:rsidRPr="0026420A">
              <w:t>textul „</w:t>
            </w:r>
            <w:r w:rsidRPr="0026420A">
              <w:rPr>
                <w:i/>
                <w:iCs/>
              </w:rPr>
              <w:t xml:space="preserve">cu </w:t>
            </w:r>
            <w:proofErr w:type="spellStart"/>
            <w:r w:rsidRPr="0026420A">
              <w:rPr>
                <w:i/>
                <w:iCs/>
              </w:rPr>
              <w:t>promtitudine</w:t>
            </w:r>
            <w:proofErr w:type="spellEnd"/>
            <w:r w:rsidRPr="0026420A">
              <w:rPr>
                <w:i/>
                <w:iCs/>
              </w:rPr>
              <w:t xml:space="preserve"> și, în orice caz,</w:t>
            </w:r>
            <w:r w:rsidRPr="0026420A">
              <w:t xml:space="preserve">” se exclude pentru asigurarea caracterului cert al normei. În același sens, la </w:t>
            </w:r>
            <w:r w:rsidRPr="0026420A">
              <w:rPr>
                <w:b/>
                <w:bCs/>
              </w:rPr>
              <w:t xml:space="preserve">art. 41 alin. (5) </w:t>
            </w:r>
            <w:r w:rsidRPr="0026420A">
              <w:t>textul „</w:t>
            </w:r>
            <w:r w:rsidRPr="0026420A">
              <w:rPr>
                <w:i/>
                <w:iCs/>
              </w:rPr>
              <w:t>înainte de finalizarea evaluării și, în orice caz,</w:t>
            </w:r>
            <w:r w:rsidRPr="0026420A">
              <w:t xml:space="preserve">” se va exclude. </w:t>
            </w:r>
          </w:p>
        </w:tc>
        <w:tc>
          <w:tcPr>
            <w:tcW w:w="5281" w:type="dxa"/>
            <w:tcMar>
              <w:top w:w="0" w:type="dxa"/>
              <w:left w:w="108" w:type="dxa"/>
              <w:bottom w:w="0" w:type="dxa"/>
              <w:right w:w="108" w:type="dxa"/>
            </w:tcMar>
          </w:tcPr>
          <w:p w14:paraId="02DF331D" w14:textId="77777777" w:rsidR="009A1A36" w:rsidRPr="0026420A" w:rsidRDefault="009A1A36" w:rsidP="00EC2519">
            <w:pPr>
              <w:ind w:firstLine="0"/>
            </w:pPr>
            <w:r w:rsidRPr="0026420A">
              <w:rPr>
                <w:b/>
                <w:bCs/>
              </w:rPr>
              <w:t>Nu se acceptă.</w:t>
            </w:r>
          </w:p>
          <w:p w14:paraId="2480AF6A" w14:textId="47B892F0" w:rsidR="009A1A36" w:rsidRPr="0026420A" w:rsidRDefault="009A1A36" w:rsidP="00EC2519">
            <w:pPr>
              <w:ind w:firstLine="0"/>
              <w:rPr>
                <w:i/>
                <w:iCs/>
              </w:rPr>
            </w:pPr>
            <w:r w:rsidRPr="0026420A">
              <w:t xml:space="preserve">Prevederile corespund transpunerii fidele din </w:t>
            </w:r>
            <w:proofErr w:type="spellStart"/>
            <w:r w:rsidRPr="0026420A">
              <w:t>MiCA</w:t>
            </w:r>
            <w:proofErr w:type="spellEnd"/>
            <w:r w:rsidRPr="0026420A">
              <w:t>.  Formulările „</w:t>
            </w:r>
            <w:r w:rsidRPr="0026420A">
              <w:rPr>
                <w:i/>
                <w:iCs/>
              </w:rPr>
              <w:t>cu promptitudine și, în orice caz</w:t>
            </w:r>
            <w:r w:rsidRPr="0026420A">
              <w:t>” și „</w:t>
            </w:r>
            <w:r w:rsidRPr="0026420A">
              <w:rPr>
                <w:i/>
                <w:iCs/>
              </w:rPr>
              <w:t>înainte de finalizarea evaluării și, în orice caz</w:t>
            </w:r>
            <w:r w:rsidRPr="0026420A">
              <w:t>” nu afectează caracterul cert al normei; dimpotrivă, îl consolidează și. stabilesc o obligație de diligență procedurală cumulată cu un termen maxim cert.</w:t>
            </w:r>
          </w:p>
        </w:tc>
      </w:tr>
      <w:tr w:rsidR="009A1A36" w:rsidRPr="0026420A" w14:paraId="612ED947" w14:textId="77777777" w:rsidTr="001F4857">
        <w:trPr>
          <w:trHeight w:val="300"/>
        </w:trPr>
        <w:tc>
          <w:tcPr>
            <w:tcW w:w="2206" w:type="dxa"/>
            <w:vMerge/>
            <w:tcMar>
              <w:top w:w="0" w:type="dxa"/>
              <w:left w:w="108" w:type="dxa"/>
              <w:bottom w:w="0" w:type="dxa"/>
              <w:right w:w="108" w:type="dxa"/>
            </w:tcMar>
          </w:tcPr>
          <w:p w14:paraId="1386DE26" w14:textId="77777777" w:rsidR="009A1A36" w:rsidRPr="0026420A" w:rsidRDefault="009A1A36" w:rsidP="00EC2519">
            <w:pPr>
              <w:ind w:firstLine="0"/>
              <w:jc w:val="left"/>
              <w:rPr>
                <w:b/>
                <w:bCs/>
              </w:rPr>
            </w:pPr>
          </w:p>
        </w:tc>
        <w:tc>
          <w:tcPr>
            <w:tcW w:w="579" w:type="dxa"/>
            <w:tcMar>
              <w:top w:w="0" w:type="dxa"/>
              <w:left w:w="108" w:type="dxa"/>
              <w:bottom w:w="0" w:type="dxa"/>
              <w:right w:w="108" w:type="dxa"/>
            </w:tcMar>
          </w:tcPr>
          <w:p w14:paraId="38050D3B" w14:textId="77777777" w:rsidR="009A1A36" w:rsidRPr="0026420A" w:rsidRDefault="009A1A36" w:rsidP="00EC2519">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34D95777" w14:textId="3A3FDE58" w:rsidR="009A1A36" w:rsidRPr="0026420A" w:rsidRDefault="009A1A36" w:rsidP="001B05A3">
            <w:pPr>
              <w:ind w:firstLine="0"/>
            </w:pPr>
            <w:r w:rsidRPr="0026420A">
              <w:rPr>
                <w:b/>
                <w:bCs/>
              </w:rPr>
              <w:t xml:space="preserve">15. </w:t>
            </w:r>
            <w:r w:rsidRPr="0026420A">
              <w:t xml:space="preserve">La </w:t>
            </w:r>
            <w:r w:rsidRPr="0026420A">
              <w:rPr>
                <w:b/>
                <w:bCs/>
              </w:rPr>
              <w:t xml:space="preserve">art. 41 alin. (5), </w:t>
            </w:r>
            <w:r w:rsidRPr="0026420A">
              <w:t>paragraful 2 și 3 se vor expune în următoarea redacție: „</w:t>
            </w:r>
            <w:r w:rsidRPr="0026420A">
              <w:rPr>
                <w:i/>
                <w:iCs/>
              </w:rPr>
              <w:t>Perioada de evaluare menționată la alin. (4) se suspendă de drept de la data expedierii de către Comisia Națională a solicitării de furnizare a informațiilor suplimentare , până la data recepționării acestora. Durata suspendării nu poate depăși 20 de zile lucrătoare. Orice altă solicitare de către Comisia Națională a unor informații suplimentare sau a unor clarificări privind informațiile primite nu duce la o nouă suspendare a perioadei de evaluare. Durata suspendării nu poate depăși 30 de zile lucrătoare, în cazul în care achizitorul potențial este situat în afara Republicii Moldova sau este reglementat de dreptul unei țări terțe.</w:t>
            </w:r>
            <w:r w:rsidRPr="0026420A">
              <w:t xml:space="preserve">” </w:t>
            </w:r>
          </w:p>
        </w:tc>
        <w:tc>
          <w:tcPr>
            <w:tcW w:w="5281" w:type="dxa"/>
            <w:tcMar>
              <w:top w:w="0" w:type="dxa"/>
              <w:left w:w="108" w:type="dxa"/>
              <w:bottom w:w="0" w:type="dxa"/>
              <w:right w:w="108" w:type="dxa"/>
            </w:tcMar>
          </w:tcPr>
          <w:p w14:paraId="52DAAE36" w14:textId="77777777" w:rsidR="009A1A36" w:rsidRPr="0026420A" w:rsidRDefault="009A1A36" w:rsidP="00EC2519">
            <w:pPr>
              <w:ind w:firstLine="0"/>
              <w:rPr>
                <w:b/>
                <w:bCs/>
              </w:rPr>
            </w:pPr>
            <w:r w:rsidRPr="0026420A">
              <w:rPr>
                <w:b/>
                <w:bCs/>
              </w:rPr>
              <w:t>Se acceptă parțial.</w:t>
            </w:r>
          </w:p>
          <w:p w14:paraId="2A5A2E20" w14:textId="77777777" w:rsidR="009A1A36" w:rsidRPr="0026420A" w:rsidRDefault="009A1A36" w:rsidP="00EC2519">
            <w:pPr>
              <w:ind w:firstLine="0"/>
            </w:pPr>
            <w:r w:rsidRPr="0026420A">
              <w:t>La art. 41 alin. (5), paragraful 2 și 3 se vor expune în următoarea redacție:</w:t>
            </w:r>
          </w:p>
          <w:p w14:paraId="10FD5191" w14:textId="60A859AA" w:rsidR="009A1A36" w:rsidRPr="0026420A" w:rsidRDefault="009A1A36" w:rsidP="0082642C">
            <w:pPr>
              <w:ind w:firstLine="0"/>
            </w:pPr>
            <w:r w:rsidRPr="0026420A">
              <w:rPr>
                <w:i/>
                <w:iCs/>
              </w:rPr>
              <w:t>„Perioada de evaluare menționată la alin. (4) se suspendă de drept de la data transmiterii de către Comisia Națională a solicitării de furnizare a informațiilor suplimentare până la data recepționării acestora. Durata suspendării nu poate depăși 20 de zile lucrătoare, iar în cazul în care achizitorul potențial este situat în afara Republicii Moldova sau este reglementat de dreptul unei țări terțe, durata suspendării nu poate depăși 30 de zile lucrătoare. Orice altă solicitare de către Comisia Națională a unor informații suplimentare sau a unor clarificări privind informațiile primite nu duce la o nouă suspendare a perioadei de evaluare.”</w:t>
            </w:r>
          </w:p>
        </w:tc>
      </w:tr>
      <w:tr w:rsidR="009A1A36" w:rsidRPr="0026420A" w14:paraId="2CC70151" w14:textId="77777777" w:rsidTr="001F4857">
        <w:trPr>
          <w:trHeight w:val="300"/>
        </w:trPr>
        <w:tc>
          <w:tcPr>
            <w:tcW w:w="2206" w:type="dxa"/>
            <w:vMerge/>
            <w:tcMar>
              <w:top w:w="0" w:type="dxa"/>
              <w:left w:w="108" w:type="dxa"/>
              <w:bottom w:w="0" w:type="dxa"/>
              <w:right w:w="108" w:type="dxa"/>
            </w:tcMar>
          </w:tcPr>
          <w:p w14:paraId="7940F5D9" w14:textId="77777777" w:rsidR="009A1A36" w:rsidRPr="0026420A" w:rsidRDefault="009A1A36" w:rsidP="00EC2519">
            <w:pPr>
              <w:ind w:firstLine="0"/>
              <w:jc w:val="left"/>
              <w:rPr>
                <w:b/>
                <w:bCs/>
              </w:rPr>
            </w:pPr>
          </w:p>
        </w:tc>
        <w:tc>
          <w:tcPr>
            <w:tcW w:w="579" w:type="dxa"/>
            <w:tcMar>
              <w:top w:w="0" w:type="dxa"/>
              <w:left w:w="108" w:type="dxa"/>
              <w:bottom w:w="0" w:type="dxa"/>
              <w:right w:w="108" w:type="dxa"/>
            </w:tcMar>
          </w:tcPr>
          <w:p w14:paraId="4C247420" w14:textId="77777777" w:rsidR="009A1A36" w:rsidRPr="0026420A" w:rsidRDefault="009A1A36" w:rsidP="00EC2519">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2D87D7DA" w14:textId="3FBA4AEF" w:rsidR="009A1A36" w:rsidRPr="0026420A" w:rsidRDefault="009A1A36" w:rsidP="00EC2519">
            <w:pPr>
              <w:tabs>
                <w:tab w:val="left" w:pos="1635"/>
              </w:tabs>
              <w:ind w:firstLine="0"/>
            </w:pPr>
            <w:r w:rsidRPr="0026420A">
              <w:rPr>
                <w:b/>
                <w:bCs/>
              </w:rPr>
              <w:t xml:space="preserve">16. </w:t>
            </w:r>
            <w:r w:rsidRPr="0026420A">
              <w:t xml:space="preserve">La </w:t>
            </w:r>
            <w:r w:rsidRPr="0026420A">
              <w:rPr>
                <w:b/>
                <w:bCs/>
              </w:rPr>
              <w:t xml:space="preserve">art. 41 alin. (6) </w:t>
            </w:r>
            <w:r w:rsidRPr="0026420A">
              <w:t>se va expune în următoarea redacție: „</w:t>
            </w:r>
            <w:r w:rsidRPr="0026420A">
              <w:rPr>
                <w:i/>
                <w:iCs/>
              </w:rPr>
              <w:t>În cazul în care, la finalizarea evaluării menționate la alin. (4), Comisia Națională decide să se opună propunerii de achiziție menționate la alin. (1), aceasta aprobă o decizie motivată în scris, care se comunică achizitorului potențial în termen de două zile lucrătoare de la data aprobării, dar nu mai târziu de expirarea termenului prevăzut la alin. (4), care este prelungit, dacă este cazul, în conformitate cu alin. (5).</w:t>
            </w:r>
            <w:r w:rsidRPr="0026420A">
              <w:t xml:space="preserve">”. </w:t>
            </w:r>
          </w:p>
        </w:tc>
        <w:tc>
          <w:tcPr>
            <w:tcW w:w="5281" w:type="dxa"/>
            <w:tcMar>
              <w:top w:w="0" w:type="dxa"/>
              <w:left w:w="108" w:type="dxa"/>
              <w:bottom w:w="0" w:type="dxa"/>
              <w:right w:w="108" w:type="dxa"/>
            </w:tcMar>
          </w:tcPr>
          <w:p w14:paraId="79DFAAFE" w14:textId="77777777" w:rsidR="009A1A36" w:rsidRPr="0026420A" w:rsidRDefault="009A1A36" w:rsidP="00EC2519">
            <w:pPr>
              <w:ind w:firstLine="0"/>
              <w:rPr>
                <w:b/>
                <w:bCs/>
              </w:rPr>
            </w:pPr>
            <w:r w:rsidRPr="0026420A">
              <w:rPr>
                <w:b/>
                <w:bCs/>
              </w:rPr>
              <w:t>Se acceptă.</w:t>
            </w:r>
          </w:p>
          <w:p w14:paraId="14AFC06C" w14:textId="77777777" w:rsidR="009A1A36" w:rsidRPr="0026420A" w:rsidRDefault="009A1A36" w:rsidP="00EC2519">
            <w:pPr>
              <w:ind w:firstLine="0"/>
            </w:pPr>
            <w:r w:rsidRPr="0026420A">
              <w:t xml:space="preserve">Textul prevederii la art. 41 alin. (6) al proiectului de Lege, </w:t>
            </w:r>
            <w:r w:rsidRPr="0026420A">
              <w:rPr>
                <w:b/>
                <w:bCs/>
              </w:rPr>
              <w:t xml:space="preserve"> </w:t>
            </w:r>
            <w:r w:rsidRPr="0026420A">
              <w:t xml:space="preserve">se va expune în următoarea redacție: </w:t>
            </w:r>
          </w:p>
          <w:p w14:paraId="4F709312" w14:textId="3575A34F" w:rsidR="009A1A36" w:rsidRPr="0026420A" w:rsidRDefault="009A1A36" w:rsidP="00EC2519">
            <w:pPr>
              <w:ind w:firstLine="0"/>
              <w:rPr>
                <w:b/>
                <w:bCs/>
              </w:rPr>
            </w:pPr>
            <w:r w:rsidRPr="0026420A">
              <w:t>„</w:t>
            </w:r>
            <w:r w:rsidRPr="0026420A">
              <w:rPr>
                <w:i/>
                <w:iCs/>
              </w:rPr>
              <w:t xml:space="preserve">În cazul în care, la finalizarea evaluării menționate la alin. (4), Comisia Națională decide să se opună propunerii de achiziție menționate la alin. (1), aceasta </w:t>
            </w:r>
            <w:r w:rsidRPr="0026420A">
              <w:rPr>
                <w:b/>
                <w:bCs/>
                <w:i/>
                <w:iCs/>
              </w:rPr>
              <w:t>adoptă o decizie motivată în scris, care se comunică</w:t>
            </w:r>
            <w:r w:rsidRPr="0026420A">
              <w:rPr>
                <w:i/>
                <w:iCs/>
              </w:rPr>
              <w:t xml:space="preserve"> achizitorului potențial în termen de două zile lucrătoare </w:t>
            </w:r>
            <w:r w:rsidRPr="0026420A">
              <w:rPr>
                <w:b/>
                <w:bCs/>
                <w:i/>
                <w:iCs/>
              </w:rPr>
              <w:t>de la data adoptării</w:t>
            </w:r>
            <w:r w:rsidRPr="0026420A">
              <w:rPr>
                <w:i/>
                <w:iCs/>
              </w:rPr>
              <w:t xml:space="preserve">, și, în orice caz, înainte de data </w:t>
            </w:r>
            <w:r w:rsidRPr="0026420A">
              <w:rPr>
                <w:b/>
                <w:bCs/>
                <w:i/>
                <w:iCs/>
              </w:rPr>
              <w:t>de expirare a perioadei de evaluare</w:t>
            </w:r>
            <w:r w:rsidRPr="0026420A">
              <w:rPr>
                <w:i/>
                <w:iCs/>
              </w:rPr>
              <w:t xml:space="preserve"> menționată la alin. (4), care este prelungită, dacă este cazul, cu termenele în conformitate cu alin. (5).”</w:t>
            </w:r>
          </w:p>
        </w:tc>
      </w:tr>
      <w:tr w:rsidR="009A1A36" w:rsidRPr="0026420A" w14:paraId="486C6429" w14:textId="77777777" w:rsidTr="001F4857">
        <w:trPr>
          <w:trHeight w:val="300"/>
        </w:trPr>
        <w:tc>
          <w:tcPr>
            <w:tcW w:w="2206" w:type="dxa"/>
            <w:vMerge/>
            <w:tcMar>
              <w:top w:w="0" w:type="dxa"/>
              <w:left w:w="108" w:type="dxa"/>
              <w:bottom w:w="0" w:type="dxa"/>
              <w:right w:w="108" w:type="dxa"/>
            </w:tcMar>
          </w:tcPr>
          <w:p w14:paraId="118D0C38" w14:textId="77777777" w:rsidR="009A1A36" w:rsidRPr="0026420A" w:rsidRDefault="009A1A36" w:rsidP="00EC2519">
            <w:pPr>
              <w:ind w:firstLine="0"/>
              <w:jc w:val="left"/>
              <w:rPr>
                <w:b/>
                <w:bCs/>
              </w:rPr>
            </w:pPr>
          </w:p>
        </w:tc>
        <w:tc>
          <w:tcPr>
            <w:tcW w:w="579" w:type="dxa"/>
            <w:tcMar>
              <w:top w:w="0" w:type="dxa"/>
              <w:left w:w="108" w:type="dxa"/>
              <w:bottom w:w="0" w:type="dxa"/>
              <w:right w:w="108" w:type="dxa"/>
            </w:tcMar>
          </w:tcPr>
          <w:p w14:paraId="6B1A81AE" w14:textId="77777777" w:rsidR="009A1A36" w:rsidRPr="0026420A" w:rsidRDefault="009A1A36" w:rsidP="00EC2519">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0E4EFAE7" w14:textId="77777777" w:rsidR="009A1A36" w:rsidRPr="0026420A" w:rsidRDefault="009A1A36" w:rsidP="00465453">
            <w:pPr>
              <w:tabs>
                <w:tab w:val="left" w:pos="1635"/>
              </w:tabs>
              <w:ind w:firstLine="0"/>
            </w:pPr>
            <w:r w:rsidRPr="0026420A">
              <w:rPr>
                <w:b/>
                <w:bCs/>
              </w:rPr>
              <w:t xml:space="preserve">17. </w:t>
            </w:r>
            <w:r w:rsidRPr="0026420A">
              <w:t xml:space="preserve">La </w:t>
            </w:r>
            <w:r w:rsidRPr="0026420A">
              <w:rPr>
                <w:b/>
                <w:bCs/>
              </w:rPr>
              <w:t xml:space="preserve">art. 54 alin. (8) </w:t>
            </w:r>
            <w:r w:rsidRPr="0026420A">
              <w:t xml:space="preserve">textul „ </w:t>
            </w:r>
            <w:r w:rsidRPr="0026420A">
              <w:rPr>
                <w:i/>
                <w:iCs/>
              </w:rPr>
              <w:t>sau cel târziu până la sfârșitul următoarei zile lucrătoare</w:t>
            </w:r>
            <w:r w:rsidRPr="0026420A">
              <w:t>” se va exclude, în acord cu prevederile Regulamentului și obiecțiilor expuse ante la art. 20. Totodată, paragraful 2 se va expune în următoarea redacție: „</w:t>
            </w:r>
            <w:r w:rsidRPr="0026420A">
              <w:rPr>
                <w:i/>
                <w:iCs/>
              </w:rPr>
              <w:t>Termenul pentru furnizarea oricăror informații care lipsesc nu depășește 20 de zile lucrătoare de la data solicitării. Comisia Națională informează entitatea notificatoare atunci când cererea este considerată completă. Până la expirarea acestui termen, fiecare termen prevăzut la alin. (1)-(6) se suspendă de drept. Orice solicitare suplimentară formulată de autoritatea competentă în vederea completării sau clarificării informațiilor este la discreția acesteia, dar nu duce la suspendarea niciunui termen prevăzut la alin. (1)-(6). În cazul în care entitatea notificatoare nu prezintă informațiile solicitate în termenul stabilit, Comisia Națională o informează despre constatarea renunțării tacite la notificare.</w:t>
            </w:r>
            <w:r w:rsidRPr="0026420A">
              <w:t xml:space="preserve">”. </w:t>
            </w:r>
          </w:p>
          <w:p w14:paraId="72EDD908" w14:textId="7D06F0C0" w:rsidR="009A1A36" w:rsidRPr="0026420A" w:rsidRDefault="009A1A36" w:rsidP="00EC2519">
            <w:pPr>
              <w:tabs>
                <w:tab w:val="left" w:pos="1635"/>
              </w:tabs>
              <w:ind w:firstLine="0"/>
            </w:pPr>
          </w:p>
        </w:tc>
        <w:tc>
          <w:tcPr>
            <w:tcW w:w="5281" w:type="dxa"/>
            <w:tcMar>
              <w:top w:w="0" w:type="dxa"/>
              <w:left w:w="108" w:type="dxa"/>
              <w:bottom w:w="0" w:type="dxa"/>
              <w:right w:w="108" w:type="dxa"/>
            </w:tcMar>
          </w:tcPr>
          <w:p w14:paraId="109EFA1C" w14:textId="77777777" w:rsidR="009A1A36" w:rsidRPr="0026420A" w:rsidRDefault="009A1A36" w:rsidP="00B8705F">
            <w:pPr>
              <w:ind w:firstLine="0"/>
              <w:rPr>
                <w:i/>
                <w:iCs/>
              </w:rPr>
            </w:pPr>
            <w:r w:rsidRPr="0026420A">
              <w:rPr>
                <w:b/>
                <w:bCs/>
              </w:rPr>
              <w:t>Se acceptă parțial.</w:t>
            </w:r>
          </w:p>
          <w:p w14:paraId="6B62EBB5" w14:textId="388535E7" w:rsidR="00DC567E" w:rsidRPr="0026420A" w:rsidRDefault="00DC567E" w:rsidP="00465453">
            <w:pPr>
              <w:ind w:firstLine="0"/>
              <w:rPr>
                <w:iCs/>
              </w:rPr>
            </w:pPr>
            <w:r w:rsidRPr="0026420A">
              <w:rPr>
                <w:iCs/>
              </w:rPr>
              <w:t>Se ajustează textul prevederii în partea ce vizează clarificarea aspectelor procedurale ale notificării. Nu se acceptă eliminarea sintagmei „sau cel târziu până la sfârșitul următoarei zile lucrătoare”, întrucât aceasta prevede un termen de notificare mai precis și determinabil.</w:t>
            </w:r>
          </w:p>
          <w:p w14:paraId="65041D75" w14:textId="391EBDC4" w:rsidR="009A1A36" w:rsidRPr="0026420A" w:rsidRDefault="009A1A36" w:rsidP="00465453">
            <w:pPr>
              <w:ind w:firstLine="0"/>
            </w:pPr>
            <w:r w:rsidRPr="0026420A">
              <w:t xml:space="preserve">Textul prevederii la art. 54 alin. (8) al proiectului de Lege, </w:t>
            </w:r>
            <w:r w:rsidRPr="0026420A">
              <w:rPr>
                <w:b/>
                <w:bCs/>
              </w:rPr>
              <w:t xml:space="preserve"> </w:t>
            </w:r>
            <w:r w:rsidRPr="0026420A">
              <w:t xml:space="preserve">se va expune în următoarea redacție: </w:t>
            </w:r>
          </w:p>
          <w:p w14:paraId="69EAEF16" w14:textId="77777777" w:rsidR="009A1A36" w:rsidRPr="0026420A" w:rsidRDefault="009A1A36" w:rsidP="00B8705F">
            <w:pPr>
              <w:ind w:firstLine="0"/>
              <w:rPr>
                <w:i/>
                <w:iCs/>
              </w:rPr>
            </w:pPr>
            <w:r w:rsidRPr="0026420A">
              <w:t>(</w:t>
            </w:r>
            <w:r w:rsidRPr="0026420A">
              <w:rPr>
                <w:i/>
                <w:iCs/>
              </w:rPr>
              <w:t>8)Comisia Națională primește notificarea, astfel cum se menționează la alin. (1)-(6), și o evaluează, în termen de 20 de zile lucrătoare de la primirea acesteia, dacă au fost furnizate toate informațiile menționate la alin. (7). În cazul în care Comisia Națională ajunge la concluzia că o notificare nu este completă, aceasta informează imediat sau cel târziu până la sfârșitul următoarei zile lucrătoare, entitatea notificatoare în acest sens și stabilește un termen până la care entitatea respectivă trebuie să furnizeze informațiile care lipsesc.</w:t>
            </w:r>
          </w:p>
          <w:p w14:paraId="29AC0C9B" w14:textId="74E31A2C" w:rsidR="009A1A36" w:rsidRPr="0026420A" w:rsidRDefault="009A1A36" w:rsidP="00ED072A">
            <w:pPr>
              <w:ind w:firstLine="0"/>
              <w:rPr>
                <w:i/>
                <w:iCs/>
              </w:rPr>
            </w:pPr>
            <w:r w:rsidRPr="0026420A">
              <w:rPr>
                <w:i/>
                <w:iCs/>
              </w:rPr>
              <w:t xml:space="preserve">Termenul </w:t>
            </w:r>
            <w:r w:rsidRPr="0026420A">
              <w:rPr>
                <w:b/>
                <w:bCs/>
                <w:i/>
                <w:iCs/>
              </w:rPr>
              <w:t>stabilit</w:t>
            </w:r>
            <w:r w:rsidRPr="0026420A">
              <w:rPr>
                <w:i/>
                <w:iCs/>
              </w:rPr>
              <w:t xml:space="preserve"> pentru furnizarea oricăror informații care lipsesc nu depășește 20 de zile lucrătoare de la data solicitării. Până la expirarea acestui termen, fiecare termen prevăzut la alin. (1)-(6) se suspendă de drept. Orice solicitare suplimentară formulată de </w:t>
            </w:r>
            <w:r w:rsidRPr="0026420A">
              <w:rPr>
                <w:b/>
                <w:bCs/>
                <w:i/>
                <w:iCs/>
              </w:rPr>
              <w:t>Comisia Națională</w:t>
            </w:r>
            <w:r w:rsidRPr="0026420A">
              <w:rPr>
                <w:i/>
                <w:iCs/>
              </w:rPr>
              <w:t xml:space="preserve"> în vederea completării sau clarificării informațiilor este la discreția acesteia, dar nu duce la suspendarea niciunui termen prevăzut la alin. (1)-(6). </w:t>
            </w:r>
            <w:r w:rsidRPr="0026420A">
              <w:rPr>
                <w:b/>
                <w:bCs/>
                <w:i/>
                <w:iCs/>
              </w:rPr>
              <w:t>După primirea informațiilor necesare și constatarea caracterului complet al notificării, Comisia Națională informează entitatea notificatoare în acest sens. În cazul în care entitatea notificatoare nu prezintă informațiile solicitate în termenul stabilit și nu există temeiuri de repunere în termen, Comisia Națională poate constata renunțarea tacită la notificare și informează entitatea notificatoare în acest sens. Informațiile prezentate după expirarea termenului nu sunt luate în considerare în cadrul notificării respective.”</w:t>
            </w:r>
          </w:p>
        </w:tc>
      </w:tr>
      <w:tr w:rsidR="009A1A36" w:rsidRPr="0026420A" w14:paraId="57B6EA55" w14:textId="77777777" w:rsidTr="001F4857">
        <w:trPr>
          <w:trHeight w:val="300"/>
        </w:trPr>
        <w:tc>
          <w:tcPr>
            <w:tcW w:w="2206" w:type="dxa"/>
            <w:vMerge/>
            <w:tcMar>
              <w:top w:w="0" w:type="dxa"/>
              <w:left w:w="108" w:type="dxa"/>
              <w:bottom w:w="0" w:type="dxa"/>
              <w:right w:w="108" w:type="dxa"/>
            </w:tcMar>
          </w:tcPr>
          <w:p w14:paraId="083ABF23" w14:textId="77777777" w:rsidR="009A1A36" w:rsidRPr="0026420A" w:rsidRDefault="009A1A36" w:rsidP="00EC2519">
            <w:pPr>
              <w:ind w:firstLine="0"/>
              <w:jc w:val="left"/>
              <w:rPr>
                <w:b/>
                <w:bCs/>
              </w:rPr>
            </w:pPr>
          </w:p>
        </w:tc>
        <w:tc>
          <w:tcPr>
            <w:tcW w:w="579" w:type="dxa"/>
            <w:tcMar>
              <w:top w:w="0" w:type="dxa"/>
              <w:left w:w="108" w:type="dxa"/>
              <w:bottom w:w="0" w:type="dxa"/>
              <w:right w:w="108" w:type="dxa"/>
            </w:tcMar>
          </w:tcPr>
          <w:p w14:paraId="50C359E9" w14:textId="77777777" w:rsidR="009A1A36" w:rsidRPr="0026420A" w:rsidRDefault="009A1A36" w:rsidP="00EC2519">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715D2253" w14:textId="476FFB80" w:rsidR="009A1A36" w:rsidRPr="0026420A" w:rsidRDefault="009A1A36" w:rsidP="00EC2519">
            <w:pPr>
              <w:tabs>
                <w:tab w:val="left" w:pos="1635"/>
              </w:tabs>
              <w:ind w:firstLine="0"/>
            </w:pPr>
            <w:r w:rsidRPr="0026420A">
              <w:rPr>
                <w:b/>
                <w:bCs/>
              </w:rPr>
              <w:t xml:space="preserve">18. Art. 54 alin. (12) </w:t>
            </w:r>
            <w:r w:rsidRPr="0026420A">
              <w:t>se va completa la final cu textul „</w:t>
            </w:r>
            <w:r w:rsidRPr="0026420A">
              <w:rPr>
                <w:i/>
                <w:iCs/>
              </w:rPr>
              <w:t>În cazul în care Serviciul Prevenirea și Combaterea Spălării Banilor nu furnizează un răspuns în termenul indicate, se prezumă lipsa deținerii informațiilor relevante sau emiterea tacită a avizului.</w:t>
            </w:r>
            <w:r w:rsidRPr="0026420A">
              <w:t xml:space="preserve">”. </w:t>
            </w:r>
          </w:p>
        </w:tc>
        <w:tc>
          <w:tcPr>
            <w:tcW w:w="5281" w:type="dxa"/>
            <w:tcMar>
              <w:top w:w="0" w:type="dxa"/>
              <w:left w:w="108" w:type="dxa"/>
              <w:bottom w:w="0" w:type="dxa"/>
              <w:right w:w="108" w:type="dxa"/>
            </w:tcMar>
          </w:tcPr>
          <w:p w14:paraId="403BC9DD" w14:textId="77777777" w:rsidR="009A1A36" w:rsidRPr="0026420A" w:rsidRDefault="009A1A36" w:rsidP="00EC2519">
            <w:pPr>
              <w:ind w:firstLine="0"/>
              <w:rPr>
                <w:b/>
                <w:bCs/>
              </w:rPr>
            </w:pPr>
            <w:r w:rsidRPr="0026420A">
              <w:rPr>
                <w:b/>
                <w:bCs/>
              </w:rPr>
              <w:t>Nu se acceptă.</w:t>
            </w:r>
          </w:p>
          <w:p w14:paraId="1CFAAC76" w14:textId="50BBF0AF" w:rsidR="009A1A36" w:rsidRPr="0026420A" w:rsidRDefault="009A1A36" w:rsidP="00387674">
            <w:pPr>
              <w:ind w:firstLine="0"/>
              <w:rPr>
                <w:b/>
                <w:bCs/>
              </w:rPr>
            </w:pPr>
            <w:r w:rsidRPr="0026420A">
              <w:t xml:space="preserve">Instituirea unei prezumții legale potrivit căreia lipsa unui răspuns al Serviciului Prevenirea și Combaterea Spălării Banilor în termenul stabilit echivalează cu lipsa deținerii informațiilor relevante sau cu emiterea tacită a unui aviz nu este oportună. Lipsa unui răspuns în termen nu poate fi calificată, prin efectul legii, ca inexistență a informațiilor relevante și nu </w:t>
            </w:r>
            <w:r w:rsidRPr="0026420A">
              <w:lastRenderedPageBreak/>
              <w:t>poate substitui evaluarea specializată a riscurilor de spălare a banilor și finanțare a terorismului.</w:t>
            </w:r>
          </w:p>
        </w:tc>
      </w:tr>
      <w:tr w:rsidR="009A1A36" w:rsidRPr="0026420A" w14:paraId="5BB5CE39" w14:textId="77777777" w:rsidTr="001F4857">
        <w:trPr>
          <w:trHeight w:val="300"/>
        </w:trPr>
        <w:tc>
          <w:tcPr>
            <w:tcW w:w="2206" w:type="dxa"/>
            <w:vMerge/>
            <w:tcMar>
              <w:top w:w="0" w:type="dxa"/>
              <w:left w:w="108" w:type="dxa"/>
              <w:bottom w:w="0" w:type="dxa"/>
              <w:right w:w="108" w:type="dxa"/>
            </w:tcMar>
          </w:tcPr>
          <w:p w14:paraId="49A016C2" w14:textId="77777777" w:rsidR="009A1A36" w:rsidRPr="0026420A" w:rsidRDefault="009A1A36" w:rsidP="00EC2519">
            <w:pPr>
              <w:ind w:firstLine="0"/>
              <w:jc w:val="left"/>
              <w:rPr>
                <w:b/>
                <w:bCs/>
              </w:rPr>
            </w:pPr>
          </w:p>
        </w:tc>
        <w:tc>
          <w:tcPr>
            <w:tcW w:w="579" w:type="dxa"/>
            <w:tcMar>
              <w:top w:w="0" w:type="dxa"/>
              <w:left w:w="108" w:type="dxa"/>
              <w:bottom w:w="0" w:type="dxa"/>
              <w:right w:w="108" w:type="dxa"/>
            </w:tcMar>
          </w:tcPr>
          <w:p w14:paraId="1D95DB2F" w14:textId="77777777" w:rsidR="009A1A36" w:rsidRPr="0026420A" w:rsidRDefault="009A1A36" w:rsidP="00EC2519">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19065139" w14:textId="7C864125" w:rsidR="009A1A36" w:rsidRPr="0026420A" w:rsidRDefault="009A1A36" w:rsidP="00647EF3">
            <w:pPr>
              <w:tabs>
                <w:tab w:val="left" w:pos="1635"/>
              </w:tabs>
              <w:ind w:firstLine="0"/>
            </w:pPr>
            <w:r w:rsidRPr="0026420A">
              <w:rPr>
                <w:b/>
                <w:bCs/>
              </w:rPr>
              <w:t xml:space="preserve">19. </w:t>
            </w:r>
            <w:r w:rsidRPr="0026420A">
              <w:t xml:space="preserve">La </w:t>
            </w:r>
            <w:r w:rsidRPr="0026420A">
              <w:rPr>
                <w:b/>
                <w:bCs/>
              </w:rPr>
              <w:t xml:space="preserve">art. 54 alin. (13) lit. b) </w:t>
            </w:r>
            <w:r w:rsidRPr="0026420A">
              <w:t>după textul „</w:t>
            </w:r>
            <w:r w:rsidRPr="0026420A">
              <w:rPr>
                <w:i/>
                <w:iCs/>
              </w:rPr>
              <w:t>alin. (1)-(6)</w:t>
            </w:r>
            <w:r w:rsidRPr="0026420A">
              <w:t>” se va completa cu textul „</w:t>
            </w:r>
            <w:r w:rsidRPr="0026420A">
              <w:rPr>
                <w:i/>
                <w:iCs/>
              </w:rPr>
              <w:t>cu indicarea motivelor de refuz,</w:t>
            </w:r>
            <w:r w:rsidRPr="0026420A">
              <w:t xml:space="preserve">”. </w:t>
            </w:r>
          </w:p>
        </w:tc>
        <w:tc>
          <w:tcPr>
            <w:tcW w:w="5281" w:type="dxa"/>
            <w:tcMar>
              <w:top w:w="0" w:type="dxa"/>
              <w:left w:w="108" w:type="dxa"/>
              <w:bottom w:w="0" w:type="dxa"/>
              <w:right w:w="108" w:type="dxa"/>
            </w:tcMar>
          </w:tcPr>
          <w:p w14:paraId="145A2EB9" w14:textId="77777777" w:rsidR="009A1A36" w:rsidRPr="0026420A" w:rsidRDefault="009A1A36" w:rsidP="00EC2519">
            <w:pPr>
              <w:ind w:firstLine="0"/>
            </w:pPr>
            <w:r w:rsidRPr="0026420A">
              <w:rPr>
                <w:b/>
                <w:bCs/>
              </w:rPr>
              <w:t>Se acceptă.</w:t>
            </w:r>
          </w:p>
          <w:p w14:paraId="2266C58F" w14:textId="62BF28E6" w:rsidR="009A1A36" w:rsidRPr="0026420A" w:rsidRDefault="009A1A36" w:rsidP="00B8705F">
            <w:pPr>
              <w:ind w:firstLine="0"/>
              <w:rPr>
                <w:i/>
                <w:iCs/>
              </w:rPr>
            </w:pPr>
            <w:r w:rsidRPr="0026420A">
              <w:t>Textul prevederii la art. 54 alin. (13) lit. b</w:t>
            </w:r>
            <w:r w:rsidRPr="0026420A">
              <w:rPr>
                <w:b/>
                <w:bCs/>
              </w:rPr>
              <w:t xml:space="preserve">) </w:t>
            </w:r>
            <w:r w:rsidRPr="0026420A">
              <w:t>al proiectului de Lege,</w:t>
            </w:r>
            <w:r w:rsidRPr="0026420A">
              <w:rPr>
                <w:b/>
                <w:bCs/>
              </w:rPr>
              <w:t xml:space="preserve"> </w:t>
            </w:r>
            <w:r w:rsidRPr="0026420A">
              <w:t>după textul „</w:t>
            </w:r>
            <w:r w:rsidRPr="0026420A">
              <w:rPr>
                <w:i/>
                <w:iCs/>
              </w:rPr>
              <w:t>alin. (1)-(6)</w:t>
            </w:r>
            <w:r w:rsidRPr="0026420A">
              <w:t>” se completează cu textul „</w:t>
            </w:r>
            <w:r w:rsidRPr="0026420A">
              <w:rPr>
                <w:i/>
                <w:iCs/>
              </w:rPr>
              <w:t>cu indicarea motivelor de refuz,</w:t>
            </w:r>
            <w:r w:rsidRPr="0026420A">
              <w:t>” (urmare a ajustărilor – se regăsește la art. 54 alin. (14) lit. b).</w:t>
            </w:r>
          </w:p>
        </w:tc>
      </w:tr>
      <w:tr w:rsidR="009A1A36" w:rsidRPr="0026420A" w14:paraId="42460D20" w14:textId="77777777" w:rsidTr="001F4857">
        <w:trPr>
          <w:trHeight w:val="300"/>
        </w:trPr>
        <w:tc>
          <w:tcPr>
            <w:tcW w:w="2206" w:type="dxa"/>
            <w:vMerge/>
            <w:tcMar>
              <w:top w:w="0" w:type="dxa"/>
              <w:left w:w="108" w:type="dxa"/>
              <w:bottom w:w="0" w:type="dxa"/>
              <w:right w:w="108" w:type="dxa"/>
            </w:tcMar>
          </w:tcPr>
          <w:p w14:paraId="17917365" w14:textId="77777777" w:rsidR="009A1A36" w:rsidRPr="0026420A" w:rsidRDefault="009A1A36" w:rsidP="00EC2519">
            <w:pPr>
              <w:ind w:firstLine="0"/>
              <w:jc w:val="left"/>
              <w:rPr>
                <w:b/>
                <w:bCs/>
              </w:rPr>
            </w:pPr>
          </w:p>
        </w:tc>
        <w:tc>
          <w:tcPr>
            <w:tcW w:w="579" w:type="dxa"/>
            <w:tcMar>
              <w:top w:w="0" w:type="dxa"/>
              <w:left w:w="108" w:type="dxa"/>
              <w:bottom w:w="0" w:type="dxa"/>
              <w:right w:w="108" w:type="dxa"/>
            </w:tcMar>
          </w:tcPr>
          <w:p w14:paraId="42049A18" w14:textId="77777777" w:rsidR="009A1A36" w:rsidRPr="0026420A" w:rsidRDefault="009A1A36" w:rsidP="00EC2519">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45987198" w14:textId="06E75034" w:rsidR="009A1A36" w:rsidRPr="0026420A" w:rsidRDefault="009A1A36" w:rsidP="00EC2519">
            <w:pPr>
              <w:tabs>
                <w:tab w:val="left" w:pos="1635"/>
              </w:tabs>
              <w:ind w:firstLine="0"/>
            </w:pPr>
            <w:r w:rsidRPr="0026420A">
              <w:rPr>
                <w:b/>
                <w:bCs/>
              </w:rPr>
              <w:t xml:space="preserve">20. </w:t>
            </w:r>
            <w:r w:rsidRPr="0026420A">
              <w:t xml:space="preserve">La </w:t>
            </w:r>
            <w:r w:rsidRPr="0026420A">
              <w:rPr>
                <w:b/>
                <w:bCs/>
              </w:rPr>
              <w:t xml:space="preserve">art. 57, alin. (3) </w:t>
            </w:r>
            <w:r w:rsidRPr="0026420A">
              <w:t>se va expune în următoarea redacție: „</w:t>
            </w:r>
            <w:r w:rsidRPr="0026420A">
              <w:rPr>
                <w:i/>
                <w:iCs/>
              </w:rPr>
              <w:t xml:space="preserve">În cazul în care furnizorul de servicii de </w:t>
            </w:r>
            <w:proofErr w:type="spellStart"/>
            <w:r w:rsidRPr="0026420A">
              <w:rPr>
                <w:i/>
                <w:iCs/>
              </w:rPr>
              <w:t>criptoactive</w:t>
            </w:r>
            <w:proofErr w:type="spellEnd"/>
            <w:r w:rsidRPr="0026420A">
              <w:rPr>
                <w:i/>
                <w:iCs/>
              </w:rPr>
              <w:t xml:space="preserve"> solicitant nu prezintă informațiile solicitate în termenul stabilit, Comisia Națională îl informează despre constatarea renunțării tacite la cerere.</w:t>
            </w:r>
            <w:r w:rsidRPr="0026420A">
              <w:t xml:space="preserve">”. </w:t>
            </w:r>
          </w:p>
        </w:tc>
        <w:tc>
          <w:tcPr>
            <w:tcW w:w="5281" w:type="dxa"/>
            <w:tcMar>
              <w:top w:w="0" w:type="dxa"/>
              <w:left w:w="108" w:type="dxa"/>
              <w:bottom w:w="0" w:type="dxa"/>
              <w:right w:w="108" w:type="dxa"/>
            </w:tcMar>
          </w:tcPr>
          <w:p w14:paraId="60D9DC32" w14:textId="77777777" w:rsidR="009A1A36" w:rsidRPr="0026420A" w:rsidRDefault="009A1A36" w:rsidP="00EC2519">
            <w:pPr>
              <w:ind w:firstLine="0"/>
              <w:rPr>
                <w:b/>
                <w:bCs/>
              </w:rPr>
            </w:pPr>
            <w:r w:rsidRPr="0026420A">
              <w:rPr>
                <w:b/>
                <w:bCs/>
              </w:rPr>
              <w:t>Se acceptă parțial.</w:t>
            </w:r>
          </w:p>
          <w:p w14:paraId="20E14667" w14:textId="77777777" w:rsidR="009A1A36" w:rsidRPr="0026420A" w:rsidRDefault="009A1A36" w:rsidP="00EC2519">
            <w:pPr>
              <w:ind w:firstLine="0"/>
              <w:rPr>
                <w:b/>
                <w:bCs/>
              </w:rPr>
            </w:pPr>
            <w:r w:rsidRPr="0026420A">
              <w:t>Textul prevederii la art. 57, alin. (3) al proiectului de Lege, se va expune în următoarea redacție:</w:t>
            </w:r>
          </w:p>
          <w:p w14:paraId="7D56A7E5" w14:textId="77777777" w:rsidR="009A1A36" w:rsidRPr="0026420A" w:rsidRDefault="009A1A36" w:rsidP="00EC2519">
            <w:pPr>
              <w:ind w:firstLine="0"/>
              <w:rPr>
                <w:i/>
                <w:iCs/>
              </w:rPr>
            </w:pPr>
            <w:r w:rsidRPr="0026420A">
              <w:rPr>
                <w:i/>
                <w:iCs/>
              </w:rPr>
              <w:t xml:space="preserve">„(3) Comisia Națională poate constata renunțarea tacită la cererea de autorizare și informează furnizorul de servicii de </w:t>
            </w:r>
            <w:proofErr w:type="spellStart"/>
            <w:r w:rsidRPr="0026420A">
              <w:rPr>
                <w:i/>
                <w:iCs/>
              </w:rPr>
              <w:t>criptoactive</w:t>
            </w:r>
            <w:proofErr w:type="spellEnd"/>
            <w:r w:rsidRPr="0026420A">
              <w:rPr>
                <w:i/>
                <w:iCs/>
              </w:rPr>
              <w:t xml:space="preserve"> solicitant în acest sens, în cazul în care acesta nu prezintă informațiile solicitate în termenul stabilit și nu există temeiuri de repunere în termen. Informațiile prezentate după expirarea termenului stabilit nu se iau în considerare în cadrul cererii respective.”</w:t>
            </w:r>
          </w:p>
          <w:p w14:paraId="044ABD1F" w14:textId="72FCA1D8" w:rsidR="009A1A36" w:rsidRPr="0026420A" w:rsidRDefault="009A1A36" w:rsidP="00A817CF">
            <w:pPr>
              <w:ind w:firstLine="0"/>
              <w:rPr>
                <w:b/>
                <w:bCs/>
              </w:rPr>
            </w:pPr>
          </w:p>
        </w:tc>
      </w:tr>
      <w:tr w:rsidR="009A1A36" w:rsidRPr="0026420A" w14:paraId="38A6E75B" w14:textId="77777777" w:rsidTr="001F4857">
        <w:trPr>
          <w:trHeight w:val="300"/>
        </w:trPr>
        <w:tc>
          <w:tcPr>
            <w:tcW w:w="2206" w:type="dxa"/>
            <w:vMerge/>
            <w:tcMar>
              <w:top w:w="0" w:type="dxa"/>
              <w:left w:w="108" w:type="dxa"/>
              <w:bottom w:w="0" w:type="dxa"/>
              <w:right w:w="108" w:type="dxa"/>
            </w:tcMar>
          </w:tcPr>
          <w:p w14:paraId="14E1DDEC" w14:textId="77777777" w:rsidR="009A1A36" w:rsidRPr="0026420A" w:rsidRDefault="009A1A36" w:rsidP="00EC2519">
            <w:pPr>
              <w:ind w:firstLine="0"/>
              <w:jc w:val="left"/>
              <w:rPr>
                <w:b/>
                <w:bCs/>
              </w:rPr>
            </w:pPr>
          </w:p>
        </w:tc>
        <w:tc>
          <w:tcPr>
            <w:tcW w:w="579" w:type="dxa"/>
            <w:tcMar>
              <w:top w:w="0" w:type="dxa"/>
              <w:left w:w="108" w:type="dxa"/>
              <w:bottom w:w="0" w:type="dxa"/>
              <w:right w:w="108" w:type="dxa"/>
            </w:tcMar>
          </w:tcPr>
          <w:p w14:paraId="380B5783" w14:textId="77777777" w:rsidR="009A1A36" w:rsidRPr="0026420A" w:rsidRDefault="009A1A36" w:rsidP="00EC2519">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26291FF2" w14:textId="7A115E2E" w:rsidR="009A1A36" w:rsidRPr="0026420A" w:rsidRDefault="009A1A36" w:rsidP="00EC2519">
            <w:pPr>
              <w:tabs>
                <w:tab w:val="left" w:pos="1635"/>
              </w:tabs>
              <w:ind w:firstLine="0"/>
            </w:pPr>
            <w:r w:rsidRPr="0026420A">
              <w:rPr>
                <w:b/>
                <w:bCs/>
              </w:rPr>
              <w:t xml:space="preserve">21. </w:t>
            </w:r>
            <w:r w:rsidRPr="0026420A">
              <w:t xml:space="preserve">La </w:t>
            </w:r>
            <w:r w:rsidRPr="0026420A">
              <w:rPr>
                <w:b/>
                <w:bCs/>
              </w:rPr>
              <w:t xml:space="preserve">art. 57 alin. (10) </w:t>
            </w:r>
            <w:r w:rsidRPr="0026420A">
              <w:t>se va completa la final cu următorul text: „</w:t>
            </w:r>
            <w:r w:rsidRPr="0026420A">
              <w:rPr>
                <w:i/>
                <w:iCs/>
              </w:rPr>
              <w:t>În cazul în care autoritățile consultate nu furnizează un răspuns în termen de 30 de zile lucrătoare de la data primirii solicitării, se prezumă lipsa deținerii informațiilor relevante.</w:t>
            </w:r>
            <w:r w:rsidRPr="0026420A">
              <w:t xml:space="preserve">”. </w:t>
            </w:r>
          </w:p>
        </w:tc>
        <w:tc>
          <w:tcPr>
            <w:tcW w:w="5281" w:type="dxa"/>
            <w:tcMar>
              <w:top w:w="0" w:type="dxa"/>
              <w:left w:w="108" w:type="dxa"/>
              <w:bottom w:w="0" w:type="dxa"/>
              <w:right w:w="108" w:type="dxa"/>
            </w:tcMar>
          </w:tcPr>
          <w:p w14:paraId="07570633" w14:textId="77777777" w:rsidR="009A1A36" w:rsidRPr="0026420A" w:rsidRDefault="009A1A36" w:rsidP="00CC5F02">
            <w:pPr>
              <w:ind w:firstLine="0"/>
              <w:rPr>
                <w:b/>
                <w:bCs/>
              </w:rPr>
            </w:pPr>
            <w:r w:rsidRPr="0026420A">
              <w:rPr>
                <w:b/>
                <w:bCs/>
              </w:rPr>
              <w:t>Nu se acceptă.</w:t>
            </w:r>
          </w:p>
          <w:p w14:paraId="12BB5B36" w14:textId="28609FEE" w:rsidR="009A1A36" w:rsidRPr="0026420A" w:rsidRDefault="00933DC9" w:rsidP="00933DC9">
            <w:pPr>
              <w:ind w:firstLine="0"/>
            </w:pPr>
            <w:r w:rsidRPr="0026420A">
              <w:t>Instituirea unei prezumții legale potrivit căreia lipsa unui răspuns al Serviciului Prevenirea și Combaterea Spălării Banilor în termenul stabilit echivalează cu lipsa deținerii informațiilor relevante sau cu emiterea tacită a unui aviz nu este oportună. Lipsa unui răspuns în termen nu poate fi calificată, prin efectul legii, ca inexistență a informațiilor relevante și nu poate substitui evaluarea specializată a riscurilor de spălare a banilor și finanțare a terorismului.</w:t>
            </w:r>
          </w:p>
        </w:tc>
      </w:tr>
      <w:tr w:rsidR="009A1A36" w:rsidRPr="0026420A" w14:paraId="4D4717EE" w14:textId="77777777" w:rsidTr="001F4857">
        <w:trPr>
          <w:trHeight w:val="300"/>
        </w:trPr>
        <w:tc>
          <w:tcPr>
            <w:tcW w:w="2206" w:type="dxa"/>
            <w:vMerge/>
            <w:tcMar>
              <w:top w:w="0" w:type="dxa"/>
              <w:left w:w="108" w:type="dxa"/>
              <w:bottom w:w="0" w:type="dxa"/>
              <w:right w:w="108" w:type="dxa"/>
            </w:tcMar>
          </w:tcPr>
          <w:p w14:paraId="0BE03E6E" w14:textId="77777777" w:rsidR="009A1A36" w:rsidRPr="0026420A" w:rsidRDefault="009A1A36" w:rsidP="00EC2519">
            <w:pPr>
              <w:ind w:firstLine="0"/>
              <w:jc w:val="left"/>
              <w:rPr>
                <w:b/>
                <w:bCs/>
              </w:rPr>
            </w:pPr>
          </w:p>
        </w:tc>
        <w:tc>
          <w:tcPr>
            <w:tcW w:w="579" w:type="dxa"/>
            <w:tcMar>
              <w:top w:w="0" w:type="dxa"/>
              <w:left w:w="108" w:type="dxa"/>
              <w:bottom w:w="0" w:type="dxa"/>
              <w:right w:w="108" w:type="dxa"/>
            </w:tcMar>
          </w:tcPr>
          <w:p w14:paraId="34C7C792" w14:textId="77777777" w:rsidR="009A1A36" w:rsidRPr="0026420A" w:rsidRDefault="009A1A36" w:rsidP="00EC2519">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6F3FFC0F" w14:textId="78D9388E" w:rsidR="009A1A36" w:rsidRPr="0026420A" w:rsidRDefault="009A1A36" w:rsidP="00EC2519">
            <w:pPr>
              <w:tabs>
                <w:tab w:val="left" w:pos="1350"/>
              </w:tabs>
              <w:ind w:firstLine="0"/>
            </w:pPr>
            <w:r w:rsidRPr="0026420A">
              <w:rPr>
                <w:b/>
                <w:bCs/>
              </w:rPr>
              <w:t xml:space="preserve">22. </w:t>
            </w:r>
            <w:r w:rsidRPr="0026420A">
              <w:t xml:space="preserve">La </w:t>
            </w:r>
            <w:r w:rsidRPr="0026420A">
              <w:rPr>
                <w:b/>
                <w:bCs/>
              </w:rPr>
              <w:t xml:space="preserve">art. 57 alin. (12) </w:t>
            </w:r>
            <w:r w:rsidRPr="0026420A">
              <w:t xml:space="preserve">din proiect, cuvântul </w:t>
            </w:r>
            <w:r w:rsidRPr="0026420A">
              <w:rPr>
                <w:i/>
                <w:iCs/>
              </w:rPr>
              <w:t xml:space="preserve">„emite” </w:t>
            </w:r>
            <w:r w:rsidRPr="0026420A">
              <w:t xml:space="preserve">se propune a fi substituit cu cuvântul </w:t>
            </w:r>
            <w:r w:rsidRPr="0026420A">
              <w:rPr>
                <w:i/>
                <w:iCs/>
              </w:rPr>
              <w:t xml:space="preserve">„adoptă”. </w:t>
            </w:r>
          </w:p>
        </w:tc>
        <w:tc>
          <w:tcPr>
            <w:tcW w:w="5281" w:type="dxa"/>
            <w:tcMar>
              <w:top w:w="0" w:type="dxa"/>
              <w:left w:w="108" w:type="dxa"/>
              <w:bottom w:w="0" w:type="dxa"/>
              <w:right w:w="108" w:type="dxa"/>
            </w:tcMar>
          </w:tcPr>
          <w:p w14:paraId="405B9CCB" w14:textId="77777777" w:rsidR="009A1A36" w:rsidRPr="0026420A" w:rsidRDefault="009A1A36" w:rsidP="00EC2519">
            <w:pPr>
              <w:ind w:firstLine="0"/>
              <w:rPr>
                <w:b/>
                <w:bCs/>
              </w:rPr>
            </w:pPr>
            <w:r w:rsidRPr="0026420A">
              <w:rPr>
                <w:b/>
                <w:bCs/>
              </w:rPr>
              <w:t>Se acceptă.</w:t>
            </w:r>
          </w:p>
          <w:p w14:paraId="04B5CB5B" w14:textId="159ADF4E" w:rsidR="009A1A36" w:rsidRPr="0026420A" w:rsidRDefault="009A1A36" w:rsidP="00EC2519">
            <w:pPr>
              <w:ind w:firstLine="0"/>
              <w:rPr>
                <w:i/>
                <w:iCs/>
              </w:rPr>
            </w:pPr>
            <w:r w:rsidRPr="0026420A">
              <w:t>Textul prevederii se ajustează corespunzător.</w:t>
            </w:r>
          </w:p>
        </w:tc>
      </w:tr>
      <w:tr w:rsidR="009A1A36" w:rsidRPr="0026420A" w14:paraId="1D123FDF" w14:textId="77777777" w:rsidTr="001F4857">
        <w:trPr>
          <w:trHeight w:val="300"/>
        </w:trPr>
        <w:tc>
          <w:tcPr>
            <w:tcW w:w="2206" w:type="dxa"/>
            <w:vMerge/>
            <w:tcMar>
              <w:top w:w="0" w:type="dxa"/>
              <w:left w:w="108" w:type="dxa"/>
              <w:bottom w:w="0" w:type="dxa"/>
              <w:right w:w="108" w:type="dxa"/>
            </w:tcMar>
          </w:tcPr>
          <w:p w14:paraId="6D59F734" w14:textId="77777777" w:rsidR="009A1A36" w:rsidRPr="0026420A" w:rsidRDefault="009A1A36" w:rsidP="00EC2519">
            <w:pPr>
              <w:ind w:firstLine="0"/>
              <w:jc w:val="left"/>
              <w:rPr>
                <w:b/>
                <w:bCs/>
              </w:rPr>
            </w:pPr>
          </w:p>
        </w:tc>
        <w:tc>
          <w:tcPr>
            <w:tcW w:w="579" w:type="dxa"/>
            <w:tcMar>
              <w:top w:w="0" w:type="dxa"/>
              <w:left w:w="108" w:type="dxa"/>
              <w:bottom w:w="0" w:type="dxa"/>
              <w:right w:w="108" w:type="dxa"/>
            </w:tcMar>
          </w:tcPr>
          <w:p w14:paraId="2F6D78C2" w14:textId="77777777" w:rsidR="009A1A36" w:rsidRPr="0026420A" w:rsidRDefault="009A1A36" w:rsidP="00EC2519">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42A50C53" w14:textId="77777777" w:rsidR="009A1A36" w:rsidRPr="0026420A" w:rsidRDefault="009A1A36" w:rsidP="00EC2519">
            <w:pPr>
              <w:tabs>
                <w:tab w:val="left" w:pos="1635"/>
              </w:tabs>
              <w:ind w:firstLine="0"/>
              <w:rPr>
                <w:i/>
                <w:iCs/>
              </w:rPr>
            </w:pPr>
            <w:r w:rsidRPr="0026420A">
              <w:rPr>
                <w:b/>
                <w:bCs/>
              </w:rPr>
              <w:t xml:space="preserve">23. </w:t>
            </w:r>
            <w:r w:rsidRPr="0026420A">
              <w:t xml:space="preserve">La </w:t>
            </w:r>
            <w:r w:rsidRPr="0026420A">
              <w:rPr>
                <w:b/>
                <w:bCs/>
              </w:rPr>
              <w:t xml:space="preserve">art. 64 alin. (4) </w:t>
            </w:r>
            <w:r w:rsidRPr="0026420A">
              <w:t>va avea următorul cuprins: „</w:t>
            </w:r>
            <w:r w:rsidRPr="0026420A">
              <w:rPr>
                <w:i/>
                <w:iCs/>
              </w:rPr>
              <w:t xml:space="preserve">Furnizorii de servicii de </w:t>
            </w:r>
            <w:proofErr w:type="spellStart"/>
            <w:r w:rsidRPr="0026420A">
              <w:rPr>
                <w:i/>
                <w:iCs/>
              </w:rPr>
              <w:t>criptoactive</w:t>
            </w:r>
            <w:proofErr w:type="spellEnd"/>
            <w:r w:rsidRPr="0026420A">
              <w:rPr>
                <w:i/>
                <w:iCs/>
              </w:rPr>
              <w:t xml:space="preserve"> analizează toate plângerile în mod corect, cât mai curând posibil, fără a depăși 15 zile lucrătoare de la data primirii plângerii și le comunică clienților rezultatul acestor analize în termenul respectiv. În cazul în care, în situații excepționale, decizia cu privire la o plângere nu poate fi furnizată în termenul prevăzut, furnizorii de servicii de </w:t>
            </w:r>
            <w:proofErr w:type="spellStart"/>
            <w:r w:rsidRPr="0026420A">
              <w:rPr>
                <w:i/>
                <w:iCs/>
              </w:rPr>
              <w:t>criptoactive</w:t>
            </w:r>
            <w:proofErr w:type="spellEnd"/>
            <w:r w:rsidRPr="0026420A">
              <w:rPr>
                <w:i/>
                <w:iCs/>
              </w:rPr>
              <w:t xml:space="preserve"> informează obligatoriu clienții, fără întârzieri nejustificate, cu privire la motivele întârzierii și la data preconizată până la care va fi emisă decizia, dar care nu poate depăși 2 luni de la data primirii plângerii.”. </w:t>
            </w:r>
          </w:p>
          <w:p w14:paraId="15BE6F7D" w14:textId="717578B8" w:rsidR="009A1A36" w:rsidRPr="0026420A" w:rsidRDefault="009A1A36" w:rsidP="00EC2519">
            <w:pPr>
              <w:tabs>
                <w:tab w:val="left" w:pos="1635"/>
              </w:tabs>
              <w:ind w:firstLine="0"/>
            </w:pPr>
          </w:p>
        </w:tc>
        <w:tc>
          <w:tcPr>
            <w:tcW w:w="5281" w:type="dxa"/>
            <w:tcMar>
              <w:top w:w="0" w:type="dxa"/>
              <w:left w:w="108" w:type="dxa"/>
              <w:bottom w:w="0" w:type="dxa"/>
              <w:right w:w="108" w:type="dxa"/>
            </w:tcMar>
          </w:tcPr>
          <w:p w14:paraId="577C7DFE" w14:textId="77777777" w:rsidR="009A1A36" w:rsidRPr="0026420A" w:rsidRDefault="009A1A36" w:rsidP="00EC2519">
            <w:pPr>
              <w:ind w:firstLine="0"/>
            </w:pPr>
            <w:r w:rsidRPr="0026420A">
              <w:rPr>
                <w:b/>
                <w:bCs/>
              </w:rPr>
              <w:t>Se acceptă parțial.</w:t>
            </w:r>
          </w:p>
          <w:p w14:paraId="5DFA6997" w14:textId="77777777" w:rsidR="009A1A36" w:rsidRPr="0026420A" w:rsidRDefault="009A1A36" w:rsidP="00E13B21">
            <w:pPr>
              <w:ind w:firstLine="0"/>
            </w:pPr>
            <w:r w:rsidRPr="0026420A">
              <w:t xml:space="preserve">Textul prevederii la art. 31 alin. (4) al proiectului de Lege, se va expune în următoarea redacție: </w:t>
            </w:r>
          </w:p>
          <w:p w14:paraId="45C7CD0D" w14:textId="6AB1AA68" w:rsidR="009A1A36" w:rsidRPr="0026420A" w:rsidRDefault="009A1A36" w:rsidP="000C5631">
            <w:pPr>
              <w:ind w:firstLine="0"/>
            </w:pPr>
            <w:r w:rsidRPr="0026420A">
              <w:t>„(</w:t>
            </w:r>
            <w:r w:rsidRPr="0026420A">
              <w:rPr>
                <w:i/>
                <w:iCs/>
              </w:rPr>
              <w:t xml:space="preserve">4) Furnizorii de servicii de </w:t>
            </w:r>
            <w:proofErr w:type="spellStart"/>
            <w:r w:rsidRPr="0026420A">
              <w:rPr>
                <w:i/>
                <w:iCs/>
              </w:rPr>
              <w:t>criptoactive</w:t>
            </w:r>
            <w:proofErr w:type="spellEnd"/>
            <w:r w:rsidRPr="0026420A">
              <w:rPr>
                <w:i/>
                <w:iCs/>
              </w:rPr>
              <w:t xml:space="preserve"> analizează toate plângerile în timp util și în mod corect și le comunică clienților rezultatul acestor analize </w:t>
            </w:r>
            <w:r w:rsidRPr="0026420A">
              <w:rPr>
                <w:b/>
                <w:bCs/>
                <w:i/>
                <w:iCs/>
              </w:rPr>
              <w:t>într-un limbaj simplu și ușor de înțeles, în scris,</w:t>
            </w:r>
            <w:r w:rsidRPr="0026420A">
              <w:rPr>
                <w:i/>
                <w:iCs/>
              </w:rPr>
              <w:t xml:space="preserve">  într-un termen rezonabil, </w:t>
            </w:r>
            <w:r w:rsidRPr="0026420A">
              <w:rPr>
                <w:b/>
                <w:bCs/>
                <w:i/>
                <w:iCs/>
              </w:rPr>
              <w:t>fără a depăși 15 zile lucrătoare de la data primirii plângerii</w:t>
            </w:r>
            <w:r w:rsidRPr="0026420A">
              <w:rPr>
                <w:i/>
                <w:iCs/>
              </w:rPr>
              <w:t xml:space="preserve">. În cazul în care, în situații excepționale, decizia cu privire la o plângere nu poate fi furnizată în termenul prevăzut, furnizorii de servicii de </w:t>
            </w:r>
            <w:proofErr w:type="spellStart"/>
            <w:r w:rsidRPr="0026420A">
              <w:rPr>
                <w:i/>
                <w:iCs/>
              </w:rPr>
              <w:t>criptoactive</w:t>
            </w:r>
            <w:proofErr w:type="spellEnd"/>
            <w:r w:rsidRPr="0026420A">
              <w:rPr>
                <w:i/>
                <w:iCs/>
              </w:rPr>
              <w:t xml:space="preserve"> informează obligatoriu clienții, fără întârzieri nejustificate, cu privire la motivele întârzierii și la data </w:t>
            </w:r>
            <w:r w:rsidRPr="0026420A">
              <w:rPr>
                <w:i/>
                <w:iCs/>
              </w:rPr>
              <w:lastRenderedPageBreak/>
              <w:t xml:space="preserve">preconizată până la care va fi emisă decizia, dar care nu poate depăși 2 luni de la data primirii plângerii. În cazul în care decizia nu soluționează integral plângerea clientului, răspunsul include o explicație detaliată a poziției furnizorului de servicii de </w:t>
            </w:r>
            <w:proofErr w:type="spellStart"/>
            <w:r w:rsidRPr="0026420A">
              <w:rPr>
                <w:i/>
                <w:iCs/>
              </w:rPr>
              <w:t>criptoactive</w:t>
            </w:r>
            <w:proofErr w:type="spellEnd"/>
            <w:r w:rsidRPr="0026420A">
              <w:rPr>
                <w:i/>
                <w:iCs/>
              </w:rPr>
              <w:t xml:space="preserve"> și indică posibilitatea adresării către mecanisme alternative de soluționare a litigiilor sau către autoritatea competentă potrivit legislației aplicabile.”</w:t>
            </w:r>
          </w:p>
        </w:tc>
      </w:tr>
      <w:tr w:rsidR="009A1A36" w:rsidRPr="0026420A" w14:paraId="7BE4FEC4" w14:textId="77777777" w:rsidTr="001F4857">
        <w:trPr>
          <w:trHeight w:val="300"/>
        </w:trPr>
        <w:tc>
          <w:tcPr>
            <w:tcW w:w="2206" w:type="dxa"/>
            <w:vMerge/>
            <w:tcMar>
              <w:top w:w="0" w:type="dxa"/>
              <w:left w:w="108" w:type="dxa"/>
              <w:bottom w:w="0" w:type="dxa"/>
              <w:right w:w="108" w:type="dxa"/>
            </w:tcMar>
          </w:tcPr>
          <w:p w14:paraId="57FBE8E0" w14:textId="77777777" w:rsidR="009A1A36" w:rsidRPr="0026420A" w:rsidRDefault="009A1A36" w:rsidP="00EC2519">
            <w:pPr>
              <w:ind w:firstLine="0"/>
              <w:jc w:val="left"/>
              <w:rPr>
                <w:b/>
                <w:bCs/>
              </w:rPr>
            </w:pPr>
          </w:p>
        </w:tc>
        <w:tc>
          <w:tcPr>
            <w:tcW w:w="579" w:type="dxa"/>
            <w:tcMar>
              <w:top w:w="0" w:type="dxa"/>
              <w:left w:w="108" w:type="dxa"/>
              <w:bottom w:w="0" w:type="dxa"/>
              <w:right w:w="108" w:type="dxa"/>
            </w:tcMar>
          </w:tcPr>
          <w:p w14:paraId="7621B768" w14:textId="77777777" w:rsidR="009A1A36" w:rsidRPr="0026420A" w:rsidRDefault="009A1A36" w:rsidP="00EC2519">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06860F6A" w14:textId="3CE34ED8" w:rsidR="009A1A36" w:rsidRPr="0026420A" w:rsidRDefault="009A1A36" w:rsidP="00EC2519">
            <w:pPr>
              <w:tabs>
                <w:tab w:val="left" w:pos="1635"/>
              </w:tabs>
              <w:ind w:firstLine="0"/>
            </w:pPr>
            <w:r w:rsidRPr="0026420A">
              <w:rPr>
                <w:b/>
                <w:bCs/>
              </w:rPr>
              <w:t xml:space="preserve">24. </w:t>
            </w:r>
            <w:r w:rsidRPr="0026420A">
              <w:t xml:space="preserve">La </w:t>
            </w:r>
            <w:r w:rsidRPr="0026420A">
              <w:rPr>
                <w:b/>
                <w:bCs/>
              </w:rPr>
              <w:t xml:space="preserve">art. 76 alin. (7) </w:t>
            </w:r>
            <w:r w:rsidRPr="0026420A">
              <w:t>se va expune în următoarea redacție: „</w:t>
            </w:r>
            <w:r w:rsidRPr="0026420A">
              <w:rPr>
                <w:i/>
                <w:iCs/>
              </w:rPr>
              <w:t xml:space="preserve">În cazul în care, la finalizarea evaluării menționate la alin. (4) Comisia Națională decide să se opună propunerii de achiziție menționate la alin. (1), aceasta aprobă o decizie motivată în scris care se comunică achizitorului potențial termen de 5 zile lucrătoare de la data aprobării, dar nu mai târziu de expirarea termenului menționat la alin. (4), prelungit, dacă este cazul, cu termenele în conformitate cu alin. (6). </w:t>
            </w:r>
            <w:r w:rsidRPr="0026420A">
              <w:t xml:space="preserve">”. </w:t>
            </w:r>
          </w:p>
        </w:tc>
        <w:tc>
          <w:tcPr>
            <w:tcW w:w="5281" w:type="dxa"/>
            <w:tcMar>
              <w:top w:w="0" w:type="dxa"/>
              <w:left w:w="108" w:type="dxa"/>
              <w:bottom w:w="0" w:type="dxa"/>
              <w:right w:w="108" w:type="dxa"/>
            </w:tcMar>
          </w:tcPr>
          <w:p w14:paraId="7FBF3712" w14:textId="77777777" w:rsidR="009A1A36" w:rsidRPr="0026420A" w:rsidRDefault="009A1A36" w:rsidP="00FA397B">
            <w:pPr>
              <w:ind w:firstLine="0"/>
              <w:rPr>
                <w:b/>
                <w:bCs/>
              </w:rPr>
            </w:pPr>
            <w:r w:rsidRPr="0026420A">
              <w:rPr>
                <w:b/>
                <w:bCs/>
              </w:rPr>
              <w:t>Se acceptă parțial.</w:t>
            </w:r>
          </w:p>
          <w:p w14:paraId="65B09ADC" w14:textId="77777777" w:rsidR="009A1A36" w:rsidRPr="0026420A" w:rsidRDefault="009A1A36" w:rsidP="00B638B9">
            <w:pPr>
              <w:ind w:firstLine="0"/>
            </w:pPr>
            <w:r w:rsidRPr="0026420A">
              <w:t xml:space="preserve">Textul prevederii la art. 76 alin. (7) al proiectului de Lege,  se va expune în următoarea redacție: </w:t>
            </w:r>
          </w:p>
          <w:p w14:paraId="600A0815" w14:textId="4331C45C" w:rsidR="009A1A36" w:rsidRPr="0026420A" w:rsidRDefault="009A1A36" w:rsidP="00EC2519">
            <w:pPr>
              <w:ind w:firstLine="0"/>
            </w:pPr>
            <w:r w:rsidRPr="0026420A">
              <w:rPr>
                <w:i/>
                <w:iCs/>
              </w:rPr>
              <w:t xml:space="preserve">„În cazul în care, la finalizarea evaluării menționate la alin. (4) Comisia Națională decide să se opună propunerii de achiziție menționate la alin. (1), aceasta </w:t>
            </w:r>
            <w:r w:rsidRPr="0026420A">
              <w:rPr>
                <w:b/>
                <w:bCs/>
                <w:i/>
                <w:iCs/>
              </w:rPr>
              <w:t xml:space="preserve">adoptă o decizie motivată în scris, care se comunică </w:t>
            </w:r>
            <w:r w:rsidRPr="0026420A">
              <w:rPr>
                <w:i/>
                <w:iCs/>
              </w:rPr>
              <w:t>achizitorului potențial în termen de 5 zile lucrătoare</w:t>
            </w:r>
            <w:r w:rsidRPr="0026420A">
              <w:rPr>
                <w:b/>
                <w:bCs/>
                <w:i/>
                <w:iCs/>
              </w:rPr>
              <w:t xml:space="preserve"> de la data adoptării,</w:t>
            </w:r>
            <w:r w:rsidRPr="0026420A">
              <w:rPr>
                <w:i/>
                <w:iCs/>
              </w:rPr>
              <w:t xml:space="preserve"> și, în orice caz, înainte de data </w:t>
            </w:r>
            <w:r w:rsidRPr="0026420A">
              <w:rPr>
                <w:b/>
                <w:bCs/>
                <w:i/>
                <w:iCs/>
              </w:rPr>
              <w:t xml:space="preserve">de expirare a perioadei de evaluare </w:t>
            </w:r>
            <w:r w:rsidRPr="0026420A">
              <w:rPr>
                <w:i/>
                <w:iCs/>
              </w:rPr>
              <w:t>menționată la alin. (4), care este prelungită, dacă este cazul, cu termenele în conformitate cu alin. (6).”</w:t>
            </w:r>
          </w:p>
        </w:tc>
      </w:tr>
      <w:tr w:rsidR="009A1A36" w:rsidRPr="0026420A" w14:paraId="719DD769" w14:textId="77777777" w:rsidTr="001F4857">
        <w:trPr>
          <w:trHeight w:val="300"/>
        </w:trPr>
        <w:tc>
          <w:tcPr>
            <w:tcW w:w="2206" w:type="dxa"/>
            <w:vMerge/>
            <w:tcMar>
              <w:top w:w="0" w:type="dxa"/>
              <w:left w:w="108" w:type="dxa"/>
              <w:bottom w:w="0" w:type="dxa"/>
              <w:right w:w="108" w:type="dxa"/>
            </w:tcMar>
          </w:tcPr>
          <w:p w14:paraId="35B37283" w14:textId="77777777" w:rsidR="009A1A36" w:rsidRPr="0026420A" w:rsidRDefault="009A1A36" w:rsidP="00EC2519">
            <w:pPr>
              <w:ind w:firstLine="0"/>
              <w:jc w:val="left"/>
              <w:rPr>
                <w:b/>
                <w:bCs/>
              </w:rPr>
            </w:pPr>
          </w:p>
        </w:tc>
        <w:tc>
          <w:tcPr>
            <w:tcW w:w="579" w:type="dxa"/>
            <w:tcMar>
              <w:top w:w="0" w:type="dxa"/>
              <w:left w:w="108" w:type="dxa"/>
              <w:bottom w:w="0" w:type="dxa"/>
              <w:right w:w="108" w:type="dxa"/>
            </w:tcMar>
          </w:tcPr>
          <w:p w14:paraId="403CDFBC" w14:textId="77777777" w:rsidR="009A1A36" w:rsidRPr="0026420A" w:rsidRDefault="009A1A36" w:rsidP="00EC2519">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7A600875" w14:textId="251E871B" w:rsidR="009A1A36" w:rsidRPr="0026420A" w:rsidRDefault="009A1A36" w:rsidP="00E13B21">
            <w:pPr>
              <w:tabs>
                <w:tab w:val="left" w:pos="1635"/>
              </w:tabs>
              <w:ind w:firstLine="0"/>
              <w:rPr>
                <w:i/>
                <w:iCs/>
              </w:rPr>
            </w:pPr>
            <w:r w:rsidRPr="0026420A">
              <w:rPr>
                <w:b/>
                <w:bCs/>
              </w:rPr>
              <w:t xml:space="preserve">25. </w:t>
            </w:r>
            <w:r w:rsidRPr="0026420A">
              <w:t>La</w:t>
            </w:r>
            <w:r w:rsidRPr="0026420A">
              <w:rPr>
                <w:b/>
                <w:bCs/>
              </w:rPr>
              <w:t xml:space="preserve"> art. 86 alin. (6) lit. a) </w:t>
            </w:r>
            <w:r w:rsidRPr="0026420A">
              <w:t>textul „</w:t>
            </w:r>
            <w:r w:rsidRPr="0026420A">
              <w:rPr>
                <w:i/>
                <w:iCs/>
              </w:rPr>
              <w:t>termen restrâns</w:t>
            </w:r>
            <w:r w:rsidRPr="0026420A">
              <w:t>” se va substitui cu textul „</w:t>
            </w:r>
            <w:r w:rsidRPr="0026420A">
              <w:rPr>
                <w:i/>
                <w:iCs/>
              </w:rPr>
              <w:t>termenul stabilit de autoritate</w:t>
            </w:r>
            <w:r w:rsidRPr="0026420A">
              <w:t>”.</w:t>
            </w:r>
            <w:r w:rsidRPr="0026420A">
              <w:rPr>
                <w:b/>
                <w:bCs/>
              </w:rPr>
              <w:t xml:space="preserve"> </w:t>
            </w:r>
          </w:p>
        </w:tc>
        <w:tc>
          <w:tcPr>
            <w:tcW w:w="5281" w:type="dxa"/>
            <w:tcMar>
              <w:top w:w="0" w:type="dxa"/>
              <w:left w:w="108" w:type="dxa"/>
              <w:bottom w:w="0" w:type="dxa"/>
              <w:right w:w="108" w:type="dxa"/>
            </w:tcMar>
          </w:tcPr>
          <w:p w14:paraId="589F50D9" w14:textId="77777777" w:rsidR="009A1A36" w:rsidRPr="0026420A" w:rsidRDefault="009A1A36" w:rsidP="00EC2519">
            <w:pPr>
              <w:ind w:firstLine="0"/>
              <w:rPr>
                <w:b/>
                <w:bCs/>
              </w:rPr>
            </w:pPr>
            <w:r w:rsidRPr="0026420A">
              <w:rPr>
                <w:b/>
                <w:bCs/>
              </w:rPr>
              <w:t>Se acceptă parțial.</w:t>
            </w:r>
          </w:p>
          <w:p w14:paraId="72ED7BC8" w14:textId="77777777" w:rsidR="009A1A36" w:rsidRPr="0026420A" w:rsidRDefault="009A1A36" w:rsidP="00EC2519">
            <w:pPr>
              <w:ind w:firstLine="0"/>
            </w:pPr>
            <w:r w:rsidRPr="0026420A">
              <w:t>La art. 86 alin. (6) lit. a) textul prevederii, după sintagma „</w:t>
            </w:r>
            <w:r w:rsidRPr="0026420A">
              <w:rPr>
                <w:i/>
                <w:iCs/>
              </w:rPr>
              <w:t>termen restrâns</w:t>
            </w:r>
            <w:r w:rsidRPr="0026420A">
              <w:t xml:space="preserve">” se completează cu textul ” </w:t>
            </w:r>
            <w:r w:rsidRPr="0026420A">
              <w:rPr>
                <w:i/>
                <w:iCs/>
              </w:rPr>
              <w:t>care nu trebuie să depășească termenul stabilit de autoritate</w:t>
            </w:r>
            <w:r w:rsidRPr="0026420A">
              <w:t>;”, după cum urmează:</w:t>
            </w:r>
          </w:p>
          <w:p w14:paraId="5131768D" w14:textId="1BB29787" w:rsidR="009A1A36" w:rsidRPr="0026420A" w:rsidRDefault="009A1A36" w:rsidP="00EC2519">
            <w:pPr>
              <w:ind w:firstLine="0"/>
              <w:rPr>
                <w:i/>
                <w:iCs/>
              </w:rPr>
            </w:pPr>
            <w:r w:rsidRPr="0026420A">
              <w:t>„...</w:t>
            </w:r>
            <w:r w:rsidRPr="0026420A">
              <w:rPr>
                <w:i/>
                <w:iCs/>
              </w:rPr>
              <w:t>investigare și/sau control într-un termen restrâns,</w:t>
            </w:r>
            <w:r w:rsidRPr="0026420A">
              <w:t xml:space="preserve"> </w:t>
            </w:r>
            <w:r w:rsidRPr="0026420A">
              <w:rPr>
                <w:i/>
                <w:iCs/>
              </w:rPr>
              <w:t>care nu trebuie să depășească termenul stabilit de autoritate</w:t>
            </w:r>
            <w:r w:rsidRPr="0026420A">
              <w:t>;”.</w:t>
            </w:r>
          </w:p>
        </w:tc>
      </w:tr>
      <w:tr w:rsidR="009A1A36" w:rsidRPr="0026420A" w14:paraId="6B831B0E" w14:textId="77777777" w:rsidTr="001F4857">
        <w:trPr>
          <w:trHeight w:val="300"/>
        </w:trPr>
        <w:tc>
          <w:tcPr>
            <w:tcW w:w="2206" w:type="dxa"/>
            <w:vMerge/>
            <w:tcMar>
              <w:top w:w="0" w:type="dxa"/>
              <w:left w:w="108" w:type="dxa"/>
              <w:bottom w:w="0" w:type="dxa"/>
              <w:right w:w="108" w:type="dxa"/>
            </w:tcMar>
          </w:tcPr>
          <w:p w14:paraId="49F8689F" w14:textId="77777777" w:rsidR="009A1A36" w:rsidRPr="0026420A" w:rsidRDefault="009A1A36" w:rsidP="00EC2519">
            <w:pPr>
              <w:ind w:firstLine="0"/>
              <w:jc w:val="left"/>
              <w:rPr>
                <w:b/>
                <w:bCs/>
              </w:rPr>
            </w:pPr>
          </w:p>
        </w:tc>
        <w:tc>
          <w:tcPr>
            <w:tcW w:w="579" w:type="dxa"/>
            <w:tcMar>
              <w:top w:w="0" w:type="dxa"/>
              <w:left w:w="108" w:type="dxa"/>
              <w:bottom w:w="0" w:type="dxa"/>
              <w:right w:w="108" w:type="dxa"/>
            </w:tcMar>
          </w:tcPr>
          <w:p w14:paraId="59D2888E" w14:textId="77777777" w:rsidR="009A1A36" w:rsidRPr="0026420A" w:rsidRDefault="009A1A36" w:rsidP="00EC2519">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1C387851" w14:textId="77777777" w:rsidR="009A1A36" w:rsidRPr="0026420A" w:rsidRDefault="009A1A36" w:rsidP="00EC2519">
            <w:pPr>
              <w:tabs>
                <w:tab w:val="left" w:pos="1635"/>
              </w:tabs>
              <w:ind w:firstLine="0"/>
            </w:pPr>
            <w:r w:rsidRPr="0026420A">
              <w:rPr>
                <w:b/>
                <w:bCs/>
              </w:rPr>
              <w:t xml:space="preserve">26. </w:t>
            </w:r>
            <w:r w:rsidRPr="0026420A">
              <w:t xml:space="preserve">La Anexa proiectului de lege privind modificarea unor acte normative (pct. 2 – modificarea Legii nr. 192/1998 privind Comisia Națională a Pieței Financiare), se propun următoarele completări: </w:t>
            </w:r>
          </w:p>
          <w:p w14:paraId="3D6C8096" w14:textId="77777777" w:rsidR="009A1A36" w:rsidRPr="0026420A" w:rsidRDefault="009A1A36" w:rsidP="00EC2519">
            <w:pPr>
              <w:tabs>
                <w:tab w:val="left" w:pos="1635"/>
              </w:tabs>
              <w:ind w:firstLine="0"/>
            </w:pPr>
            <w:r w:rsidRPr="0026420A">
              <w:t>- Cu referire la</w:t>
            </w:r>
            <w:r w:rsidRPr="0026420A">
              <w:rPr>
                <w:b/>
                <w:bCs/>
              </w:rPr>
              <w:t xml:space="preserve"> art. 3</w:t>
            </w:r>
            <w:r w:rsidRPr="0026420A">
              <w:t>, după textul „</w:t>
            </w:r>
            <w:r w:rsidRPr="0026420A">
              <w:rPr>
                <w:i/>
                <w:iCs/>
              </w:rPr>
              <w:t>pe piața de capital</w:t>
            </w:r>
            <w:r w:rsidRPr="0026420A">
              <w:t>” se completează cu textul „</w:t>
            </w:r>
            <w:r w:rsidRPr="0026420A">
              <w:rPr>
                <w:i/>
                <w:iCs/>
              </w:rPr>
              <w:t xml:space="preserve">și pe piața </w:t>
            </w:r>
            <w:proofErr w:type="spellStart"/>
            <w:r w:rsidRPr="0026420A">
              <w:rPr>
                <w:i/>
                <w:iCs/>
              </w:rPr>
              <w:t>criptoactivelor</w:t>
            </w:r>
            <w:proofErr w:type="spellEnd"/>
            <w:r w:rsidRPr="0026420A">
              <w:rPr>
                <w:i/>
                <w:iCs/>
              </w:rPr>
              <w:t xml:space="preserve">, respectiv în raport cu emitenții de </w:t>
            </w:r>
            <w:proofErr w:type="spellStart"/>
            <w:r w:rsidRPr="0026420A">
              <w:rPr>
                <w:i/>
                <w:iCs/>
              </w:rPr>
              <w:t>criptoactive</w:t>
            </w:r>
            <w:proofErr w:type="spellEnd"/>
            <w:r w:rsidRPr="0026420A">
              <w:rPr>
                <w:i/>
                <w:iCs/>
              </w:rPr>
              <w:t xml:space="preserve">, ofertanții, persoanele care solicită admiterea la tranzacționare și furnizorii de servicii de </w:t>
            </w:r>
            <w:proofErr w:type="spellStart"/>
            <w:r w:rsidRPr="0026420A">
              <w:rPr>
                <w:i/>
                <w:iCs/>
              </w:rPr>
              <w:t>criptoactive</w:t>
            </w:r>
            <w:proofErr w:type="spellEnd"/>
            <w:r w:rsidRPr="0026420A">
              <w:t>” iar după textul „</w:t>
            </w:r>
            <w:r w:rsidRPr="0026420A">
              <w:rPr>
                <w:i/>
                <w:iCs/>
              </w:rPr>
              <w:t xml:space="preserve">manipulării pe </w:t>
            </w:r>
            <w:proofErr w:type="spellStart"/>
            <w:r w:rsidRPr="0026420A">
              <w:rPr>
                <w:i/>
                <w:iCs/>
              </w:rPr>
              <w:t>piaţa</w:t>
            </w:r>
            <w:proofErr w:type="spellEnd"/>
            <w:r w:rsidRPr="0026420A">
              <w:rPr>
                <w:i/>
                <w:iCs/>
              </w:rPr>
              <w:t xml:space="preserve"> de capital</w:t>
            </w:r>
            <w:r w:rsidRPr="0026420A">
              <w:t>” se completează cu textul „</w:t>
            </w:r>
            <w:r w:rsidRPr="0026420A">
              <w:rPr>
                <w:i/>
                <w:iCs/>
              </w:rPr>
              <w:t xml:space="preserve">și pe piața </w:t>
            </w:r>
            <w:proofErr w:type="spellStart"/>
            <w:r w:rsidRPr="0026420A">
              <w:rPr>
                <w:i/>
                <w:iCs/>
              </w:rPr>
              <w:t>criptoactivelor</w:t>
            </w:r>
            <w:proofErr w:type="spellEnd"/>
            <w:r w:rsidRPr="0026420A">
              <w:t xml:space="preserve">” </w:t>
            </w:r>
          </w:p>
          <w:p w14:paraId="068DC713" w14:textId="77777777" w:rsidR="009A1A36" w:rsidRPr="0026420A" w:rsidRDefault="009A1A36" w:rsidP="00EC2519">
            <w:pPr>
              <w:tabs>
                <w:tab w:val="left" w:pos="1635"/>
              </w:tabs>
              <w:ind w:firstLine="0"/>
            </w:pPr>
            <w:r w:rsidRPr="0026420A">
              <w:t>- Cu referire la</w:t>
            </w:r>
            <w:r w:rsidRPr="0026420A">
              <w:rPr>
                <w:b/>
                <w:bCs/>
              </w:rPr>
              <w:t xml:space="preserve"> art. 4</w:t>
            </w:r>
            <w:r w:rsidRPr="0026420A">
              <w:t>, la alin. (1), după textul „</w:t>
            </w:r>
            <w:r w:rsidRPr="0026420A">
              <w:rPr>
                <w:i/>
                <w:iCs/>
              </w:rPr>
              <w:t>și investitorii</w:t>
            </w:r>
            <w:r w:rsidRPr="0026420A">
              <w:t>” se completează cu textul: „</w:t>
            </w:r>
            <w:r w:rsidRPr="0026420A">
              <w:rPr>
                <w:i/>
                <w:iCs/>
              </w:rPr>
              <w:t xml:space="preserve">emitenții de </w:t>
            </w:r>
            <w:proofErr w:type="spellStart"/>
            <w:r w:rsidRPr="0026420A">
              <w:rPr>
                <w:i/>
                <w:iCs/>
              </w:rPr>
              <w:t>criptoactive</w:t>
            </w:r>
            <w:proofErr w:type="spellEnd"/>
            <w:r w:rsidRPr="0026420A">
              <w:rPr>
                <w:i/>
                <w:iCs/>
              </w:rPr>
              <w:t xml:space="preserve">, altele decât </w:t>
            </w:r>
            <w:proofErr w:type="spellStart"/>
            <w:r w:rsidRPr="0026420A">
              <w:rPr>
                <w:i/>
                <w:iCs/>
              </w:rPr>
              <w:t>tokenurile</w:t>
            </w:r>
            <w:proofErr w:type="spellEnd"/>
            <w:r w:rsidRPr="0026420A">
              <w:rPr>
                <w:i/>
                <w:iCs/>
              </w:rPr>
              <w:t xml:space="preserve"> raportate la active și </w:t>
            </w:r>
            <w:proofErr w:type="spellStart"/>
            <w:r w:rsidRPr="0026420A">
              <w:rPr>
                <w:i/>
                <w:iCs/>
              </w:rPr>
              <w:t>tokenurile</w:t>
            </w:r>
            <w:proofErr w:type="spellEnd"/>
            <w:r w:rsidRPr="0026420A">
              <w:rPr>
                <w:i/>
                <w:iCs/>
              </w:rPr>
              <w:t xml:space="preserve"> de monedă electronică, ofertanții și persoanele care solicită admiterea la tranzacționare a </w:t>
            </w:r>
            <w:proofErr w:type="spellStart"/>
            <w:r w:rsidRPr="0026420A">
              <w:rPr>
                <w:i/>
                <w:iCs/>
              </w:rPr>
              <w:t>criptoactivelor</w:t>
            </w:r>
            <w:proofErr w:type="spellEnd"/>
            <w:r w:rsidRPr="0026420A">
              <w:rPr>
                <w:i/>
                <w:iCs/>
              </w:rPr>
              <w:t xml:space="preserve">, furnizorii de servicii de </w:t>
            </w:r>
            <w:proofErr w:type="spellStart"/>
            <w:r w:rsidRPr="0026420A">
              <w:rPr>
                <w:i/>
                <w:iCs/>
              </w:rPr>
              <w:t>criptoactive</w:t>
            </w:r>
            <w:proofErr w:type="spellEnd"/>
            <w:r w:rsidRPr="0026420A">
              <w:t xml:space="preserve">”.” </w:t>
            </w:r>
          </w:p>
          <w:p w14:paraId="081AC972" w14:textId="77777777" w:rsidR="009A1A36" w:rsidRPr="0026420A" w:rsidRDefault="009A1A36" w:rsidP="00EC2519">
            <w:pPr>
              <w:tabs>
                <w:tab w:val="left" w:pos="1635"/>
              </w:tabs>
              <w:ind w:firstLine="0"/>
            </w:pPr>
            <w:r w:rsidRPr="0026420A">
              <w:t>- La art.</w:t>
            </w:r>
            <w:r w:rsidRPr="0026420A">
              <w:rPr>
                <w:b/>
                <w:bCs/>
              </w:rPr>
              <w:t xml:space="preserve"> 6 lit. h) </w:t>
            </w:r>
            <w:r w:rsidRPr="0026420A">
              <w:t xml:space="preserve">se completează cu o liniuță nouă cu următorul cuprins „– </w:t>
            </w:r>
            <w:r w:rsidRPr="0026420A">
              <w:rPr>
                <w:i/>
                <w:iCs/>
              </w:rPr>
              <w:t xml:space="preserve">plățile datorate de furnizorii de servicii de </w:t>
            </w:r>
            <w:proofErr w:type="spellStart"/>
            <w:r w:rsidRPr="0026420A">
              <w:rPr>
                <w:i/>
                <w:iCs/>
              </w:rPr>
              <w:t>criptoactive</w:t>
            </w:r>
            <w:proofErr w:type="spellEnd"/>
            <w:r w:rsidRPr="0026420A">
              <w:rPr>
                <w:i/>
                <w:iCs/>
              </w:rPr>
              <w:t xml:space="preserve"> și/sau de </w:t>
            </w:r>
            <w:r w:rsidRPr="0026420A">
              <w:rPr>
                <w:i/>
                <w:iCs/>
              </w:rPr>
              <w:lastRenderedPageBreak/>
              <w:t xml:space="preserve">emitenții de </w:t>
            </w:r>
            <w:proofErr w:type="spellStart"/>
            <w:r w:rsidRPr="0026420A">
              <w:rPr>
                <w:i/>
                <w:iCs/>
              </w:rPr>
              <w:t>criptoactive</w:t>
            </w:r>
            <w:proofErr w:type="spellEnd"/>
            <w:r w:rsidRPr="0026420A">
              <w:rPr>
                <w:i/>
                <w:iCs/>
              </w:rPr>
              <w:t>, în mărime de până la 0,1 la sută din valoarea anuală a venitului din prestarea serviciilor stabilite în condițiile legii.</w:t>
            </w:r>
            <w:r w:rsidRPr="0026420A">
              <w:t xml:space="preserve">”. </w:t>
            </w:r>
          </w:p>
          <w:p w14:paraId="7CCDA5E5" w14:textId="06AECDF8" w:rsidR="009A1A36" w:rsidRPr="0026420A" w:rsidRDefault="009A1A36" w:rsidP="00FA397B">
            <w:pPr>
              <w:tabs>
                <w:tab w:val="left" w:pos="1635"/>
              </w:tabs>
              <w:ind w:firstLine="0"/>
            </w:pPr>
            <w:r w:rsidRPr="0026420A">
              <w:t>- La art.</w:t>
            </w:r>
            <w:r w:rsidRPr="0026420A">
              <w:rPr>
                <w:b/>
                <w:bCs/>
              </w:rPr>
              <w:t xml:space="preserve"> 8 lit. m)</w:t>
            </w:r>
            <w:r w:rsidRPr="0026420A">
              <w:t>, după textul „</w:t>
            </w:r>
            <w:r w:rsidRPr="0026420A">
              <w:rPr>
                <w:i/>
                <w:iCs/>
              </w:rPr>
              <w:t>registrul agențiilor de rating de credit</w:t>
            </w:r>
            <w:r w:rsidRPr="0026420A">
              <w:t>” se completează cu textul „</w:t>
            </w:r>
            <w:r w:rsidRPr="0026420A">
              <w:rPr>
                <w:i/>
                <w:iCs/>
              </w:rPr>
              <w:t xml:space="preserve">registrul privind </w:t>
            </w:r>
            <w:proofErr w:type="spellStart"/>
            <w:r w:rsidRPr="0026420A">
              <w:rPr>
                <w:i/>
                <w:iCs/>
              </w:rPr>
              <w:t>criptoactivele</w:t>
            </w:r>
            <w:proofErr w:type="spellEnd"/>
            <w:r w:rsidRPr="0026420A">
              <w:t>”.</w:t>
            </w:r>
          </w:p>
        </w:tc>
        <w:tc>
          <w:tcPr>
            <w:tcW w:w="5281" w:type="dxa"/>
            <w:tcMar>
              <w:top w:w="0" w:type="dxa"/>
              <w:left w:w="108" w:type="dxa"/>
              <w:bottom w:w="0" w:type="dxa"/>
              <w:right w:w="108" w:type="dxa"/>
            </w:tcMar>
          </w:tcPr>
          <w:p w14:paraId="2277F2C8" w14:textId="77777777" w:rsidR="009A1A36" w:rsidRPr="0026420A" w:rsidRDefault="009A1A36" w:rsidP="00EC2519">
            <w:pPr>
              <w:ind w:firstLine="0"/>
              <w:rPr>
                <w:b/>
                <w:bCs/>
              </w:rPr>
            </w:pPr>
            <w:r w:rsidRPr="0026420A">
              <w:rPr>
                <w:b/>
                <w:bCs/>
              </w:rPr>
              <w:lastRenderedPageBreak/>
              <w:t>Se acceptă.</w:t>
            </w:r>
          </w:p>
          <w:p w14:paraId="6EA9B167" w14:textId="77777777" w:rsidR="009A1A36" w:rsidRPr="0026420A" w:rsidRDefault="009A1A36" w:rsidP="00C407B1">
            <w:pPr>
              <w:ind w:firstLine="0"/>
            </w:pPr>
            <w:r w:rsidRPr="0026420A">
              <w:t>Articolul 3 se completează după textul „</w:t>
            </w:r>
            <w:r w:rsidRPr="0026420A">
              <w:rPr>
                <w:i/>
                <w:iCs/>
              </w:rPr>
              <w:t>pe piața de capital</w:t>
            </w:r>
            <w:r w:rsidRPr="0026420A">
              <w:t>” cu textul „</w:t>
            </w:r>
            <w:r w:rsidRPr="0026420A">
              <w:rPr>
                <w:i/>
                <w:iCs/>
              </w:rPr>
              <w:t xml:space="preserve">și pe piața </w:t>
            </w:r>
            <w:proofErr w:type="spellStart"/>
            <w:r w:rsidRPr="0026420A">
              <w:rPr>
                <w:i/>
                <w:iCs/>
              </w:rPr>
              <w:t>criptoactivelor</w:t>
            </w:r>
            <w:proofErr w:type="spellEnd"/>
            <w:r w:rsidRPr="0026420A">
              <w:rPr>
                <w:i/>
                <w:iCs/>
              </w:rPr>
              <w:t xml:space="preserve">, respectiv în raport cu emitenții, ofertanții, persoanele care solicită admiterea la tranzacționare </w:t>
            </w:r>
            <w:r w:rsidRPr="0026420A">
              <w:rPr>
                <w:b/>
                <w:bCs/>
                <w:i/>
                <w:iCs/>
              </w:rPr>
              <w:t xml:space="preserve">a </w:t>
            </w:r>
            <w:proofErr w:type="spellStart"/>
            <w:r w:rsidRPr="0026420A">
              <w:rPr>
                <w:b/>
                <w:bCs/>
                <w:i/>
                <w:iCs/>
              </w:rPr>
              <w:t>criptoactivelor</w:t>
            </w:r>
            <w:proofErr w:type="spellEnd"/>
            <w:r w:rsidRPr="0026420A">
              <w:rPr>
                <w:b/>
                <w:bCs/>
                <w:i/>
                <w:iCs/>
              </w:rPr>
              <w:t xml:space="preserve">, altele decât </w:t>
            </w:r>
            <w:proofErr w:type="spellStart"/>
            <w:r w:rsidRPr="0026420A">
              <w:rPr>
                <w:b/>
                <w:bCs/>
                <w:i/>
                <w:iCs/>
              </w:rPr>
              <w:t>tokenurile</w:t>
            </w:r>
            <w:proofErr w:type="spellEnd"/>
            <w:r w:rsidRPr="0026420A">
              <w:rPr>
                <w:b/>
                <w:bCs/>
                <w:i/>
                <w:iCs/>
              </w:rPr>
              <w:t xml:space="preserve"> raportate la active și </w:t>
            </w:r>
            <w:proofErr w:type="spellStart"/>
            <w:r w:rsidRPr="0026420A">
              <w:rPr>
                <w:b/>
                <w:bCs/>
                <w:i/>
                <w:iCs/>
              </w:rPr>
              <w:t>tokenurile</w:t>
            </w:r>
            <w:proofErr w:type="spellEnd"/>
            <w:r w:rsidRPr="0026420A">
              <w:rPr>
                <w:b/>
                <w:bCs/>
                <w:i/>
                <w:iCs/>
              </w:rPr>
              <w:t xml:space="preserve"> de monedă electronică, emitenții de </w:t>
            </w:r>
            <w:proofErr w:type="spellStart"/>
            <w:r w:rsidRPr="0026420A">
              <w:rPr>
                <w:b/>
                <w:bCs/>
                <w:i/>
                <w:iCs/>
              </w:rPr>
              <w:t>tokenuri</w:t>
            </w:r>
            <w:proofErr w:type="spellEnd"/>
            <w:r w:rsidRPr="0026420A">
              <w:rPr>
                <w:b/>
                <w:bCs/>
                <w:i/>
                <w:iCs/>
              </w:rPr>
              <w:t xml:space="preserve"> raportate la active</w:t>
            </w:r>
            <w:r w:rsidRPr="0026420A">
              <w:rPr>
                <w:i/>
                <w:iCs/>
              </w:rPr>
              <w:t xml:space="preserve"> și furnizorii de servicii de </w:t>
            </w:r>
            <w:proofErr w:type="spellStart"/>
            <w:r w:rsidRPr="0026420A">
              <w:rPr>
                <w:i/>
                <w:iCs/>
              </w:rPr>
              <w:t>criptoactive</w:t>
            </w:r>
            <w:proofErr w:type="spellEnd"/>
            <w:r w:rsidRPr="0026420A">
              <w:t>”,  iar după textul „</w:t>
            </w:r>
            <w:r w:rsidRPr="0026420A">
              <w:rPr>
                <w:i/>
                <w:iCs/>
              </w:rPr>
              <w:t xml:space="preserve">manipulării pe </w:t>
            </w:r>
            <w:proofErr w:type="spellStart"/>
            <w:r w:rsidRPr="0026420A">
              <w:rPr>
                <w:i/>
                <w:iCs/>
              </w:rPr>
              <w:t>piaţa</w:t>
            </w:r>
            <w:proofErr w:type="spellEnd"/>
            <w:r w:rsidRPr="0026420A">
              <w:rPr>
                <w:i/>
                <w:iCs/>
              </w:rPr>
              <w:t xml:space="preserve"> de capital</w:t>
            </w:r>
            <w:r w:rsidRPr="0026420A">
              <w:t>” se completează cu textul „</w:t>
            </w:r>
            <w:r w:rsidRPr="0026420A">
              <w:rPr>
                <w:i/>
                <w:iCs/>
              </w:rPr>
              <w:t xml:space="preserve">și pe piața </w:t>
            </w:r>
            <w:proofErr w:type="spellStart"/>
            <w:r w:rsidRPr="0026420A">
              <w:rPr>
                <w:i/>
                <w:iCs/>
              </w:rPr>
              <w:t>criptoactivelor</w:t>
            </w:r>
            <w:proofErr w:type="spellEnd"/>
            <w:r w:rsidRPr="0026420A">
              <w:t>”.</w:t>
            </w:r>
          </w:p>
          <w:p w14:paraId="7F07B8F2" w14:textId="77777777" w:rsidR="009A1A36" w:rsidRPr="0026420A" w:rsidRDefault="009A1A36" w:rsidP="00767EC0">
            <w:pPr>
              <w:ind w:firstLine="0"/>
            </w:pPr>
            <w:r w:rsidRPr="0026420A">
              <w:t>La articolul 4: alineatul (1) se completează după textul „și investitorii” cu textul: „</w:t>
            </w:r>
            <w:r w:rsidRPr="0026420A">
              <w:rPr>
                <w:i/>
                <w:iCs/>
              </w:rPr>
              <w:t xml:space="preserve">emitenții, ofertanții și persoanele care solicită admiterea la tranzacționare </w:t>
            </w:r>
            <w:r w:rsidRPr="0026420A">
              <w:rPr>
                <w:b/>
                <w:bCs/>
                <w:i/>
                <w:iCs/>
              </w:rPr>
              <w:t xml:space="preserve">a </w:t>
            </w:r>
            <w:proofErr w:type="spellStart"/>
            <w:r w:rsidRPr="0026420A">
              <w:rPr>
                <w:b/>
                <w:bCs/>
                <w:i/>
                <w:iCs/>
              </w:rPr>
              <w:t>criptoactivelor</w:t>
            </w:r>
            <w:proofErr w:type="spellEnd"/>
            <w:r w:rsidRPr="0026420A">
              <w:rPr>
                <w:b/>
                <w:bCs/>
                <w:i/>
                <w:iCs/>
              </w:rPr>
              <w:t xml:space="preserve">, altele decât </w:t>
            </w:r>
            <w:proofErr w:type="spellStart"/>
            <w:r w:rsidRPr="0026420A">
              <w:rPr>
                <w:b/>
                <w:bCs/>
                <w:i/>
                <w:iCs/>
              </w:rPr>
              <w:t>tokenurile</w:t>
            </w:r>
            <w:proofErr w:type="spellEnd"/>
            <w:r w:rsidRPr="0026420A">
              <w:rPr>
                <w:b/>
                <w:bCs/>
                <w:i/>
                <w:iCs/>
              </w:rPr>
              <w:t xml:space="preserve"> raportate la active și </w:t>
            </w:r>
            <w:proofErr w:type="spellStart"/>
            <w:r w:rsidRPr="0026420A">
              <w:rPr>
                <w:b/>
                <w:bCs/>
                <w:i/>
                <w:iCs/>
              </w:rPr>
              <w:t>tokenurile</w:t>
            </w:r>
            <w:proofErr w:type="spellEnd"/>
            <w:r w:rsidRPr="0026420A">
              <w:rPr>
                <w:b/>
                <w:bCs/>
                <w:i/>
                <w:iCs/>
              </w:rPr>
              <w:t xml:space="preserve"> de monedă electronică, emitenții de </w:t>
            </w:r>
            <w:proofErr w:type="spellStart"/>
            <w:r w:rsidRPr="0026420A">
              <w:rPr>
                <w:b/>
                <w:bCs/>
                <w:i/>
                <w:iCs/>
              </w:rPr>
              <w:t>tokenuri</w:t>
            </w:r>
            <w:proofErr w:type="spellEnd"/>
            <w:r w:rsidRPr="0026420A">
              <w:rPr>
                <w:b/>
                <w:bCs/>
                <w:i/>
                <w:iCs/>
              </w:rPr>
              <w:t xml:space="preserve"> raportate la active</w:t>
            </w:r>
            <w:r w:rsidRPr="0026420A">
              <w:rPr>
                <w:i/>
                <w:iCs/>
              </w:rPr>
              <w:t xml:space="preserve">, furnizorii de servicii de </w:t>
            </w:r>
            <w:proofErr w:type="spellStart"/>
            <w:r w:rsidRPr="0026420A">
              <w:rPr>
                <w:i/>
                <w:iCs/>
              </w:rPr>
              <w:t>criptoactive</w:t>
            </w:r>
            <w:proofErr w:type="spellEnd"/>
            <w:r w:rsidRPr="0026420A">
              <w:t>”.</w:t>
            </w:r>
          </w:p>
          <w:p w14:paraId="664F17EB" w14:textId="77777777" w:rsidR="009A1A36" w:rsidRPr="0026420A" w:rsidRDefault="009A1A36" w:rsidP="0003764F">
            <w:pPr>
              <w:ind w:firstLine="0"/>
            </w:pPr>
            <w:r w:rsidRPr="0026420A">
              <w:lastRenderedPageBreak/>
              <w:t xml:space="preserve">La articolul 6: litera h), se completează cu o liniuță nouă cu următorul cuprins:„– plățile furnizorilor de servicii de </w:t>
            </w:r>
            <w:proofErr w:type="spellStart"/>
            <w:r w:rsidRPr="0026420A">
              <w:t>criptoactive</w:t>
            </w:r>
            <w:proofErr w:type="spellEnd"/>
            <w:r w:rsidRPr="0026420A">
              <w:t xml:space="preserve">, </w:t>
            </w:r>
            <w:r w:rsidRPr="0026420A">
              <w:rPr>
                <w:b/>
                <w:bCs/>
              </w:rPr>
              <w:t xml:space="preserve">emitenților de </w:t>
            </w:r>
            <w:proofErr w:type="spellStart"/>
            <w:r w:rsidRPr="0026420A">
              <w:rPr>
                <w:b/>
                <w:bCs/>
              </w:rPr>
              <w:t>criptoactive</w:t>
            </w:r>
            <w:proofErr w:type="spellEnd"/>
            <w:r w:rsidRPr="0026420A">
              <w:rPr>
                <w:b/>
                <w:bCs/>
              </w:rPr>
              <w:t xml:space="preserve">, altele decât </w:t>
            </w:r>
            <w:proofErr w:type="spellStart"/>
            <w:r w:rsidRPr="0026420A">
              <w:rPr>
                <w:b/>
                <w:bCs/>
              </w:rPr>
              <w:t>tokenurile</w:t>
            </w:r>
            <w:proofErr w:type="spellEnd"/>
            <w:r w:rsidRPr="0026420A">
              <w:rPr>
                <w:b/>
                <w:bCs/>
              </w:rPr>
              <w:t xml:space="preserve"> raportate la active și </w:t>
            </w:r>
            <w:proofErr w:type="spellStart"/>
            <w:r w:rsidRPr="0026420A">
              <w:rPr>
                <w:b/>
                <w:bCs/>
              </w:rPr>
              <w:t>tokenurile</w:t>
            </w:r>
            <w:proofErr w:type="spellEnd"/>
            <w:r w:rsidRPr="0026420A">
              <w:rPr>
                <w:b/>
                <w:bCs/>
              </w:rPr>
              <w:t xml:space="preserve"> de monedă electronică, emitenților de </w:t>
            </w:r>
            <w:proofErr w:type="spellStart"/>
            <w:r w:rsidRPr="0026420A">
              <w:rPr>
                <w:b/>
                <w:bCs/>
              </w:rPr>
              <w:t>tokenuri</w:t>
            </w:r>
            <w:proofErr w:type="spellEnd"/>
            <w:r w:rsidRPr="0026420A">
              <w:rPr>
                <w:b/>
                <w:bCs/>
              </w:rPr>
              <w:t xml:space="preserve"> raportate la active</w:t>
            </w:r>
            <w:r w:rsidRPr="0026420A">
              <w:t xml:space="preserve">, în mărime de până la 0,1 la sută din valoarea anuală a venitului din prestarea serviciilor </w:t>
            </w:r>
            <w:r w:rsidRPr="0026420A">
              <w:rPr>
                <w:b/>
                <w:bCs/>
              </w:rPr>
              <w:t>sau a veniturilor înregistrate</w:t>
            </w:r>
            <w:r w:rsidRPr="0026420A">
              <w:t>;”.</w:t>
            </w:r>
          </w:p>
          <w:p w14:paraId="78623B1F" w14:textId="035583E4" w:rsidR="009A1A36" w:rsidRPr="0026420A" w:rsidRDefault="009A1A36" w:rsidP="00FA397B">
            <w:pPr>
              <w:ind w:firstLine="0"/>
              <w:rPr>
                <w:b/>
                <w:bCs/>
              </w:rPr>
            </w:pPr>
            <w:r w:rsidRPr="0026420A">
              <w:t xml:space="preserve">4. La articolul 8: litera m), se completează după textul „registrul agențiilor de rating de credit” cu textul „registrul privind </w:t>
            </w:r>
            <w:proofErr w:type="spellStart"/>
            <w:r w:rsidRPr="0026420A">
              <w:t>criptoactivele</w:t>
            </w:r>
            <w:proofErr w:type="spellEnd"/>
            <w:r w:rsidRPr="0026420A">
              <w:t>”.</w:t>
            </w:r>
          </w:p>
        </w:tc>
      </w:tr>
      <w:tr w:rsidR="009A1A36" w:rsidRPr="0026420A" w14:paraId="2AA95140" w14:textId="77777777" w:rsidTr="001F4857">
        <w:trPr>
          <w:trHeight w:val="300"/>
        </w:trPr>
        <w:tc>
          <w:tcPr>
            <w:tcW w:w="2206" w:type="dxa"/>
            <w:vMerge/>
            <w:tcBorders>
              <w:bottom w:val="single" w:sz="4" w:space="0" w:color="auto"/>
            </w:tcBorders>
            <w:tcMar>
              <w:top w:w="0" w:type="dxa"/>
              <w:left w:w="108" w:type="dxa"/>
              <w:bottom w:w="0" w:type="dxa"/>
              <w:right w:w="108" w:type="dxa"/>
            </w:tcMar>
          </w:tcPr>
          <w:p w14:paraId="00666808" w14:textId="77777777" w:rsidR="009A1A36" w:rsidRPr="0026420A" w:rsidRDefault="009A1A36" w:rsidP="00EC2519">
            <w:pPr>
              <w:ind w:firstLine="0"/>
              <w:jc w:val="left"/>
              <w:rPr>
                <w:b/>
                <w:bCs/>
              </w:rPr>
            </w:pPr>
          </w:p>
        </w:tc>
        <w:tc>
          <w:tcPr>
            <w:tcW w:w="579" w:type="dxa"/>
            <w:tcMar>
              <w:top w:w="0" w:type="dxa"/>
              <w:left w:w="108" w:type="dxa"/>
              <w:bottom w:w="0" w:type="dxa"/>
              <w:right w:w="108" w:type="dxa"/>
            </w:tcMar>
          </w:tcPr>
          <w:p w14:paraId="73B1B0DA" w14:textId="77777777" w:rsidR="009A1A36" w:rsidRPr="0026420A" w:rsidRDefault="009A1A36" w:rsidP="00EC2519">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02DA9303" w14:textId="6DFF16B8" w:rsidR="009A1A36" w:rsidRPr="0026420A" w:rsidRDefault="009A1A36" w:rsidP="00EC2519">
            <w:pPr>
              <w:tabs>
                <w:tab w:val="left" w:pos="1635"/>
              </w:tabs>
              <w:ind w:firstLine="0"/>
              <w:rPr>
                <w:b/>
                <w:bCs/>
              </w:rPr>
            </w:pPr>
            <w:r w:rsidRPr="0026420A">
              <w:t xml:space="preserve">Proiectul de lege reprezintă o inițiativă importantă pentru creșterea siguranței investitorilor și a dezvoltării corecte a pieței de </w:t>
            </w:r>
            <w:proofErr w:type="spellStart"/>
            <w:r w:rsidRPr="0026420A">
              <w:t>criptoactive</w:t>
            </w:r>
            <w:proofErr w:type="spellEnd"/>
            <w:r w:rsidRPr="0026420A">
              <w:t>, respectiv CNPF susține proiectul supus avizării, cu revizuirea unor dispoziții ale acestuia conform obiecțiilor și recomandărilor expuse mai sus.</w:t>
            </w:r>
          </w:p>
        </w:tc>
        <w:tc>
          <w:tcPr>
            <w:tcW w:w="5281" w:type="dxa"/>
            <w:tcMar>
              <w:top w:w="0" w:type="dxa"/>
              <w:left w:w="108" w:type="dxa"/>
              <w:bottom w:w="0" w:type="dxa"/>
              <w:right w:w="108" w:type="dxa"/>
            </w:tcMar>
          </w:tcPr>
          <w:p w14:paraId="17E55078" w14:textId="77777777" w:rsidR="009A1A36" w:rsidRPr="0026420A" w:rsidRDefault="009A1A36" w:rsidP="00EC2519">
            <w:pPr>
              <w:ind w:firstLine="0"/>
              <w:rPr>
                <w:b/>
                <w:bCs/>
              </w:rPr>
            </w:pPr>
            <w:r w:rsidRPr="0026420A">
              <w:rPr>
                <w:b/>
                <w:bCs/>
              </w:rPr>
              <w:t>Se ia act.</w:t>
            </w:r>
          </w:p>
          <w:p w14:paraId="164686AD" w14:textId="534CB9AC" w:rsidR="009A1A36" w:rsidRPr="0026420A" w:rsidRDefault="009A1A36" w:rsidP="00EC2519">
            <w:pPr>
              <w:ind w:firstLine="0"/>
            </w:pPr>
            <w:r w:rsidRPr="0026420A">
              <w:t>Nu necesită intervenție.</w:t>
            </w:r>
          </w:p>
        </w:tc>
      </w:tr>
      <w:tr w:rsidR="00AC2C44" w:rsidRPr="0026420A" w14:paraId="1CB304E8" w14:textId="77777777" w:rsidTr="001F4857">
        <w:trPr>
          <w:trHeight w:val="4140"/>
        </w:trPr>
        <w:tc>
          <w:tcPr>
            <w:tcW w:w="2206" w:type="dxa"/>
            <w:vMerge/>
            <w:tcBorders>
              <w:top w:val="single" w:sz="4" w:space="0" w:color="auto"/>
            </w:tcBorders>
            <w:tcMar>
              <w:top w:w="0" w:type="dxa"/>
              <w:left w:w="108" w:type="dxa"/>
              <w:bottom w:w="0" w:type="dxa"/>
              <w:right w:w="108" w:type="dxa"/>
            </w:tcMar>
          </w:tcPr>
          <w:p w14:paraId="6FF02109" w14:textId="77777777" w:rsidR="00AC2C44" w:rsidRPr="0026420A" w:rsidRDefault="00AC2C44" w:rsidP="0080245F">
            <w:pPr>
              <w:ind w:firstLine="0"/>
              <w:jc w:val="left"/>
              <w:rPr>
                <w:b/>
              </w:rPr>
            </w:pPr>
          </w:p>
        </w:tc>
        <w:tc>
          <w:tcPr>
            <w:tcW w:w="579" w:type="dxa"/>
            <w:tcMar>
              <w:top w:w="0" w:type="dxa"/>
              <w:left w:w="108" w:type="dxa"/>
              <w:bottom w:w="0" w:type="dxa"/>
              <w:right w:w="108" w:type="dxa"/>
            </w:tcMar>
          </w:tcPr>
          <w:p w14:paraId="6A303F2B" w14:textId="77777777" w:rsidR="00AC2C44" w:rsidRPr="0026420A" w:rsidRDefault="00AC2C44" w:rsidP="00EC2519">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2EA673B0" w14:textId="77777777" w:rsidR="00AC2C44" w:rsidRPr="0026420A" w:rsidRDefault="00AC2C44" w:rsidP="00AC2C44">
            <w:pPr>
              <w:tabs>
                <w:tab w:val="left" w:pos="1635"/>
              </w:tabs>
              <w:ind w:firstLine="0"/>
            </w:pPr>
            <w:r w:rsidRPr="0026420A">
              <w:t xml:space="preserve">Propunerile formulate rezultă din promovarea noului cadru normativ privind piețele instrumentelor financiare și activitățile de investiții, care va substitui reglementările relevante cuprinse în Legea nr. 171/2012 privind piața de capital. În vederea asigurării coerenței și sustenabilității reglementării, precum și pentru evitarea unor viitoare modificări tehnice ale actului normativ, se propune utilizarea unor trimiteri la cadrul normativ relevant din domeniul piețelor instrumentelor financiare, în locul referințelor exprese la Legea nr. 171/2012 privind piața de capital, în acest sens, se propun următoarele modificări: </w:t>
            </w:r>
          </w:p>
          <w:p w14:paraId="57F439D9" w14:textId="42B10187" w:rsidR="00AC2C44" w:rsidRPr="0026420A" w:rsidRDefault="00AC2C44" w:rsidP="00AC2C44">
            <w:pPr>
              <w:tabs>
                <w:tab w:val="left" w:pos="1635"/>
              </w:tabs>
              <w:ind w:firstLine="0"/>
            </w:pPr>
            <w:r w:rsidRPr="0026420A">
              <w:rPr>
                <w:b/>
                <w:bCs/>
              </w:rPr>
              <w:t xml:space="preserve">1. </w:t>
            </w:r>
            <w:r w:rsidRPr="0026420A">
              <w:t xml:space="preserve">La art. 3 </w:t>
            </w:r>
            <w:proofErr w:type="spellStart"/>
            <w:r w:rsidRPr="0026420A">
              <w:t>subpct</w:t>
            </w:r>
            <w:proofErr w:type="spellEnd"/>
            <w:r w:rsidRPr="0026420A">
              <w:t>. 30, noțiunea „firmă de investiții” urmează a fi revizuită și definită prin raportare la legislația privind piețele instrumentelor financiare și activitățile de investiții. În acest sens, se propune ca noțiunea „firmă de investiții” să aibă următorul cuprins: „</w:t>
            </w:r>
            <w:r w:rsidRPr="0026420A">
              <w:rPr>
                <w:i/>
                <w:iCs/>
              </w:rPr>
              <w:t xml:space="preserve">firmă de </w:t>
            </w:r>
            <w:proofErr w:type="spellStart"/>
            <w:r w:rsidRPr="0026420A">
              <w:rPr>
                <w:i/>
                <w:iCs/>
              </w:rPr>
              <w:t>investiţii</w:t>
            </w:r>
            <w:proofErr w:type="spellEnd"/>
            <w:r w:rsidRPr="0026420A">
              <w:rPr>
                <w:i/>
                <w:iCs/>
              </w:rPr>
              <w:t xml:space="preserve"> </w:t>
            </w:r>
            <w:r w:rsidRPr="0026420A">
              <w:t xml:space="preserve">– orice persoană juridică a cărei </w:t>
            </w:r>
            <w:proofErr w:type="spellStart"/>
            <w:r w:rsidRPr="0026420A">
              <w:t>ocupaţie</w:t>
            </w:r>
            <w:proofErr w:type="spellEnd"/>
            <w:r w:rsidRPr="0026420A">
              <w:t xml:space="preserve"> sau activitate </w:t>
            </w:r>
            <w:proofErr w:type="spellStart"/>
            <w:r w:rsidRPr="0026420A">
              <w:t>obişnuită</w:t>
            </w:r>
            <w:proofErr w:type="spellEnd"/>
            <w:r w:rsidRPr="0026420A">
              <w:t xml:space="preserve"> constă în furnizarea unuia sau mai multor servicii de </w:t>
            </w:r>
            <w:proofErr w:type="spellStart"/>
            <w:r w:rsidRPr="0026420A">
              <w:t>investiţii</w:t>
            </w:r>
            <w:proofErr w:type="spellEnd"/>
            <w:r w:rsidRPr="0026420A">
              <w:t xml:space="preserve"> pentru </w:t>
            </w:r>
            <w:proofErr w:type="spellStart"/>
            <w:r w:rsidRPr="0026420A">
              <w:t>terţi</w:t>
            </w:r>
            <w:proofErr w:type="spellEnd"/>
            <w:r w:rsidRPr="0026420A">
              <w:t xml:space="preserve"> </w:t>
            </w:r>
            <w:proofErr w:type="spellStart"/>
            <w:r w:rsidRPr="0026420A">
              <w:t>şi</w:t>
            </w:r>
            <w:proofErr w:type="spellEnd"/>
            <w:r w:rsidRPr="0026420A">
              <w:t xml:space="preserve">/sau în </w:t>
            </w:r>
            <w:proofErr w:type="spellStart"/>
            <w:r w:rsidRPr="0026420A">
              <w:t>desfăşurarea</w:t>
            </w:r>
            <w:proofErr w:type="spellEnd"/>
            <w:r w:rsidRPr="0026420A">
              <w:t xml:space="preserve"> uneia sau mai multor </w:t>
            </w:r>
            <w:proofErr w:type="spellStart"/>
            <w:r w:rsidRPr="0026420A">
              <w:t>activităţi</w:t>
            </w:r>
            <w:proofErr w:type="spellEnd"/>
            <w:r w:rsidRPr="0026420A">
              <w:t xml:space="preserve"> de </w:t>
            </w:r>
            <w:proofErr w:type="spellStart"/>
            <w:r w:rsidRPr="0026420A">
              <w:t>investiţii</w:t>
            </w:r>
            <w:proofErr w:type="spellEnd"/>
            <w:r w:rsidRPr="0026420A">
              <w:t xml:space="preserve"> cu titlu profesional </w:t>
            </w:r>
            <w:proofErr w:type="spellStart"/>
            <w:r w:rsidRPr="0026420A">
              <w:t>atfel</w:t>
            </w:r>
            <w:proofErr w:type="spellEnd"/>
            <w:r w:rsidRPr="0026420A">
              <w:t xml:space="preserve"> cum este definită de legislația instrumentelor financiare.”</w:t>
            </w:r>
          </w:p>
        </w:tc>
        <w:tc>
          <w:tcPr>
            <w:tcW w:w="5281" w:type="dxa"/>
            <w:tcMar>
              <w:top w:w="0" w:type="dxa"/>
              <w:left w:w="108" w:type="dxa"/>
              <w:bottom w:w="0" w:type="dxa"/>
              <w:right w:w="108" w:type="dxa"/>
            </w:tcMar>
          </w:tcPr>
          <w:p w14:paraId="1F62A556" w14:textId="77777777" w:rsidR="00AC2C44" w:rsidRPr="0026420A" w:rsidRDefault="00AC2C44" w:rsidP="00AC2C44">
            <w:pPr>
              <w:pBdr>
                <w:top w:val="none" w:sz="4" w:space="0" w:color="000000"/>
                <w:left w:val="none" w:sz="4" w:space="0" w:color="000000"/>
                <w:bottom w:val="none" w:sz="4" w:space="0" w:color="000000"/>
                <w:right w:val="none" w:sz="4" w:space="0" w:color="000000"/>
              </w:pBdr>
              <w:ind w:firstLine="0"/>
              <w:rPr>
                <w:b/>
                <w:bCs/>
              </w:rPr>
            </w:pPr>
            <w:r w:rsidRPr="0026420A">
              <w:rPr>
                <w:b/>
                <w:bCs/>
              </w:rPr>
              <w:t>Se acceptă.</w:t>
            </w:r>
          </w:p>
          <w:p w14:paraId="4F5C22E2" w14:textId="266D8BEA" w:rsidR="00AC2C44" w:rsidRPr="0026420A" w:rsidRDefault="00AC2C44" w:rsidP="00AC2C44">
            <w:pPr>
              <w:pBdr>
                <w:top w:val="none" w:sz="4" w:space="0" w:color="000000"/>
                <w:left w:val="none" w:sz="4" w:space="0" w:color="000000"/>
                <w:bottom w:val="none" w:sz="4" w:space="0" w:color="000000"/>
                <w:right w:val="none" w:sz="4" w:space="0" w:color="000000"/>
              </w:pBdr>
              <w:ind w:firstLine="0"/>
              <w:rPr>
                <w:b/>
                <w:bCs/>
              </w:rPr>
            </w:pPr>
            <w:r w:rsidRPr="0026420A">
              <w:t>Textul prevederilor din proiectul de Lege se ajustează/modifică corespunzător.</w:t>
            </w:r>
          </w:p>
        </w:tc>
      </w:tr>
      <w:tr w:rsidR="00541A05" w:rsidRPr="0026420A" w14:paraId="2A898925" w14:textId="77777777" w:rsidTr="001F4857">
        <w:trPr>
          <w:trHeight w:val="735"/>
        </w:trPr>
        <w:tc>
          <w:tcPr>
            <w:tcW w:w="2206" w:type="dxa"/>
            <w:vMerge/>
            <w:tcBorders>
              <w:top w:val="single" w:sz="4" w:space="0" w:color="auto"/>
            </w:tcBorders>
            <w:tcMar>
              <w:top w:w="0" w:type="dxa"/>
              <w:left w:w="108" w:type="dxa"/>
              <w:bottom w:w="0" w:type="dxa"/>
              <w:right w:w="108" w:type="dxa"/>
            </w:tcMar>
          </w:tcPr>
          <w:p w14:paraId="7F2FBAAC" w14:textId="77777777" w:rsidR="00541A05" w:rsidRPr="0026420A" w:rsidRDefault="00541A05" w:rsidP="0080245F">
            <w:pPr>
              <w:ind w:firstLine="0"/>
              <w:jc w:val="left"/>
              <w:rPr>
                <w:b/>
              </w:rPr>
            </w:pPr>
          </w:p>
        </w:tc>
        <w:tc>
          <w:tcPr>
            <w:tcW w:w="579" w:type="dxa"/>
            <w:tcBorders>
              <w:top w:val="single" w:sz="4" w:space="0" w:color="auto"/>
              <w:bottom w:val="single" w:sz="4" w:space="0" w:color="auto"/>
            </w:tcBorders>
            <w:tcMar>
              <w:top w:w="0" w:type="dxa"/>
              <w:left w:w="108" w:type="dxa"/>
              <w:bottom w:w="0" w:type="dxa"/>
              <w:right w:w="108" w:type="dxa"/>
            </w:tcMar>
          </w:tcPr>
          <w:p w14:paraId="65194654" w14:textId="77777777" w:rsidR="00541A05" w:rsidRPr="0026420A" w:rsidRDefault="00541A05" w:rsidP="00EC2519">
            <w:pPr>
              <w:pStyle w:val="Listparagraf"/>
              <w:numPr>
                <w:ilvl w:val="0"/>
                <w:numId w:val="1"/>
              </w:numPr>
              <w:ind w:left="0" w:right="5" w:firstLine="0"/>
              <w:contextualSpacing w:val="0"/>
            </w:pPr>
          </w:p>
        </w:tc>
        <w:tc>
          <w:tcPr>
            <w:tcW w:w="5821" w:type="dxa"/>
            <w:tcBorders>
              <w:top w:val="single" w:sz="4" w:space="0" w:color="auto"/>
              <w:bottom w:val="single" w:sz="4" w:space="0" w:color="auto"/>
            </w:tcBorders>
            <w:tcMar>
              <w:top w:w="0" w:type="dxa"/>
              <w:left w:w="108" w:type="dxa"/>
              <w:bottom w:w="0" w:type="dxa"/>
              <w:right w:w="108" w:type="dxa"/>
            </w:tcMar>
          </w:tcPr>
          <w:p w14:paraId="4D721620" w14:textId="77777777" w:rsidR="00541A05" w:rsidRPr="0026420A" w:rsidRDefault="00541A05" w:rsidP="00541A05">
            <w:pPr>
              <w:tabs>
                <w:tab w:val="left" w:pos="1635"/>
              </w:tabs>
              <w:ind w:firstLine="0"/>
            </w:pPr>
            <w:r w:rsidRPr="0026420A">
              <w:rPr>
                <w:b/>
                <w:bCs/>
              </w:rPr>
              <w:t xml:space="preserve">2. </w:t>
            </w:r>
            <w:r w:rsidRPr="0026420A">
              <w:t xml:space="preserve">La art. 3 </w:t>
            </w:r>
            <w:proofErr w:type="spellStart"/>
            <w:r w:rsidRPr="0026420A">
              <w:t>subpct</w:t>
            </w:r>
            <w:proofErr w:type="spellEnd"/>
            <w:r w:rsidRPr="0026420A">
              <w:t xml:space="preserve">. 31, textul „la art. 6 din Legea nr. 171/2012 privind piața de capital” se substituie cu textul „de legislația privind piețele instrumentelor financiare și activitățile de investiții”. </w:t>
            </w:r>
          </w:p>
          <w:p w14:paraId="15ABE972" w14:textId="77777777" w:rsidR="00541A05" w:rsidRPr="0026420A" w:rsidRDefault="00541A05" w:rsidP="007F5D73">
            <w:pPr>
              <w:tabs>
                <w:tab w:val="left" w:pos="1635"/>
              </w:tabs>
              <w:ind w:firstLine="0"/>
            </w:pPr>
          </w:p>
        </w:tc>
        <w:tc>
          <w:tcPr>
            <w:tcW w:w="5281" w:type="dxa"/>
            <w:tcBorders>
              <w:top w:val="single" w:sz="4" w:space="0" w:color="auto"/>
              <w:bottom w:val="single" w:sz="4" w:space="0" w:color="auto"/>
            </w:tcBorders>
            <w:tcMar>
              <w:top w:w="0" w:type="dxa"/>
              <w:left w:w="108" w:type="dxa"/>
              <w:bottom w:w="0" w:type="dxa"/>
              <w:right w:w="108" w:type="dxa"/>
            </w:tcMar>
          </w:tcPr>
          <w:p w14:paraId="33B4C903" w14:textId="77777777" w:rsidR="003C4248" w:rsidRPr="0026420A" w:rsidRDefault="003C4248" w:rsidP="003C4248">
            <w:pPr>
              <w:pBdr>
                <w:top w:val="none" w:sz="4" w:space="0" w:color="000000"/>
                <w:left w:val="none" w:sz="4" w:space="0" w:color="000000"/>
                <w:bottom w:val="none" w:sz="4" w:space="0" w:color="000000"/>
                <w:right w:val="none" w:sz="4" w:space="0" w:color="000000"/>
              </w:pBdr>
              <w:ind w:firstLine="0"/>
              <w:rPr>
                <w:b/>
                <w:bCs/>
              </w:rPr>
            </w:pPr>
            <w:r w:rsidRPr="0026420A">
              <w:rPr>
                <w:b/>
                <w:bCs/>
              </w:rPr>
              <w:t>Se acceptă.</w:t>
            </w:r>
          </w:p>
          <w:p w14:paraId="7F278796" w14:textId="39903827" w:rsidR="00541A05" w:rsidRPr="0026420A" w:rsidRDefault="003C4248" w:rsidP="003C4248">
            <w:pPr>
              <w:ind w:firstLine="0"/>
              <w:rPr>
                <w:b/>
                <w:bCs/>
              </w:rPr>
            </w:pPr>
            <w:r w:rsidRPr="0026420A">
              <w:t>Textul prevederilor din proiectul de Lege se ajustează/modifică corespunzător.</w:t>
            </w:r>
          </w:p>
        </w:tc>
      </w:tr>
      <w:tr w:rsidR="00541A05" w:rsidRPr="0026420A" w14:paraId="01973641" w14:textId="77777777" w:rsidTr="001F4857">
        <w:trPr>
          <w:trHeight w:val="525"/>
        </w:trPr>
        <w:tc>
          <w:tcPr>
            <w:tcW w:w="2206" w:type="dxa"/>
            <w:vMerge/>
            <w:tcBorders>
              <w:top w:val="single" w:sz="4" w:space="0" w:color="auto"/>
            </w:tcBorders>
            <w:tcMar>
              <w:top w:w="0" w:type="dxa"/>
              <w:left w:w="108" w:type="dxa"/>
              <w:bottom w:w="0" w:type="dxa"/>
              <w:right w:w="108" w:type="dxa"/>
            </w:tcMar>
          </w:tcPr>
          <w:p w14:paraId="4FB3DE67" w14:textId="77777777" w:rsidR="00541A05" w:rsidRPr="0026420A" w:rsidRDefault="00541A05" w:rsidP="0080245F">
            <w:pPr>
              <w:ind w:firstLine="0"/>
              <w:jc w:val="left"/>
              <w:rPr>
                <w:b/>
              </w:rPr>
            </w:pPr>
          </w:p>
        </w:tc>
        <w:tc>
          <w:tcPr>
            <w:tcW w:w="579" w:type="dxa"/>
            <w:tcBorders>
              <w:top w:val="single" w:sz="4" w:space="0" w:color="auto"/>
              <w:bottom w:val="single" w:sz="4" w:space="0" w:color="auto"/>
            </w:tcBorders>
            <w:tcMar>
              <w:top w:w="0" w:type="dxa"/>
              <w:left w:w="108" w:type="dxa"/>
              <w:bottom w:w="0" w:type="dxa"/>
              <w:right w:w="108" w:type="dxa"/>
            </w:tcMar>
          </w:tcPr>
          <w:p w14:paraId="4267E8BD" w14:textId="77777777" w:rsidR="00541A05" w:rsidRPr="0026420A" w:rsidRDefault="00541A05" w:rsidP="00EC2519">
            <w:pPr>
              <w:pStyle w:val="Listparagraf"/>
              <w:numPr>
                <w:ilvl w:val="0"/>
                <w:numId w:val="1"/>
              </w:numPr>
              <w:ind w:left="0" w:right="5" w:firstLine="0"/>
              <w:contextualSpacing w:val="0"/>
            </w:pPr>
          </w:p>
        </w:tc>
        <w:tc>
          <w:tcPr>
            <w:tcW w:w="5821" w:type="dxa"/>
            <w:tcBorders>
              <w:top w:val="single" w:sz="4" w:space="0" w:color="auto"/>
              <w:bottom w:val="single" w:sz="4" w:space="0" w:color="auto"/>
            </w:tcBorders>
            <w:tcMar>
              <w:top w:w="0" w:type="dxa"/>
              <w:left w:w="108" w:type="dxa"/>
              <w:bottom w:w="0" w:type="dxa"/>
              <w:right w:w="108" w:type="dxa"/>
            </w:tcMar>
          </w:tcPr>
          <w:p w14:paraId="308AF302" w14:textId="77777777" w:rsidR="00541A05" w:rsidRPr="0026420A" w:rsidRDefault="00541A05" w:rsidP="00541A05">
            <w:pPr>
              <w:tabs>
                <w:tab w:val="left" w:pos="1635"/>
              </w:tabs>
              <w:ind w:firstLine="0"/>
            </w:pPr>
            <w:r w:rsidRPr="0026420A">
              <w:rPr>
                <w:b/>
                <w:bCs/>
              </w:rPr>
              <w:t xml:space="preserve">4. </w:t>
            </w:r>
            <w:r w:rsidRPr="0026420A">
              <w:t xml:space="preserve">La art. 3 </w:t>
            </w:r>
            <w:proofErr w:type="spellStart"/>
            <w:r w:rsidRPr="0026420A">
              <w:t>subpct</w:t>
            </w:r>
            <w:proofErr w:type="spellEnd"/>
            <w:r w:rsidRPr="0026420A">
              <w:t xml:space="preserve">. 38, textul „Legea nr. 171/2012 privind piața de capital” se substituie cu textul „legislația privind piețele instrumentelor financiare și activitățile de investiții”. </w:t>
            </w:r>
          </w:p>
          <w:p w14:paraId="275873E7" w14:textId="77777777" w:rsidR="00541A05" w:rsidRPr="0026420A" w:rsidRDefault="00541A05" w:rsidP="007F5D73">
            <w:pPr>
              <w:tabs>
                <w:tab w:val="left" w:pos="1635"/>
              </w:tabs>
              <w:ind w:firstLine="0"/>
              <w:rPr>
                <w:b/>
                <w:bCs/>
              </w:rPr>
            </w:pPr>
          </w:p>
        </w:tc>
        <w:tc>
          <w:tcPr>
            <w:tcW w:w="5281" w:type="dxa"/>
            <w:tcBorders>
              <w:top w:val="single" w:sz="4" w:space="0" w:color="auto"/>
              <w:bottom w:val="single" w:sz="4" w:space="0" w:color="auto"/>
            </w:tcBorders>
            <w:tcMar>
              <w:top w:w="0" w:type="dxa"/>
              <w:left w:w="108" w:type="dxa"/>
              <w:bottom w:w="0" w:type="dxa"/>
              <w:right w:w="108" w:type="dxa"/>
            </w:tcMar>
          </w:tcPr>
          <w:p w14:paraId="18EF3EC1" w14:textId="77777777" w:rsidR="003C4248" w:rsidRPr="0026420A" w:rsidRDefault="003C4248" w:rsidP="003C4248">
            <w:pPr>
              <w:pBdr>
                <w:top w:val="none" w:sz="4" w:space="0" w:color="000000"/>
                <w:left w:val="none" w:sz="4" w:space="0" w:color="000000"/>
                <w:bottom w:val="none" w:sz="4" w:space="0" w:color="000000"/>
                <w:right w:val="none" w:sz="4" w:space="0" w:color="000000"/>
              </w:pBdr>
              <w:ind w:firstLine="0"/>
              <w:rPr>
                <w:b/>
                <w:bCs/>
              </w:rPr>
            </w:pPr>
            <w:r w:rsidRPr="0026420A">
              <w:rPr>
                <w:b/>
                <w:bCs/>
              </w:rPr>
              <w:lastRenderedPageBreak/>
              <w:t>Se acceptă.</w:t>
            </w:r>
          </w:p>
          <w:p w14:paraId="07632536" w14:textId="2D472644" w:rsidR="00541A05" w:rsidRPr="0026420A" w:rsidRDefault="003C4248" w:rsidP="003C4248">
            <w:pPr>
              <w:ind w:firstLine="0"/>
              <w:rPr>
                <w:b/>
                <w:bCs/>
              </w:rPr>
            </w:pPr>
            <w:r w:rsidRPr="0026420A">
              <w:t>Textul prevederilor din proiectul de Lege se ajustează/modifică corespunzător.</w:t>
            </w:r>
          </w:p>
        </w:tc>
      </w:tr>
      <w:tr w:rsidR="00541A05" w:rsidRPr="0026420A" w14:paraId="450B470F" w14:textId="77777777" w:rsidTr="001F4857">
        <w:trPr>
          <w:trHeight w:val="450"/>
        </w:trPr>
        <w:tc>
          <w:tcPr>
            <w:tcW w:w="2206" w:type="dxa"/>
            <w:vMerge/>
            <w:tcBorders>
              <w:top w:val="single" w:sz="4" w:space="0" w:color="auto"/>
            </w:tcBorders>
            <w:tcMar>
              <w:top w:w="0" w:type="dxa"/>
              <w:left w:w="108" w:type="dxa"/>
              <w:bottom w:w="0" w:type="dxa"/>
              <w:right w:w="108" w:type="dxa"/>
            </w:tcMar>
          </w:tcPr>
          <w:p w14:paraId="661FF582" w14:textId="77777777" w:rsidR="00541A05" w:rsidRPr="0026420A" w:rsidRDefault="00541A05" w:rsidP="0080245F">
            <w:pPr>
              <w:ind w:firstLine="0"/>
              <w:jc w:val="left"/>
              <w:rPr>
                <w:b/>
              </w:rPr>
            </w:pPr>
          </w:p>
        </w:tc>
        <w:tc>
          <w:tcPr>
            <w:tcW w:w="579" w:type="dxa"/>
            <w:tcBorders>
              <w:top w:val="single" w:sz="4" w:space="0" w:color="auto"/>
              <w:bottom w:val="single" w:sz="4" w:space="0" w:color="auto"/>
            </w:tcBorders>
            <w:tcMar>
              <w:top w:w="0" w:type="dxa"/>
              <w:left w:w="108" w:type="dxa"/>
              <w:bottom w:w="0" w:type="dxa"/>
              <w:right w:w="108" w:type="dxa"/>
            </w:tcMar>
          </w:tcPr>
          <w:p w14:paraId="731A69B2" w14:textId="77777777" w:rsidR="00541A05" w:rsidRPr="0026420A" w:rsidRDefault="00541A05" w:rsidP="00EC2519">
            <w:pPr>
              <w:pStyle w:val="Listparagraf"/>
              <w:numPr>
                <w:ilvl w:val="0"/>
                <w:numId w:val="1"/>
              </w:numPr>
              <w:ind w:left="0" w:right="5" w:firstLine="0"/>
              <w:contextualSpacing w:val="0"/>
            </w:pPr>
          </w:p>
        </w:tc>
        <w:tc>
          <w:tcPr>
            <w:tcW w:w="5821" w:type="dxa"/>
            <w:tcBorders>
              <w:top w:val="single" w:sz="4" w:space="0" w:color="auto"/>
              <w:bottom w:val="single" w:sz="4" w:space="0" w:color="auto"/>
            </w:tcBorders>
            <w:tcMar>
              <w:top w:w="0" w:type="dxa"/>
              <w:left w:w="108" w:type="dxa"/>
              <w:bottom w:w="0" w:type="dxa"/>
              <w:right w:w="108" w:type="dxa"/>
            </w:tcMar>
          </w:tcPr>
          <w:p w14:paraId="7D3DA7AB" w14:textId="77777777" w:rsidR="00541A05" w:rsidRPr="0026420A" w:rsidRDefault="00541A05" w:rsidP="00541A05">
            <w:pPr>
              <w:tabs>
                <w:tab w:val="left" w:pos="1635"/>
              </w:tabs>
              <w:ind w:firstLine="0"/>
            </w:pPr>
            <w:r w:rsidRPr="0026420A">
              <w:rPr>
                <w:b/>
                <w:bCs/>
              </w:rPr>
              <w:t xml:space="preserve">5. </w:t>
            </w:r>
            <w:r w:rsidRPr="0026420A">
              <w:t xml:space="preserve">La art. 3 </w:t>
            </w:r>
            <w:proofErr w:type="spellStart"/>
            <w:r w:rsidRPr="0026420A">
              <w:t>subpct</w:t>
            </w:r>
            <w:proofErr w:type="spellEnd"/>
            <w:r w:rsidRPr="0026420A">
              <w:t xml:space="preserve">. 45, textul „în sensul definiției de la art. 6 din Legea nr. 171/2012 privind piața de capital” se substituie cu textul „în sensul legislației privind fondurile de investiții”. </w:t>
            </w:r>
          </w:p>
          <w:p w14:paraId="5755B9F7" w14:textId="77777777" w:rsidR="00541A05" w:rsidRPr="0026420A" w:rsidRDefault="00541A05" w:rsidP="007F5D73">
            <w:pPr>
              <w:tabs>
                <w:tab w:val="left" w:pos="1635"/>
              </w:tabs>
              <w:ind w:firstLine="0"/>
              <w:rPr>
                <w:bCs/>
              </w:rPr>
            </w:pPr>
          </w:p>
        </w:tc>
        <w:tc>
          <w:tcPr>
            <w:tcW w:w="5281" w:type="dxa"/>
            <w:tcBorders>
              <w:top w:val="single" w:sz="4" w:space="0" w:color="auto"/>
              <w:bottom w:val="single" w:sz="4" w:space="0" w:color="auto"/>
            </w:tcBorders>
            <w:tcMar>
              <w:top w:w="0" w:type="dxa"/>
              <w:left w:w="108" w:type="dxa"/>
              <w:bottom w:w="0" w:type="dxa"/>
              <w:right w:w="108" w:type="dxa"/>
            </w:tcMar>
          </w:tcPr>
          <w:p w14:paraId="105216D3" w14:textId="77777777" w:rsidR="003C4248" w:rsidRPr="0026420A" w:rsidRDefault="003C4248" w:rsidP="003C4248">
            <w:pPr>
              <w:pBdr>
                <w:top w:val="none" w:sz="4" w:space="0" w:color="000000"/>
                <w:left w:val="none" w:sz="4" w:space="0" w:color="000000"/>
                <w:bottom w:val="none" w:sz="4" w:space="0" w:color="000000"/>
                <w:right w:val="none" w:sz="4" w:space="0" w:color="000000"/>
              </w:pBdr>
              <w:ind w:firstLine="0"/>
              <w:rPr>
                <w:b/>
                <w:bCs/>
              </w:rPr>
            </w:pPr>
            <w:r w:rsidRPr="0026420A">
              <w:rPr>
                <w:b/>
                <w:bCs/>
              </w:rPr>
              <w:t>Se acceptă.</w:t>
            </w:r>
          </w:p>
          <w:p w14:paraId="0ECC0C94" w14:textId="38425260" w:rsidR="00541A05" w:rsidRPr="0026420A" w:rsidRDefault="003C4248" w:rsidP="003C4248">
            <w:pPr>
              <w:ind w:firstLine="0"/>
              <w:rPr>
                <w:b/>
                <w:bCs/>
              </w:rPr>
            </w:pPr>
            <w:r w:rsidRPr="0026420A">
              <w:t>Textul prevederilor din proiectul de Lege se ajustează/modifică corespunzător.</w:t>
            </w:r>
          </w:p>
        </w:tc>
      </w:tr>
      <w:tr w:rsidR="00541A05" w:rsidRPr="0026420A" w14:paraId="3E3D9D8B" w14:textId="77777777" w:rsidTr="001F4857">
        <w:trPr>
          <w:trHeight w:val="465"/>
        </w:trPr>
        <w:tc>
          <w:tcPr>
            <w:tcW w:w="2206" w:type="dxa"/>
            <w:vMerge/>
            <w:tcBorders>
              <w:top w:val="single" w:sz="4" w:space="0" w:color="auto"/>
            </w:tcBorders>
            <w:tcMar>
              <w:top w:w="0" w:type="dxa"/>
              <w:left w:w="108" w:type="dxa"/>
              <w:bottom w:w="0" w:type="dxa"/>
              <w:right w:w="108" w:type="dxa"/>
            </w:tcMar>
          </w:tcPr>
          <w:p w14:paraId="1B99D326" w14:textId="77777777" w:rsidR="00541A05" w:rsidRPr="0026420A" w:rsidRDefault="00541A05" w:rsidP="0080245F">
            <w:pPr>
              <w:ind w:firstLine="0"/>
              <w:jc w:val="left"/>
              <w:rPr>
                <w:b/>
              </w:rPr>
            </w:pPr>
          </w:p>
        </w:tc>
        <w:tc>
          <w:tcPr>
            <w:tcW w:w="579" w:type="dxa"/>
            <w:tcBorders>
              <w:top w:val="single" w:sz="4" w:space="0" w:color="auto"/>
              <w:bottom w:val="single" w:sz="4" w:space="0" w:color="auto"/>
            </w:tcBorders>
            <w:tcMar>
              <w:top w:w="0" w:type="dxa"/>
              <w:left w:w="108" w:type="dxa"/>
              <w:bottom w:w="0" w:type="dxa"/>
              <w:right w:w="108" w:type="dxa"/>
            </w:tcMar>
          </w:tcPr>
          <w:p w14:paraId="7746259A" w14:textId="77777777" w:rsidR="00541A05" w:rsidRPr="0026420A" w:rsidRDefault="00541A05" w:rsidP="00EC2519">
            <w:pPr>
              <w:pStyle w:val="Listparagraf"/>
              <w:numPr>
                <w:ilvl w:val="0"/>
                <w:numId w:val="1"/>
              </w:numPr>
              <w:ind w:left="0" w:right="5" w:firstLine="0"/>
              <w:contextualSpacing w:val="0"/>
            </w:pPr>
          </w:p>
        </w:tc>
        <w:tc>
          <w:tcPr>
            <w:tcW w:w="5821" w:type="dxa"/>
            <w:tcBorders>
              <w:top w:val="single" w:sz="4" w:space="0" w:color="auto"/>
              <w:bottom w:val="single" w:sz="4" w:space="0" w:color="auto"/>
            </w:tcBorders>
            <w:tcMar>
              <w:top w:w="0" w:type="dxa"/>
              <w:left w:w="108" w:type="dxa"/>
              <w:bottom w:w="0" w:type="dxa"/>
              <w:right w:w="108" w:type="dxa"/>
            </w:tcMar>
          </w:tcPr>
          <w:p w14:paraId="3185B307" w14:textId="77777777" w:rsidR="00541A05" w:rsidRPr="0026420A" w:rsidRDefault="00541A05" w:rsidP="00541A05">
            <w:pPr>
              <w:tabs>
                <w:tab w:val="left" w:pos="1635"/>
              </w:tabs>
              <w:ind w:firstLine="0"/>
            </w:pPr>
            <w:r w:rsidRPr="0026420A">
              <w:rPr>
                <w:b/>
                <w:bCs/>
              </w:rPr>
              <w:t xml:space="preserve">6. </w:t>
            </w:r>
            <w:r w:rsidRPr="0026420A">
              <w:t xml:space="preserve">La art. 3 </w:t>
            </w:r>
            <w:proofErr w:type="spellStart"/>
            <w:r w:rsidRPr="0026420A">
              <w:t>subpct</w:t>
            </w:r>
            <w:proofErr w:type="spellEnd"/>
            <w:r w:rsidRPr="0026420A">
              <w:t>. 47, textul „astfel cum sunt enumerate la art. 4 alin. (1) din Legea nr. 171/2012 privind piața de capital” se substituie cu textul „astfel cum sunt definite de legislația privind piețele instrumentelor financiare și activitățile de investiții”.</w:t>
            </w:r>
          </w:p>
          <w:p w14:paraId="591D8C1D" w14:textId="77777777" w:rsidR="00541A05" w:rsidRPr="0026420A" w:rsidRDefault="00541A05" w:rsidP="007F5D73">
            <w:pPr>
              <w:tabs>
                <w:tab w:val="left" w:pos="1635"/>
              </w:tabs>
              <w:ind w:firstLine="0"/>
              <w:rPr>
                <w:b/>
                <w:bCs/>
              </w:rPr>
            </w:pPr>
          </w:p>
        </w:tc>
        <w:tc>
          <w:tcPr>
            <w:tcW w:w="5281" w:type="dxa"/>
            <w:tcBorders>
              <w:top w:val="single" w:sz="4" w:space="0" w:color="auto"/>
              <w:bottom w:val="single" w:sz="4" w:space="0" w:color="auto"/>
            </w:tcBorders>
            <w:tcMar>
              <w:top w:w="0" w:type="dxa"/>
              <w:left w:w="108" w:type="dxa"/>
              <w:bottom w:w="0" w:type="dxa"/>
              <w:right w:w="108" w:type="dxa"/>
            </w:tcMar>
          </w:tcPr>
          <w:p w14:paraId="70D93E16" w14:textId="77777777" w:rsidR="003C4248" w:rsidRPr="0026420A" w:rsidRDefault="003C4248" w:rsidP="003C4248">
            <w:pPr>
              <w:pBdr>
                <w:top w:val="none" w:sz="4" w:space="0" w:color="000000"/>
                <w:left w:val="none" w:sz="4" w:space="0" w:color="000000"/>
                <w:bottom w:val="none" w:sz="4" w:space="0" w:color="000000"/>
                <w:right w:val="none" w:sz="4" w:space="0" w:color="000000"/>
              </w:pBdr>
              <w:ind w:firstLine="0"/>
              <w:rPr>
                <w:b/>
                <w:bCs/>
              </w:rPr>
            </w:pPr>
            <w:r w:rsidRPr="0026420A">
              <w:rPr>
                <w:b/>
                <w:bCs/>
              </w:rPr>
              <w:t>Se acceptă.</w:t>
            </w:r>
          </w:p>
          <w:p w14:paraId="5D952873" w14:textId="592FC8C1" w:rsidR="00541A05" w:rsidRPr="0026420A" w:rsidRDefault="003C4248" w:rsidP="003C4248">
            <w:pPr>
              <w:ind w:firstLine="0"/>
              <w:rPr>
                <w:b/>
                <w:bCs/>
              </w:rPr>
            </w:pPr>
            <w:r w:rsidRPr="0026420A">
              <w:t>Textul prevederilor din proiectul de Lege se ajustează/modifică corespunzător.</w:t>
            </w:r>
          </w:p>
        </w:tc>
      </w:tr>
      <w:tr w:rsidR="00541A05" w:rsidRPr="0026420A" w14:paraId="0BACC5ED" w14:textId="77777777" w:rsidTr="001F4857">
        <w:trPr>
          <w:trHeight w:val="420"/>
        </w:trPr>
        <w:tc>
          <w:tcPr>
            <w:tcW w:w="2206" w:type="dxa"/>
            <w:vMerge/>
            <w:tcBorders>
              <w:top w:val="single" w:sz="4" w:space="0" w:color="auto"/>
            </w:tcBorders>
            <w:tcMar>
              <w:top w:w="0" w:type="dxa"/>
              <w:left w:w="108" w:type="dxa"/>
              <w:bottom w:w="0" w:type="dxa"/>
              <w:right w:w="108" w:type="dxa"/>
            </w:tcMar>
          </w:tcPr>
          <w:p w14:paraId="1AC93B66" w14:textId="77777777" w:rsidR="00541A05" w:rsidRPr="0026420A" w:rsidRDefault="00541A05" w:rsidP="0080245F">
            <w:pPr>
              <w:ind w:firstLine="0"/>
              <w:jc w:val="left"/>
              <w:rPr>
                <w:b/>
              </w:rPr>
            </w:pPr>
          </w:p>
        </w:tc>
        <w:tc>
          <w:tcPr>
            <w:tcW w:w="579" w:type="dxa"/>
            <w:tcBorders>
              <w:top w:val="single" w:sz="4" w:space="0" w:color="auto"/>
              <w:bottom w:val="single" w:sz="4" w:space="0" w:color="auto"/>
            </w:tcBorders>
            <w:tcMar>
              <w:top w:w="0" w:type="dxa"/>
              <w:left w:w="108" w:type="dxa"/>
              <w:bottom w:w="0" w:type="dxa"/>
              <w:right w:w="108" w:type="dxa"/>
            </w:tcMar>
          </w:tcPr>
          <w:p w14:paraId="34F87D84" w14:textId="77777777" w:rsidR="00541A05" w:rsidRPr="0026420A" w:rsidRDefault="00541A05" w:rsidP="00EC2519">
            <w:pPr>
              <w:pStyle w:val="Listparagraf"/>
              <w:numPr>
                <w:ilvl w:val="0"/>
                <w:numId w:val="1"/>
              </w:numPr>
              <w:ind w:left="0" w:right="5" w:firstLine="0"/>
              <w:contextualSpacing w:val="0"/>
            </w:pPr>
          </w:p>
        </w:tc>
        <w:tc>
          <w:tcPr>
            <w:tcW w:w="5821" w:type="dxa"/>
            <w:tcBorders>
              <w:top w:val="single" w:sz="4" w:space="0" w:color="auto"/>
              <w:bottom w:val="single" w:sz="4" w:space="0" w:color="auto"/>
            </w:tcBorders>
            <w:tcMar>
              <w:top w:w="0" w:type="dxa"/>
              <w:left w:w="108" w:type="dxa"/>
              <w:bottom w:w="0" w:type="dxa"/>
              <w:right w:w="108" w:type="dxa"/>
            </w:tcMar>
          </w:tcPr>
          <w:p w14:paraId="46ADC34F" w14:textId="77777777" w:rsidR="00541A05" w:rsidRPr="0026420A" w:rsidRDefault="00541A05" w:rsidP="00541A05">
            <w:pPr>
              <w:tabs>
                <w:tab w:val="left" w:pos="1635"/>
              </w:tabs>
              <w:ind w:firstLine="0"/>
            </w:pPr>
            <w:r w:rsidRPr="0026420A">
              <w:t>7. La art. 6 alin. (5) lit. e) și alin. (7) lit. d), se vor menține referințe la Legea nr. 171/2012 privind piața de capital.</w:t>
            </w:r>
          </w:p>
          <w:p w14:paraId="3BF3F30A" w14:textId="77777777" w:rsidR="00541A05" w:rsidRPr="0026420A" w:rsidRDefault="00541A05" w:rsidP="007F5D73">
            <w:pPr>
              <w:tabs>
                <w:tab w:val="left" w:pos="1635"/>
              </w:tabs>
              <w:ind w:firstLine="0"/>
              <w:rPr>
                <w:b/>
                <w:bCs/>
              </w:rPr>
            </w:pPr>
          </w:p>
        </w:tc>
        <w:tc>
          <w:tcPr>
            <w:tcW w:w="5281" w:type="dxa"/>
            <w:tcBorders>
              <w:top w:val="single" w:sz="4" w:space="0" w:color="auto"/>
              <w:bottom w:val="single" w:sz="4" w:space="0" w:color="auto"/>
            </w:tcBorders>
            <w:tcMar>
              <w:top w:w="0" w:type="dxa"/>
              <w:left w:w="108" w:type="dxa"/>
              <w:bottom w:w="0" w:type="dxa"/>
              <w:right w:w="108" w:type="dxa"/>
            </w:tcMar>
          </w:tcPr>
          <w:p w14:paraId="31F1BA72" w14:textId="77777777" w:rsidR="003C4248" w:rsidRPr="0026420A" w:rsidRDefault="003C4248" w:rsidP="003C4248">
            <w:pPr>
              <w:pBdr>
                <w:top w:val="none" w:sz="4" w:space="0" w:color="000000"/>
                <w:left w:val="none" w:sz="4" w:space="0" w:color="000000"/>
                <w:bottom w:val="none" w:sz="4" w:space="0" w:color="000000"/>
                <w:right w:val="none" w:sz="4" w:space="0" w:color="000000"/>
              </w:pBdr>
              <w:ind w:firstLine="0"/>
              <w:rPr>
                <w:b/>
                <w:bCs/>
              </w:rPr>
            </w:pPr>
            <w:r w:rsidRPr="0026420A">
              <w:rPr>
                <w:b/>
                <w:bCs/>
              </w:rPr>
              <w:t>Se acceptă.</w:t>
            </w:r>
          </w:p>
          <w:p w14:paraId="18BFA86B" w14:textId="218A811B" w:rsidR="00541A05" w:rsidRPr="0026420A" w:rsidRDefault="003C4248" w:rsidP="003C4248">
            <w:pPr>
              <w:ind w:firstLine="0"/>
              <w:rPr>
                <w:b/>
                <w:bCs/>
              </w:rPr>
            </w:pPr>
            <w:r w:rsidRPr="0026420A">
              <w:t>Textul prevederilor din proiectul de Lege se ajustează/modifică corespunzător.</w:t>
            </w:r>
          </w:p>
        </w:tc>
      </w:tr>
      <w:tr w:rsidR="00541A05" w:rsidRPr="0026420A" w14:paraId="4EB4216F" w14:textId="77777777" w:rsidTr="001F4857">
        <w:trPr>
          <w:trHeight w:val="555"/>
        </w:trPr>
        <w:tc>
          <w:tcPr>
            <w:tcW w:w="2206" w:type="dxa"/>
            <w:vMerge/>
            <w:tcBorders>
              <w:top w:val="single" w:sz="4" w:space="0" w:color="auto"/>
            </w:tcBorders>
            <w:tcMar>
              <w:top w:w="0" w:type="dxa"/>
              <w:left w:w="108" w:type="dxa"/>
              <w:bottom w:w="0" w:type="dxa"/>
              <w:right w:w="108" w:type="dxa"/>
            </w:tcMar>
          </w:tcPr>
          <w:p w14:paraId="7EED4ED2" w14:textId="77777777" w:rsidR="00541A05" w:rsidRPr="0026420A" w:rsidRDefault="00541A05" w:rsidP="0080245F">
            <w:pPr>
              <w:ind w:firstLine="0"/>
              <w:jc w:val="left"/>
              <w:rPr>
                <w:b/>
              </w:rPr>
            </w:pPr>
          </w:p>
        </w:tc>
        <w:tc>
          <w:tcPr>
            <w:tcW w:w="579" w:type="dxa"/>
            <w:tcBorders>
              <w:top w:val="single" w:sz="4" w:space="0" w:color="auto"/>
              <w:bottom w:val="single" w:sz="4" w:space="0" w:color="auto"/>
            </w:tcBorders>
            <w:tcMar>
              <w:top w:w="0" w:type="dxa"/>
              <w:left w:w="108" w:type="dxa"/>
              <w:bottom w:w="0" w:type="dxa"/>
              <w:right w:w="108" w:type="dxa"/>
            </w:tcMar>
          </w:tcPr>
          <w:p w14:paraId="70F5C400" w14:textId="77777777" w:rsidR="00541A05" w:rsidRPr="0026420A" w:rsidRDefault="00541A05" w:rsidP="00EC2519">
            <w:pPr>
              <w:pStyle w:val="Listparagraf"/>
              <w:numPr>
                <w:ilvl w:val="0"/>
                <w:numId w:val="1"/>
              </w:numPr>
              <w:ind w:left="0" w:right="5" w:firstLine="0"/>
              <w:contextualSpacing w:val="0"/>
            </w:pPr>
          </w:p>
        </w:tc>
        <w:tc>
          <w:tcPr>
            <w:tcW w:w="5821" w:type="dxa"/>
            <w:tcBorders>
              <w:top w:val="single" w:sz="4" w:space="0" w:color="auto"/>
              <w:bottom w:val="single" w:sz="4" w:space="0" w:color="auto"/>
            </w:tcBorders>
            <w:tcMar>
              <w:top w:w="0" w:type="dxa"/>
              <w:left w:w="108" w:type="dxa"/>
              <w:bottom w:w="0" w:type="dxa"/>
              <w:right w:w="108" w:type="dxa"/>
            </w:tcMar>
          </w:tcPr>
          <w:p w14:paraId="1F6D1BA1" w14:textId="00390CA0" w:rsidR="00541A05" w:rsidRPr="0026420A" w:rsidRDefault="00BB2A01" w:rsidP="00BC51DD">
            <w:pPr>
              <w:tabs>
                <w:tab w:val="left" w:pos="1635"/>
              </w:tabs>
              <w:ind w:firstLine="0"/>
              <w:rPr>
                <w:b/>
                <w:bCs/>
              </w:rPr>
            </w:pPr>
            <w:r w:rsidRPr="0026420A">
              <w:t>8. La art. 19 alin. (4) lit. d) și alin. (6) lit. d), se vor menține referințe la Legea nr. 171/2012 privind piața de capital.</w:t>
            </w:r>
          </w:p>
        </w:tc>
        <w:tc>
          <w:tcPr>
            <w:tcW w:w="5281" w:type="dxa"/>
            <w:tcBorders>
              <w:top w:val="single" w:sz="4" w:space="0" w:color="auto"/>
              <w:bottom w:val="single" w:sz="4" w:space="0" w:color="auto"/>
            </w:tcBorders>
            <w:tcMar>
              <w:top w:w="0" w:type="dxa"/>
              <w:left w:w="108" w:type="dxa"/>
              <w:bottom w:w="0" w:type="dxa"/>
              <w:right w:w="108" w:type="dxa"/>
            </w:tcMar>
          </w:tcPr>
          <w:p w14:paraId="4416359C" w14:textId="77777777" w:rsidR="003C4248" w:rsidRPr="0026420A" w:rsidRDefault="003C4248" w:rsidP="003C4248">
            <w:pPr>
              <w:pBdr>
                <w:top w:val="none" w:sz="4" w:space="0" w:color="000000"/>
                <w:left w:val="none" w:sz="4" w:space="0" w:color="000000"/>
                <w:bottom w:val="none" w:sz="4" w:space="0" w:color="000000"/>
                <w:right w:val="none" w:sz="4" w:space="0" w:color="000000"/>
              </w:pBdr>
              <w:ind w:firstLine="0"/>
              <w:rPr>
                <w:b/>
                <w:bCs/>
              </w:rPr>
            </w:pPr>
            <w:r w:rsidRPr="0026420A">
              <w:rPr>
                <w:b/>
                <w:bCs/>
              </w:rPr>
              <w:t>Se acceptă.</w:t>
            </w:r>
          </w:p>
          <w:p w14:paraId="37C9AB0F" w14:textId="23137D63" w:rsidR="00541A05" w:rsidRPr="0026420A" w:rsidRDefault="003C4248" w:rsidP="003C4248">
            <w:pPr>
              <w:ind w:firstLine="0"/>
              <w:rPr>
                <w:b/>
                <w:bCs/>
              </w:rPr>
            </w:pPr>
            <w:r w:rsidRPr="0026420A">
              <w:t>Textul prevederilor din proiectul de Lege se ajustează/modifică corespunzător.</w:t>
            </w:r>
          </w:p>
        </w:tc>
      </w:tr>
      <w:tr w:rsidR="00541A05" w:rsidRPr="0026420A" w14:paraId="3F088C63" w14:textId="77777777" w:rsidTr="001F4857">
        <w:trPr>
          <w:trHeight w:val="540"/>
        </w:trPr>
        <w:tc>
          <w:tcPr>
            <w:tcW w:w="2206" w:type="dxa"/>
            <w:vMerge/>
            <w:tcBorders>
              <w:top w:val="single" w:sz="4" w:space="0" w:color="auto"/>
            </w:tcBorders>
            <w:tcMar>
              <w:top w:w="0" w:type="dxa"/>
              <w:left w:w="108" w:type="dxa"/>
              <w:bottom w:w="0" w:type="dxa"/>
              <w:right w:w="108" w:type="dxa"/>
            </w:tcMar>
          </w:tcPr>
          <w:p w14:paraId="490C078E" w14:textId="77777777" w:rsidR="00541A05" w:rsidRPr="0026420A" w:rsidRDefault="00541A05" w:rsidP="0080245F">
            <w:pPr>
              <w:ind w:firstLine="0"/>
              <w:jc w:val="left"/>
              <w:rPr>
                <w:b/>
              </w:rPr>
            </w:pPr>
          </w:p>
        </w:tc>
        <w:tc>
          <w:tcPr>
            <w:tcW w:w="579" w:type="dxa"/>
            <w:tcBorders>
              <w:top w:val="single" w:sz="4" w:space="0" w:color="auto"/>
              <w:bottom w:val="single" w:sz="4" w:space="0" w:color="auto"/>
            </w:tcBorders>
            <w:tcMar>
              <w:top w:w="0" w:type="dxa"/>
              <w:left w:w="108" w:type="dxa"/>
              <w:bottom w:w="0" w:type="dxa"/>
              <w:right w:w="108" w:type="dxa"/>
            </w:tcMar>
          </w:tcPr>
          <w:p w14:paraId="6D8ABC28" w14:textId="77777777" w:rsidR="00541A05" w:rsidRPr="0026420A" w:rsidRDefault="00541A05" w:rsidP="00EC2519">
            <w:pPr>
              <w:pStyle w:val="Listparagraf"/>
              <w:numPr>
                <w:ilvl w:val="0"/>
                <w:numId w:val="1"/>
              </w:numPr>
              <w:ind w:left="0" w:right="5" w:firstLine="0"/>
              <w:contextualSpacing w:val="0"/>
            </w:pPr>
          </w:p>
        </w:tc>
        <w:tc>
          <w:tcPr>
            <w:tcW w:w="5821" w:type="dxa"/>
            <w:tcBorders>
              <w:top w:val="single" w:sz="4" w:space="0" w:color="auto"/>
              <w:bottom w:val="single" w:sz="4" w:space="0" w:color="auto"/>
            </w:tcBorders>
            <w:tcMar>
              <w:top w:w="0" w:type="dxa"/>
              <w:left w:w="108" w:type="dxa"/>
              <w:bottom w:w="0" w:type="dxa"/>
              <w:right w:w="108" w:type="dxa"/>
            </w:tcMar>
          </w:tcPr>
          <w:p w14:paraId="50EC9FF3" w14:textId="77777777" w:rsidR="00BB2A01" w:rsidRPr="0026420A" w:rsidRDefault="00BB2A01" w:rsidP="00BB2A01">
            <w:pPr>
              <w:tabs>
                <w:tab w:val="left" w:pos="1635"/>
              </w:tabs>
              <w:ind w:firstLine="0"/>
            </w:pPr>
            <w:r w:rsidRPr="0026420A">
              <w:t>9. La art. 34 alin. (13), textul „prevăzute de Legea nr. 171/2012 privind piața de capital” se substituie cu textul „prevăzute de legislația privind piețele instrumentelor financiare și activitățile de investiții”.</w:t>
            </w:r>
          </w:p>
          <w:p w14:paraId="7E61481C" w14:textId="77777777" w:rsidR="00541A05" w:rsidRPr="0026420A" w:rsidRDefault="00541A05" w:rsidP="007F5D73">
            <w:pPr>
              <w:tabs>
                <w:tab w:val="left" w:pos="1635"/>
              </w:tabs>
              <w:ind w:firstLine="0"/>
              <w:rPr>
                <w:b/>
                <w:bCs/>
              </w:rPr>
            </w:pPr>
          </w:p>
        </w:tc>
        <w:tc>
          <w:tcPr>
            <w:tcW w:w="5281" w:type="dxa"/>
            <w:tcBorders>
              <w:top w:val="single" w:sz="4" w:space="0" w:color="auto"/>
              <w:bottom w:val="single" w:sz="4" w:space="0" w:color="auto"/>
            </w:tcBorders>
            <w:tcMar>
              <w:top w:w="0" w:type="dxa"/>
              <w:left w:w="108" w:type="dxa"/>
              <w:bottom w:w="0" w:type="dxa"/>
              <w:right w:w="108" w:type="dxa"/>
            </w:tcMar>
          </w:tcPr>
          <w:p w14:paraId="1239740A" w14:textId="77777777" w:rsidR="003C4248" w:rsidRPr="0026420A" w:rsidRDefault="003C4248" w:rsidP="003C4248">
            <w:pPr>
              <w:pBdr>
                <w:top w:val="none" w:sz="4" w:space="0" w:color="000000"/>
                <w:left w:val="none" w:sz="4" w:space="0" w:color="000000"/>
                <w:bottom w:val="none" w:sz="4" w:space="0" w:color="000000"/>
                <w:right w:val="none" w:sz="4" w:space="0" w:color="000000"/>
              </w:pBdr>
              <w:ind w:firstLine="0"/>
              <w:rPr>
                <w:b/>
                <w:bCs/>
              </w:rPr>
            </w:pPr>
            <w:r w:rsidRPr="0026420A">
              <w:rPr>
                <w:b/>
                <w:bCs/>
              </w:rPr>
              <w:t>Se acceptă.</w:t>
            </w:r>
          </w:p>
          <w:p w14:paraId="7518447E" w14:textId="4125583C" w:rsidR="00541A05" w:rsidRPr="0026420A" w:rsidRDefault="003C4248" w:rsidP="003C4248">
            <w:pPr>
              <w:ind w:firstLine="0"/>
              <w:rPr>
                <w:b/>
                <w:bCs/>
              </w:rPr>
            </w:pPr>
            <w:r w:rsidRPr="0026420A">
              <w:t>Textul prevederilor din proiectul de Lege se ajustează/modifică corespunzător.</w:t>
            </w:r>
          </w:p>
        </w:tc>
      </w:tr>
      <w:tr w:rsidR="00541A05" w:rsidRPr="0026420A" w14:paraId="202DDBA6" w14:textId="77777777" w:rsidTr="001F4857">
        <w:trPr>
          <w:trHeight w:val="750"/>
        </w:trPr>
        <w:tc>
          <w:tcPr>
            <w:tcW w:w="2206" w:type="dxa"/>
            <w:vMerge/>
            <w:tcBorders>
              <w:top w:val="single" w:sz="4" w:space="0" w:color="auto"/>
            </w:tcBorders>
            <w:tcMar>
              <w:top w:w="0" w:type="dxa"/>
              <w:left w:w="108" w:type="dxa"/>
              <w:bottom w:w="0" w:type="dxa"/>
              <w:right w:w="108" w:type="dxa"/>
            </w:tcMar>
          </w:tcPr>
          <w:p w14:paraId="7318E776" w14:textId="77777777" w:rsidR="00541A05" w:rsidRPr="0026420A" w:rsidRDefault="00541A05" w:rsidP="0080245F">
            <w:pPr>
              <w:ind w:firstLine="0"/>
              <w:jc w:val="left"/>
              <w:rPr>
                <w:b/>
              </w:rPr>
            </w:pPr>
          </w:p>
        </w:tc>
        <w:tc>
          <w:tcPr>
            <w:tcW w:w="579" w:type="dxa"/>
            <w:tcBorders>
              <w:top w:val="single" w:sz="4" w:space="0" w:color="auto"/>
              <w:bottom w:val="single" w:sz="4" w:space="0" w:color="auto"/>
            </w:tcBorders>
            <w:tcMar>
              <w:top w:w="0" w:type="dxa"/>
              <w:left w:w="108" w:type="dxa"/>
              <w:bottom w:w="0" w:type="dxa"/>
              <w:right w:w="108" w:type="dxa"/>
            </w:tcMar>
          </w:tcPr>
          <w:p w14:paraId="1D748192" w14:textId="77777777" w:rsidR="00541A05" w:rsidRPr="0026420A" w:rsidRDefault="00541A05" w:rsidP="00EC2519">
            <w:pPr>
              <w:pStyle w:val="Listparagraf"/>
              <w:numPr>
                <w:ilvl w:val="0"/>
                <w:numId w:val="1"/>
              </w:numPr>
              <w:ind w:left="0" w:right="5" w:firstLine="0"/>
              <w:contextualSpacing w:val="0"/>
            </w:pPr>
          </w:p>
        </w:tc>
        <w:tc>
          <w:tcPr>
            <w:tcW w:w="5821" w:type="dxa"/>
            <w:tcBorders>
              <w:top w:val="single" w:sz="4" w:space="0" w:color="auto"/>
              <w:bottom w:val="single" w:sz="4" w:space="0" w:color="auto"/>
            </w:tcBorders>
            <w:tcMar>
              <w:top w:w="0" w:type="dxa"/>
              <w:left w:w="108" w:type="dxa"/>
              <w:bottom w:w="0" w:type="dxa"/>
              <w:right w:w="108" w:type="dxa"/>
            </w:tcMar>
          </w:tcPr>
          <w:p w14:paraId="199B8081" w14:textId="26C54D86" w:rsidR="00541A05" w:rsidRPr="0026420A" w:rsidRDefault="00BB2A01" w:rsidP="00BC51DD">
            <w:pPr>
              <w:tabs>
                <w:tab w:val="left" w:pos="1635"/>
              </w:tabs>
              <w:ind w:firstLine="0"/>
              <w:rPr>
                <w:b/>
                <w:bCs/>
              </w:rPr>
            </w:pPr>
            <w:r w:rsidRPr="0026420A">
              <w:t>10. La art. 38 alin. (5), textul „prevăzute la art. 112 din Legea nr. 171/2012 privind piața de capital” se substituie cu textul „prevăzute de legislația privind piețele instrumentelor financiare și activitățile de investiții”.</w:t>
            </w:r>
          </w:p>
        </w:tc>
        <w:tc>
          <w:tcPr>
            <w:tcW w:w="5281" w:type="dxa"/>
            <w:tcBorders>
              <w:top w:val="single" w:sz="4" w:space="0" w:color="auto"/>
              <w:bottom w:val="single" w:sz="4" w:space="0" w:color="auto"/>
            </w:tcBorders>
            <w:tcMar>
              <w:top w:w="0" w:type="dxa"/>
              <w:left w:w="108" w:type="dxa"/>
              <w:bottom w:w="0" w:type="dxa"/>
              <w:right w:w="108" w:type="dxa"/>
            </w:tcMar>
          </w:tcPr>
          <w:p w14:paraId="530D7ACF" w14:textId="77777777" w:rsidR="003C4248" w:rsidRPr="0026420A" w:rsidRDefault="003C4248" w:rsidP="003C4248">
            <w:pPr>
              <w:pBdr>
                <w:top w:val="none" w:sz="4" w:space="0" w:color="000000"/>
                <w:left w:val="none" w:sz="4" w:space="0" w:color="000000"/>
                <w:bottom w:val="none" w:sz="4" w:space="0" w:color="000000"/>
                <w:right w:val="none" w:sz="4" w:space="0" w:color="000000"/>
              </w:pBdr>
              <w:ind w:firstLine="0"/>
              <w:rPr>
                <w:b/>
                <w:bCs/>
              </w:rPr>
            </w:pPr>
            <w:r w:rsidRPr="0026420A">
              <w:rPr>
                <w:b/>
                <w:bCs/>
              </w:rPr>
              <w:t>Se acceptă.</w:t>
            </w:r>
          </w:p>
          <w:p w14:paraId="7D9D8CC2" w14:textId="472D3B74" w:rsidR="00541A05" w:rsidRPr="0026420A" w:rsidRDefault="003C4248" w:rsidP="003C4248">
            <w:pPr>
              <w:ind w:firstLine="0"/>
              <w:rPr>
                <w:b/>
                <w:bCs/>
              </w:rPr>
            </w:pPr>
            <w:r w:rsidRPr="0026420A">
              <w:t>Textul prevederilor din proiectul de Lege se ajustează/modifică corespunzător.</w:t>
            </w:r>
          </w:p>
        </w:tc>
      </w:tr>
      <w:tr w:rsidR="00541A05" w:rsidRPr="0026420A" w14:paraId="380731D6" w14:textId="77777777" w:rsidTr="001F4857">
        <w:trPr>
          <w:trHeight w:val="615"/>
        </w:trPr>
        <w:tc>
          <w:tcPr>
            <w:tcW w:w="2206" w:type="dxa"/>
            <w:vMerge/>
            <w:tcBorders>
              <w:top w:val="single" w:sz="4" w:space="0" w:color="auto"/>
            </w:tcBorders>
            <w:tcMar>
              <w:top w:w="0" w:type="dxa"/>
              <w:left w:w="108" w:type="dxa"/>
              <w:bottom w:w="0" w:type="dxa"/>
              <w:right w:w="108" w:type="dxa"/>
            </w:tcMar>
          </w:tcPr>
          <w:p w14:paraId="46B4289B" w14:textId="77777777" w:rsidR="00541A05" w:rsidRPr="0026420A" w:rsidRDefault="00541A05" w:rsidP="0080245F">
            <w:pPr>
              <w:ind w:firstLine="0"/>
              <w:jc w:val="left"/>
              <w:rPr>
                <w:b/>
              </w:rPr>
            </w:pPr>
          </w:p>
        </w:tc>
        <w:tc>
          <w:tcPr>
            <w:tcW w:w="579" w:type="dxa"/>
            <w:tcBorders>
              <w:top w:val="single" w:sz="4" w:space="0" w:color="auto"/>
              <w:bottom w:val="single" w:sz="4" w:space="0" w:color="auto"/>
            </w:tcBorders>
            <w:tcMar>
              <w:top w:w="0" w:type="dxa"/>
              <w:left w:w="108" w:type="dxa"/>
              <w:bottom w:w="0" w:type="dxa"/>
              <w:right w:w="108" w:type="dxa"/>
            </w:tcMar>
          </w:tcPr>
          <w:p w14:paraId="088693D6" w14:textId="77777777" w:rsidR="00541A05" w:rsidRPr="0026420A" w:rsidRDefault="00541A05" w:rsidP="00EC2519">
            <w:pPr>
              <w:pStyle w:val="Listparagraf"/>
              <w:numPr>
                <w:ilvl w:val="0"/>
                <w:numId w:val="1"/>
              </w:numPr>
              <w:ind w:left="0" w:right="5" w:firstLine="0"/>
              <w:contextualSpacing w:val="0"/>
            </w:pPr>
          </w:p>
        </w:tc>
        <w:tc>
          <w:tcPr>
            <w:tcW w:w="5821" w:type="dxa"/>
            <w:tcBorders>
              <w:top w:val="single" w:sz="4" w:space="0" w:color="auto"/>
              <w:bottom w:val="single" w:sz="4" w:space="0" w:color="auto"/>
            </w:tcBorders>
            <w:tcMar>
              <w:top w:w="0" w:type="dxa"/>
              <w:left w:w="108" w:type="dxa"/>
              <w:bottom w:w="0" w:type="dxa"/>
              <w:right w:w="108" w:type="dxa"/>
            </w:tcMar>
          </w:tcPr>
          <w:p w14:paraId="2DE21DD5" w14:textId="4C6B4321" w:rsidR="00541A05" w:rsidRPr="0026420A" w:rsidRDefault="00BB2A01" w:rsidP="00BC51DD">
            <w:pPr>
              <w:tabs>
                <w:tab w:val="left" w:pos="1635"/>
              </w:tabs>
              <w:ind w:firstLine="0"/>
            </w:pPr>
            <w:r w:rsidRPr="0026420A">
              <w:t>11. La art. 48 alin. (4) lit. a) și alin. (6) lit. d), se vor menține referințe la Legea nr. 171/2012 privind piața de capital.</w:t>
            </w:r>
          </w:p>
        </w:tc>
        <w:tc>
          <w:tcPr>
            <w:tcW w:w="5281" w:type="dxa"/>
            <w:tcBorders>
              <w:top w:val="single" w:sz="4" w:space="0" w:color="auto"/>
              <w:bottom w:val="single" w:sz="4" w:space="0" w:color="auto"/>
            </w:tcBorders>
            <w:tcMar>
              <w:top w:w="0" w:type="dxa"/>
              <w:left w:w="108" w:type="dxa"/>
              <w:bottom w:w="0" w:type="dxa"/>
              <w:right w:w="108" w:type="dxa"/>
            </w:tcMar>
          </w:tcPr>
          <w:p w14:paraId="7C670C17" w14:textId="77777777" w:rsidR="003C4248" w:rsidRPr="0026420A" w:rsidRDefault="003C4248" w:rsidP="003C4248">
            <w:pPr>
              <w:pBdr>
                <w:top w:val="none" w:sz="4" w:space="0" w:color="000000"/>
                <w:left w:val="none" w:sz="4" w:space="0" w:color="000000"/>
                <w:bottom w:val="none" w:sz="4" w:space="0" w:color="000000"/>
                <w:right w:val="none" w:sz="4" w:space="0" w:color="000000"/>
              </w:pBdr>
              <w:ind w:firstLine="0"/>
              <w:rPr>
                <w:b/>
                <w:bCs/>
              </w:rPr>
            </w:pPr>
            <w:r w:rsidRPr="0026420A">
              <w:rPr>
                <w:b/>
                <w:bCs/>
              </w:rPr>
              <w:t>Se acceptă.</w:t>
            </w:r>
          </w:p>
          <w:p w14:paraId="569F4AD8" w14:textId="1847B72F" w:rsidR="00541A05" w:rsidRPr="0026420A" w:rsidRDefault="003C4248" w:rsidP="003C4248">
            <w:pPr>
              <w:ind w:firstLine="0"/>
              <w:rPr>
                <w:b/>
                <w:bCs/>
              </w:rPr>
            </w:pPr>
            <w:r w:rsidRPr="0026420A">
              <w:t>Textul prevederilor din proiectul de Lege se ajustează/modifică corespunzător.</w:t>
            </w:r>
          </w:p>
        </w:tc>
      </w:tr>
      <w:tr w:rsidR="00BB2A01" w:rsidRPr="0026420A" w14:paraId="48A10CC9" w14:textId="77777777" w:rsidTr="001F4857">
        <w:trPr>
          <w:trHeight w:val="540"/>
        </w:trPr>
        <w:tc>
          <w:tcPr>
            <w:tcW w:w="2206" w:type="dxa"/>
            <w:vMerge/>
            <w:tcBorders>
              <w:top w:val="single" w:sz="4" w:space="0" w:color="auto"/>
            </w:tcBorders>
            <w:tcMar>
              <w:top w:w="0" w:type="dxa"/>
              <w:left w:w="108" w:type="dxa"/>
              <w:bottom w:w="0" w:type="dxa"/>
              <w:right w:w="108" w:type="dxa"/>
            </w:tcMar>
          </w:tcPr>
          <w:p w14:paraId="7E6B30FD" w14:textId="77777777" w:rsidR="00BB2A01" w:rsidRPr="0026420A" w:rsidRDefault="00BB2A01" w:rsidP="0080245F">
            <w:pPr>
              <w:ind w:firstLine="0"/>
              <w:jc w:val="left"/>
              <w:rPr>
                <w:b/>
              </w:rPr>
            </w:pPr>
          </w:p>
        </w:tc>
        <w:tc>
          <w:tcPr>
            <w:tcW w:w="579" w:type="dxa"/>
            <w:tcBorders>
              <w:top w:val="single" w:sz="4" w:space="0" w:color="auto"/>
              <w:bottom w:val="single" w:sz="4" w:space="0" w:color="auto"/>
            </w:tcBorders>
            <w:tcMar>
              <w:top w:w="0" w:type="dxa"/>
              <w:left w:w="108" w:type="dxa"/>
              <w:bottom w:w="0" w:type="dxa"/>
              <w:right w:w="108" w:type="dxa"/>
            </w:tcMar>
          </w:tcPr>
          <w:p w14:paraId="7143438E" w14:textId="77777777" w:rsidR="00BB2A01" w:rsidRPr="0026420A" w:rsidRDefault="00BB2A01" w:rsidP="00EC2519">
            <w:pPr>
              <w:pStyle w:val="Listparagraf"/>
              <w:numPr>
                <w:ilvl w:val="0"/>
                <w:numId w:val="1"/>
              </w:numPr>
              <w:ind w:left="0" w:right="5" w:firstLine="0"/>
              <w:contextualSpacing w:val="0"/>
            </w:pPr>
          </w:p>
        </w:tc>
        <w:tc>
          <w:tcPr>
            <w:tcW w:w="5821" w:type="dxa"/>
            <w:tcBorders>
              <w:top w:val="single" w:sz="4" w:space="0" w:color="auto"/>
              <w:bottom w:val="single" w:sz="4" w:space="0" w:color="auto"/>
            </w:tcBorders>
            <w:tcMar>
              <w:top w:w="0" w:type="dxa"/>
              <w:left w:w="108" w:type="dxa"/>
              <w:bottom w:w="0" w:type="dxa"/>
              <w:right w:w="108" w:type="dxa"/>
            </w:tcMar>
          </w:tcPr>
          <w:p w14:paraId="3C83A349" w14:textId="011C3568" w:rsidR="00BB2A01" w:rsidRPr="0026420A" w:rsidRDefault="00BB2A01" w:rsidP="00BC51DD">
            <w:pPr>
              <w:tabs>
                <w:tab w:val="left" w:pos="1635"/>
              </w:tabs>
              <w:ind w:firstLine="0"/>
            </w:pPr>
            <w:r w:rsidRPr="0026420A">
              <w:t>12. La art. 54 alin. (3), precum și la lit. a)-h) ale aceluiași alineat, toate referințele la Legea nr. 171/2012 privind piața de capital, inclusiv trimiterile la articole, alineate, litere, capitole, servicii și activități de investiții reglementate de aceasta, se substituie cu referințe la legislația privind piețele instrumentelor financiare și activitățile de investiții.</w:t>
            </w:r>
          </w:p>
        </w:tc>
        <w:tc>
          <w:tcPr>
            <w:tcW w:w="5281" w:type="dxa"/>
            <w:tcBorders>
              <w:top w:val="single" w:sz="4" w:space="0" w:color="auto"/>
              <w:bottom w:val="single" w:sz="4" w:space="0" w:color="auto"/>
            </w:tcBorders>
            <w:tcMar>
              <w:top w:w="0" w:type="dxa"/>
              <w:left w:w="108" w:type="dxa"/>
              <w:bottom w:w="0" w:type="dxa"/>
              <w:right w:w="108" w:type="dxa"/>
            </w:tcMar>
          </w:tcPr>
          <w:p w14:paraId="26496F53" w14:textId="77777777" w:rsidR="003C4248" w:rsidRPr="0026420A" w:rsidRDefault="003C4248" w:rsidP="003C4248">
            <w:pPr>
              <w:pBdr>
                <w:top w:val="none" w:sz="4" w:space="0" w:color="000000"/>
                <w:left w:val="none" w:sz="4" w:space="0" w:color="000000"/>
                <w:bottom w:val="none" w:sz="4" w:space="0" w:color="000000"/>
                <w:right w:val="none" w:sz="4" w:space="0" w:color="000000"/>
              </w:pBdr>
              <w:ind w:firstLine="0"/>
              <w:rPr>
                <w:b/>
                <w:bCs/>
              </w:rPr>
            </w:pPr>
            <w:r w:rsidRPr="0026420A">
              <w:rPr>
                <w:b/>
                <w:bCs/>
              </w:rPr>
              <w:t>Se acceptă.</w:t>
            </w:r>
          </w:p>
          <w:p w14:paraId="211BF55F" w14:textId="6A40883C" w:rsidR="00BB2A01" w:rsidRPr="0026420A" w:rsidRDefault="003C4248" w:rsidP="003C4248">
            <w:pPr>
              <w:ind w:firstLine="0"/>
              <w:rPr>
                <w:b/>
                <w:bCs/>
              </w:rPr>
            </w:pPr>
            <w:r w:rsidRPr="0026420A">
              <w:t>Textul prevederilor din proiectul de Lege se ajustează/modifică corespunzător.</w:t>
            </w:r>
          </w:p>
        </w:tc>
      </w:tr>
      <w:tr w:rsidR="00BB2A01" w:rsidRPr="0026420A" w14:paraId="21A34FF4" w14:textId="77777777" w:rsidTr="001F4857">
        <w:trPr>
          <w:trHeight w:val="540"/>
        </w:trPr>
        <w:tc>
          <w:tcPr>
            <w:tcW w:w="2206" w:type="dxa"/>
            <w:vMerge/>
            <w:tcBorders>
              <w:top w:val="single" w:sz="4" w:space="0" w:color="auto"/>
            </w:tcBorders>
            <w:tcMar>
              <w:top w:w="0" w:type="dxa"/>
              <w:left w:w="108" w:type="dxa"/>
              <w:bottom w:w="0" w:type="dxa"/>
              <w:right w:w="108" w:type="dxa"/>
            </w:tcMar>
          </w:tcPr>
          <w:p w14:paraId="61A0CEBA" w14:textId="77777777" w:rsidR="00BB2A01" w:rsidRPr="0026420A" w:rsidRDefault="00BB2A01" w:rsidP="0080245F">
            <w:pPr>
              <w:ind w:firstLine="0"/>
              <w:jc w:val="left"/>
              <w:rPr>
                <w:b/>
              </w:rPr>
            </w:pPr>
          </w:p>
        </w:tc>
        <w:tc>
          <w:tcPr>
            <w:tcW w:w="579" w:type="dxa"/>
            <w:tcBorders>
              <w:top w:val="single" w:sz="4" w:space="0" w:color="auto"/>
              <w:bottom w:val="single" w:sz="4" w:space="0" w:color="auto"/>
            </w:tcBorders>
            <w:tcMar>
              <w:top w:w="0" w:type="dxa"/>
              <w:left w:w="108" w:type="dxa"/>
              <w:bottom w:w="0" w:type="dxa"/>
              <w:right w:w="108" w:type="dxa"/>
            </w:tcMar>
          </w:tcPr>
          <w:p w14:paraId="7127B29F" w14:textId="77777777" w:rsidR="00BB2A01" w:rsidRPr="0026420A" w:rsidRDefault="00BB2A01" w:rsidP="00EC2519">
            <w:pPr>
              <w:pStyle w:val="Listparagraf"/>
              <w:numPr>
                <w:ilvl w:val="0"/>
                <w:numId w:val="1"/>
              </w:numPr>
              <w:ind w:left="0" w:right="5" w:firstLine="0"/>
              <w:contextualSpacing w:val="0"/>
            </w:pPr>
          </w:p>
        </w:tc>
        <w:tc>
          <w:tcPr>
            <w:tcW w:w="5821" w:type="dxa"/>
            <w:tcBorders>
              <w:top w:val="single" w:sz="4" w:space="0" w:color="auto"/>
              <w:bottom w:val="single" w:sz="4" w:space="0" w:color="auto"/>
            </w:tcBorders>
            <w:tcMar>
              <w:top w:w="0" w:type="dxa"/>
              <w:left w:w="108" w:type="dxa"/>
              <w:bottom w:w="0" w:type="dxa"/>
              <w:right w:w="108" w:type="dxa"/>
            </w:tcMar>
          </w:tcPr>
          <w:p w14:paraId="1AFC8409" w14:textId="380F9B9C" w:rsidR="00BB2A01" w:rsidRPr="0026420A" w:rsidRDefault="00BB2A01" w:rsidP="00BC51DD">
            <w:pPr>
              <w:tabs>
                <w:tab w:val="left" w:pos="1635"/>
              </w:tabs>
              <w:ind w:firstLine="0"/>
            </w:pPr>
            <w:r w:rsidRPr="0026420A">
              <w:t>13. La art. 54 alin. (5) textul „în temeiul prevederilor Legii nr. 171/2012 privind piața de capital sau al Legii nr. 2/2020 cu privire la organismele de plasament colectiv” se substituie cu textul „în temeiul prevederilor legislației privind fondurile de investiții”.</w:t>
            </w:r>
          </w:p>
        </w:tc>
        <w:tc>
          <w:tcPr>
            <w:tcW w:w="5281" w:type="dxa"/>
            <w:tcBorders>
              <w:top w:val="single" w:sz="4" w:space="0" w:color="auto"/>
              <w:bottom w:val="single" w:sz="4" w:space="0" w:color="auto"/>
            </w:tcBorders>
            <w:tcMar>
              <w:top w:w="0" w:type="dxa"/>
              <w:left w:w="108" w:type="dxa"/>
              <w:bottom w:w="0" w:type="dxa"/>
              <w:right w:w="108" w:type="dxa"/>
            </w:tcMar>
          </w:tcPr>
          <w:p w14:paraId="276AB827" w14:textId="77777777" w:rsidR="003C4248" w:rsidRPr="0026420A" w:rsidRDefault="003C4248" w:rsidP="003C4248">
            <w:pPr>
              <w:pBdr>
                <w:top w:val="none" w:sz="4" w:space="0" w:color="000000"/>
                <w:left w:val="none" w:sz="4" w:space="0" w:color="000000"/>
                <w:bottom w:val="none" w:sz="4" w:space="0" w:color="000000"/>
                <w:right w:val="none" w:sz="4" w:space="0" w:color="000000"/>
              </w:pBdr>
              <w:ind w:firstLine="0"/>
              <w:rPr>
                <w:b/>
                <w:bCs/>
              </w:rPr>
            </w:pPr>
            <w:r w:rsidRPr="0026420A">
              <w:rPr>
                <w:b/>
                <w:bCs/>
              </w:rPr>
              <w:t>Se acceptă.</w:t>
            </w:r>
          </w:p>
          <w:p w14:paraId="646213ED" w14:textId="44277E65" w:rsidR="00BB2A01" w:rsidRPr="0026420A" w:rsidRDefault="003C4248" w:rsidP="003C4248">
            <w:pPr>
              <w:ind w:firstLine="0"/>
              <w:rPr>
                <w:b/>
                <w:bCs/>
              </w:rPr>
            </w:pPr>
            <w:r w:rsidRPr="0026420A">
              <w:t>Textul prevederilor din proiectul de Lege se ajustează/modifică corespunzător.</w:t>
            </w:r>
          </w:p>
        </w:tc>
      </w:tr>
      <w:tr w:rsidR="00BB2A01" w:rsidRPr="0026420A" w14:paraId="4EFE0AA8" w14:textId="77777777" w:rsidTr="001F4857">
        <w:trPr>
          <w:trHeight w:val="600"/>
        </w:trPr>
        <w:tc>
          <w:tcPr>
            <w:tcW w:w="2206" w:type="dxa"/>
            <w:vMerge/>
            <w:tcBorders>
              <w:top w:val="single" w:sz="4" w:space="0" w:color="auto"/>
            </w:tcBorders>
            <w:tcMar>
              <w:top w:w="0" w:type="dxa"/>
              <w:left w:w="108" w:type="dxa"/>
              <w:bottom w:w="0" w:type="dxa"/>
              <w:right w:w="108" w:type="dxa"/>
            </w:tcMar>
          </w:tcPr>
          <w:p w14:paraId="55EED524" w14:textId="77777777" w:rsidR="00BB2A01" w:rsidRPr="0026420A" w:rsidRDefault="00BB2A01" w:rsidP="0080245F">
            <w:pPr>
              <w:ind w:firstLine="0"/>
              <w:jc w:val="left"/>
              <w:rPr>
                <w:b/>
              </w:rPr>
            </w:pPr>
          </w:p>
        </w:tc>
        <w:tc>
          <w:tcPr>
            <w:tcW w:w="579" w:type="dxa"/>
            <w:tcBorders>
              <w:top w:val="single" w:sz="4" w:space="0" w:color="auto"/>
              <w:bottom w:val="single" w:sz="4" w:space="0" w:color="auto"/>
            </w:tcBorders>
            <w:tcMar>
              <w:top w:w="0" w:type="dxa"/>
              <w:left w:w="108" w:type="dxa"/>
              <w:bottom w:w="0" w:type="dxa"/>
              <w:right w:w="108" w:type="dxa"/>
            </w:tcMar>
          </w:tcPr>
          <w:p w14:paraId="467396DA" w14:textId="77777777" w:rsidR="00BB2A01" w:rsidRPr="0026420A" w:rsidRDefault="00BB2A01" w:rsidP="00EC2519">
            <w:pPr>
              <w:pStyle w:val="Listparagraf"/>
              <w:numPr>
                <w:ilvl w:val="0"/>
                <w:numId w:val="1"/>
              </w:numPr>
              <w:ind w:left="0" w:right="5" w:firstLine="0"/>
              <w:contextualSpacing w:val="0"/>
            </w:pPr>
          </w:p>
        </w:tc>
        <w:tc>
          <w:tcPr>
            <w:tcW w:w="5821" w:type="dxa"/>
            <w:tcBorders>
              <w:top w:val="single" w:sz="4" w:space="0" w:color="auto"/>
              <w:bottom w:val="single" w:sz="4" w:space="0" w:color="auto"/>
            </w:tcBorders>
            <w:tcMar>
              <w:top w:w="0" w:type="dxa"/>
              <w:left w:w="108" w:type="dxa"/>
              <w:bottom w:w="0" w:type="dxa"/>
              <w:right w:w="108" w:type="dxa"/>
            </w:tcMar>
          </w:tcPr>
          <w:p w14:paraId="5B6EFBB1" w14:textId="4763F8A6" w:rsidR="00BB2A01" w:rsidRPr="0026420A" w:rsidRDefault="00BB2A01" w:rsidP="00BC51DD">
            <w:pPr>
              <w:tabs>
                <w:tab w:val="left" w:pos="1635"/>
              </w:tabs>
              <w:ind w:firstLine="0"/>
            </w:pPr>
            <w:r w:rsidRPr="0026420A">
              <w:t xml:space="preserve">14. La art. 54 alin. (5) lit. a), b) și c) toate referințele la Legea nr. 171/2012 privind piața de capital și la Legea nr. 2/2020 cu privire la organismele de plasament colectiv urmează a fi substituite cu referințe </w:t>
            </w:r>
            <w:r w:rsidRPr="0026420A">
              <w:lastRenderedPageBreak/>
              <w:t>la legislația privind fondurile de investiții, la forma gramaticală corespunzătoare.</w:t>
            </w:r>
          </w:p>
        </w:tc>
        <w:tc>
          <w:tcPr>
            <w:tcW w:w="5281" w:type="dxa"/>
            <w:tcBorders>
              <w:top w:val="single" w:sz="4" w:space="0" w:color="auto"/>
              <w:bottom w:val="single" w:sz="4" w:space="0" w:color="auto"/>
            </w:tcBorders>
            <w:tcMar>
              <w:top w:w="0" w:type="dxa"/>
              <w:left w:w="108" w:type="dxa"/>
              <w:bottom w:w="0" w:type="dxa"/>
              <w:right w:w="108" w:type="dxa"/>
            </w:tcMar>
          </w:tcPr>
          <w:p w14:paraId="22D1A0C4" w14:textId="77777777" w:rsidR="003C4248" w:rsidRPr="0026420A" w:rsidRDefault="003C4248" w:rsidP="003C4248">
            <w:pPr>
              <w:pBdr>
                <w:top w:val="none" w:sz="4" w:space="0" w:color="000000"/>
                <w:left w:val="none" w:sz="4" w:space="0" w:color="000000"/>
                <w:bottom w:val="none" w:sz="4" w:space="0" w:color="000000"/>
                <w:right w:val="none" w:sz="4" w:space="0" w:color="000000"/>
              </w:pBdr>
              <w:ind w:firstLine="0"/>
              <w:rPr>
                <w:b/>
                <w:bCs/>
              </w:rPr>
            </w:pPr>
            <w:r w:rsidRPr="0026420A">
              <w:rPr>
                <w:b/>
                <w:bCs/>
              </w:rPr>
              <w:lastRenderedPageBreak/>
              <w:t>Se acceptă.</w:t>
            </w:r>
          </w:p>
          <w:p w14:paraId="4BBA8E9D" w14:textId="5F11494E" w:rsidR="00BB2A01" w:rsidRPr="0026420A" w:rsidRDefault="003C4248" w:rsidP="003C4248">
            <w:pPr>
              <w:ind w:firstLine="0"/>
              <w:rPr>
                <w:b/>
                <w:bCs/>
              </w:rPr>
            </w:pPr>
            <w:r w:rsidRPr="0026420A">
              <w:t>Textul prevederilor din proiectul de Lege se ajustează/modifică corespunzător.</w:t>
            </w:r>
          </w:p>
        </w:tc>
      </w:tr>
      <w:tr w:rsidR="00BB2A01" w:rsidRPr="0026420A" w14:paraId="6C620C1C" w14:textId="77777777" w:rsidTr="001F4857">
        <w:trPr>
          <w:trHeight w:val="842"/>
        </w:trPr>
        <w:tc>
          <w:tcPr>
            <w:tcW w:w="2206" w:type="dxa"/>
            <w:vMerge/>
            <w:tcBorders>
              <w:top w:val="single" w:sz="4" w:space="0" w:color="auto"/>
            </w:tcBorders>
            <w:tcMar>
              <w:top w:w="0" w:type="dxa"/>
              <w:left w:w="108" w:type="dxa"/>
              <w:bottom w:w="0" w:type="dxa"/>
              <w:right w:w="108" w:type="dxa"/>
            </w:tcMar>
          </w:tcPr>
          <w:p w14:paraId="29AD048C" w14:textId="77777777" w:rsidR="00BB2A01" w:rsidRPr="0026420A" w:rsidRDefault="00BB2A01" w:rsidP="0080245F">
            <w:pPr>
              <w:ind w:firstLine="0"/>
              <w:jc w:val="left"/>
              <w:rPr>
                <w:b/>
              </w:rPr>
            </w:pPr>
          </w:p>
        </w:tc>
        <w:tc>
          <w:tcPr>
            <w:tcW w:w="579" w:type="dxa"/>
            <w:tcBorders>
              <w:top w:val="single" w:sz="4" w:space="0" w:color="auto"/>
              <w:bottom w:val="single" w:sz="4" w:space="0" w:color="auto"/>
            </w:tcBorders>
            <w:tcMar>
              <w:top w:w="0" w:type="dxa"/>
              <w:left w:w="108" w:type="dxa"/>
              <w:bottom w:w="0" w:type="dxa"/>
              <w:right w:w="108" w:type="dxa"/>
            </w:tcMar>
          </w:tcPr>
          <w:p w14:paraId="6D9441A7" w14:textId="77777777" w:rsidR="00BB2A01" w:rsidRPr="0026420A" w:rsidRDefault="00BB2A01" w:rsidP="00EC2519">
            <w:pPr>
              <w:pStyle w:val="Listparagraf"/>
              <w:numPr>
                <w:ilvl w:val="0"/>
                <w:numId w:val="1"/>
              </w:numPr>
              <w:ind w:left="0" w:right="5" w:firstLine="0"/>
              <w:contextualSpacing w:val="0"/>
            </w:pPr>
          </w:p>
        </w:tc>
        <w:tc>
          <w:tcPr>
            <w:tcW w:w="5821" w:type="dxa"/>
            <w:tcBorders>
              <w:top w:val="single" w:sz="4" w:space="0" w:color="auto"/>
              <w:bottom w:val="single" w:sz="4" w:space="0" w:color="auto"/>
            </w:tcBorders>
            <w:tcMar>
              <w:top w:w="0" w:type="dxa"/>
              <w:left w:w="108" w:type="dxa"/>
              <w:bottom w:w="0" w:type="dxa"/>
              <w:right w:w="108" w:type="dxa"/>
            </w:tcMar>
          </w:tcPr>
          <w:p w14:paraId="6BA798DA" w14:textId="1865E38C" w:rsidR="00BB2A01" w:rsidRPr="0026420A" w:rsidRDefault="00BB2A01" w:rsidP="00BC51DD">
            <w:pPr>
              <w:tabs>
                <w:tab w:val="left" w:pos="1635"/>
              </w:tabs>
              <w:ind w:firstLine="0"/>
            </w:pPr>
            <w:r w:rsidRPr="0026420A">
              <w:t>15. La art. 54 alin. (6) textul „în temeiul Legii nr. 171/2012 privind piața de capital „se substituie cu textul „în temeiul legislației privind piețele instrumentelor financiare și activitățile de investiții”.</w:t>
            </w:r>
          </w:p>
        </w:tc>
        <w:tc>
          <w:tcPr>
            <w:tcW w:w="5281" w:type="dxa"/>
            <w:tcBorders>
              <w:top w:val="single" w:sz="4" w:space="0" w:color="auto"/>
              <w:bottom w:val="single" w:sz="4" w:space="0" w:color="auto"/>
            </w:tcBorders>
            <w:tcMar>
              <w:top w:w="0" w:type="dxa"/>
              <w:left w:w="108" w:type="dxa"/>
              <w:bottom w:w="0" w:type="dxa"/>
              <w:right w:w="108" w:type="dxa"/>
            </w:tcMar>
          </w:tcPr>
          <w:p w14:paraId="34DE3C2B" w14:textId="77777777" w:rsidR="003C4248" w:rsidRPr="0026420A" w:rsidRDefault="003C4248" w:rsidP="003C4248">
            <w:pPr>
              <w:pBdr>
                <w:top w:val="none" w:sz="4" w:space="0" w:color="000000"/>
                <w:left w:val="none" w:sz="4" w:space="0" w:color="000000"/>
                <w:bottom w:val="none" w:sz="4" w:space="0" w:color="000000"/>
                <w:right w:val="none" w:sz="4" w:space="0" w:color="000000"/>
              </w:pBdr>
              <w:ind w:firstLine="0"/>
              <w:rPr>
                <w:b/>
                <w:bCs/>
              </w:rPr>
            </w:pPr>
            <w:r w:rsidRPr="0026420A">
              <w:rPr>
                <w:b/>
                <w:bCs/>
              </w:rPr>
              <w:t>Se acceptă.</w:t>
            </w:r>
          </w:p>
          <w:p w14:paraId="179FE6B2" w14:textId="4CB716A3" w:rsidR="00BB2A01" w:rsidRPr="0026420A" w:rsidRDefault="003C4248" w:rsidP="003C4248">
            <w:pPr>
              <w:ind w:firstLine="0"/>
              <w:rPr>
                <w:b/>
                <w:bCs/>
              </w:rPr>
            </w:pPr>
            <w:r w:rsidRPr="0026420A">
              <w:t>Textul prevederilor din proiectul de Lege se ajustează/modifică corespunzător.</w:t>
            </w:r>
          </w:p>
        </w:tc>
      </w:tr>
      <w:tr w:rsidR="00BC51DD" w:rsidRPr="0026420A" w14:paraId="39E87CA6" w14:textId="77777777" w:rsidTr="001F4857">
        <w:trPr>
          <w:trHeight w:val="535"/>
        </w:trPr>
        <w:tc>
          <w:tcPr>
            <w:tcW w:w="2206" w:type="dxa"/>
            <w:vMerge/>
            <w:tcBorders>
              <w:top w:val="single" w:sz="4" w:space="0" w:color="auto"/>
            </w:tcBorders>
            <w:tcMar>
              <w:top w:w="0" w:type="dxa"/>
              <w:left w:w="108" w:type="dxa"/>
              <w:bottom w:w="0" w:type="dxa"/>
              <w:right w:w="108" w:type="dxa"/>
            </w:tcMar>
          </w:tcPr>
          <w:p w14:paraId="5B46B1D2" w14:textId="77777777" w:rsidR="00BC51DD" w:rsidRPr="0026420A" w:rsidRDefault="00BC51DD" w:rsidP="0080245F">
            <w:pPr>
              <w:ind w:firstLine="0"/>
              <w:jc w:val="left"/>
              <w:rPr>
                <w:b/>
              </w:rPr>
            </w:pPr>
          </w:p>
        </w:tc>
        <w:tc>
          <w:tcPr>
            <w:tcW w:w="579" w:type="dxa"/>
            <w:tcBorders>
              <w:top w:val="single" w:sz="4" w:space="0" w:color="auto"/>
              <w:bottom w:val="single" w:sz="4" w:space="0" w:color="auto"/>
            </w:tcBorders>
            <w:tcMar>
              <w:top w:w="0" w:type="dxa"/>
              <w:left w:w="108" w:type="dxa"/>
              <w:bottom w:w="0" w:type="dxa"/>
              <w:right w:w="108" w:type="dxa"/>
            </w:tcMar>
          </w:tcPr>
          <w:p w14:paraId="4220BBAD" w14:textId="77777777" w:rsidR="00BC51DD" w:rsidRPr="0026420A" w:rsidRDefault="00BC51DD" w:rsidP="00EC2519">
            <w:pPr>
              <w:pStyle w:val="Listparagraf"/>
              <w:numPr>
                <w:ilvl w:val="0"/>
                <w:numId w:val="1"/>
              </w:numPr>
              <w:ind w:left="0" w:right="5" w:firstLine="0"/>
              <w:contextualSpacing w:val="0"/>
            </w:pPr>
          </w:p>
        </w:tc>
        <w:tc>
          <w:tcPr>
            <w:tcW w:w="5821" w:type="dxa"/>
            <w:tcBorders>
              <w:top w:val="single" w:sz="4" w:space="0" w:color="auto"/>
              <w:bottom w:val="single" w:sz="4" w:space="0" w:color="auto"/>
            </w:tcBorders>
            <w:tcMar>
              <w:top w:w="0" w:type="dxa"/>
              <w:left w:w="108" w:type="dxa"/>
              <w:bottom w:w="0" w:type="dxa"/>
              <w:right w:w="108" w:type="dxa"/>
            </w:tcMar>
          </w:tcPr>
          <w:p w14:paraId="7CCCB562" w14:textId="76C462B1" w:rsidR="00BC51DD" w:rsidRPr="0026420A" w:rsidRDefault="00BC51DD" w:rsidP="00BC51DD">
            <w:pPr>
              <w:tabs>
                <w:tab w:val="left" w:pos="1635"/>
              </w:tabs>
              <w:ind w:firstLine="0"/>
            </w:pPr>
            <w:r w:rsidRPr="0026420A">
              <w:t>16. La art. 74 alin. (9) referința la Legea nr. 171/2012 privind piața de capital urmează a fi menținută, întrucât aceasta rămâne relevantă pentru aplicarea normei respective.</w:t>
            </w:r>
          </w:p>
        </w:tc>
        <w:tc>
          <w:tcPr>
            <w:tcW w:w="5281" w:type="dxa"/>
            <w:tcBorders>
              <w:top w:val="single" w:sz="4" w:space="0" w:color="auto"/>
              <w:bottom w:val="single" w:sz="4" w:space="0" w:color="auto"/>
            </w:tcBorders>
            <w:tcMar>
              <w:top w:w="0" w:type="dxa"/>
              <w:left w:w="108" w:type="dxa"/>
              <w:bottom w:w="0" w:type="dxa"/>
              <w:right w:w="108" w:type="dxa"/>
            </w:tcMar>
          </w:tcPr>
          <w:p w14:paraId="24D247BB" w14:textId="77777777" w:rsidR="003C4248" w:rsidRPr="0026420A" w:rsidRDefault="003C4248" w:rsidP="003C4248">
            <w:pPr>
              <w:pBdr>
                <w:top w:val="none" w:sz="4" w:space="0" w:color="000000"/>
                <w:left w:val="none" w:sz="4" w:space="0" w:color="000000"/>
                <w:bottom w:val="none" w:sz="4" w:space="0" w:color="000000"/>
                <w:right w:val="none" w:sz="4" w:space="0" w:color="000000"/>
              </w:pBdr>
              <w:ind w:firstLine="0"/>
              <w:rPr>
                <w:b/>
                <w:bCs/>
              </w:rPr>
            </w:pPr>
            <w:r w:rsidRPr="0026420A">
              <w:rPr>
                <w:b/>
                <w:bCs/>
              </w:rPr>
              <w:t>Se acceptă.</w:t>
            </w:r>
          </w:p>
          <w:p w14:paraId="54577320" w14:textId="3216933F" w:rsidR="00BC51DD" w:rsidRPr="0026420A" w:rsidRDefault="003C4248" w:rsidP="003C4248">
            <w:pPr>
              <w:ind w:firstLine="0"/>
              <w:rPr>
                <w:b/>
                <w:bCs/>
              </w:rPr>
            </w:pPr>
            <w:r w:rsidRPr="0026420A">
              <w:t>Textul prevederilor din proiectul de Lege se ajustează/modifică corespunzător.</w:t>
            </w:r>
          </w:p>
        </w:tc>
      </w:tr>
      <w:tr w:rsidR="00BC51DD" w:rsidRPr="0026420A" w14:paraId="654B0C36" w14:textId="77777777" w:rsidTr="001F4857">
        <w:trPr>
          <w:trHeight w:val="415"/>
        </w:trPr>
        <w:tc>
          <w:tcPr>
            <w:tcW w:w="2206" w:type="dxa"/>
            <w:vMerge/>
            <w:tcBorders>
              <w:top w:val="single" w:sz="4" w:space="0" w:color="auto"/>
            </w:tcBorders>
            <w:tcMar>
              <w:top w:w="0" w:type="dxa"/>
              <w:left w:w="108" w:type="dxa"/>
              <w:bottom w:w="0" w:type="dxa"/>
              <w:right w:w="108" w:type="dxa"/>
            </w:tcMar>
          </w:tcPr>
          <w:p w14:paraId="7332A228" w14:textId="77777777" w:rsidR="00BC51DD" w:rsidRPr="0026420A" w:rsidRDefault="00BC51DD" w:rsidP="0080245F">
            <w:pPr>
              <w:ind w:firstLine="0"/>
              <w:jc w:val="left"/>
              <w:rPr>
                <w:b/>
              </w:rPr>
            </w:pPr>
          </w:p>
        </w:tc>
        <w:tc>
          <w:tcPr>
            <w:tcW w:w="579" w:type="dxa"/>
            <w:tcBorders>
              <w:top w:val="single" w:sz="4" w:space="0" w:color="auto"/>
              <w:bottom w:val="single" w:sz="4" w:space="0" w:color="auto"/>
            </w:tcBorders>
            <w:tcMar>
              <w:top w:w="0" w:type="dxa"/>
              <w:left w:w="108" w:type="dxa"/>
              <w:bottom w:w="0" w:type="dxa"/>
              <w:right w:w="108" w:type="dxa"/>
            </w:tcMar>
          </w:tcPr>
          <w:p w14:paraId="7883C2ED" w14:textId="77777777" w:rsidR="00BC51DD" w:rsidRPr="0026420A" w:rsidRDefault="00BC51DD" w:rsidP="00EC2519">
            <w:pPr>
              <w:pStyle w:val="Listparagraf"/>
              <w:numPr>
                <w:ilvl w:val="0"/>
                <w:numId w:val="1"/>
              </w:numPr>
              <w:ind w:left="0" w:right="5" w:firstLine="0"/>
              <w:contextualSpacing w:val="0"/>
            </w:pPr>
          </w:p>
        </w:tc>
        <w:tc>
          <w:tcPr>
            <w:tcW w:w="5821" w:type="dxa"/>
            <w:tcBorders>
              <w:top w:val="single" w:sz="4" w:space="0" w:color="auto"/>
              <w:bottom w:val="single" w:sz="4" w:space="0" w:color="auto"/>
            </w:tcBorders>
            <w:tcMar>
              <w:top w:w="0" w:type="dxa"/>
              <w:left w:w="108" w:type="dxa"/>
              <w:bottom w:w="0" w:type="dxa"/>
              <w:right w:w="108" w:type="dxa"/>
            </w:tcMar>
          </w:tcPr>
          <w:p w14:paraId="71D9FB9A" w14:textId="4F11E2B0" w:rsidR="00BC51DD" w:rsidRPr="0026420A" w:rsidRDefault="00BC51DD" w:rsidP="003C4248">
            <w:pPr>
              <w:tabs>
                <w:tab w:val="left" w:pos="1635"/>
              </w:tabs>
              <w:ind w:firstLine="0"/>
            </w:pPr>
            <w:r w:rsidRPr="0026420A">
              <w:t>17. La art. 54 alin. (2) textul „Depozitarul central unic al valorilor mobiliare” se substituie cu textul „Depozitarii centrali de instrumente financiare”. De asemenea, textul: „în cadrul unui serviciu de decontare menționat în art. 5 alin. (2) pct. 2) din Legea nr. 234/2016 cu privire la Depozitarul central unic al valorilor mobiliare” se substituie cu textul „în cadrul unui serviciu de decontare prevăzut de legislația privind Depozitarii centrali de instrumente financiare”.</w:t>
            </w:r>
          </w:p>
        </w:tc>
        <w:tc>
          <w:tcPr>
            <w:tcW w:w="5281" w:type="dxa"/>
            <w:tcBorders>
              <w:top w:val="single" w:sz="4" w:space="0" w:color="auto"/>
              <w:bottom w:val="single" w:sz="4" w:space="0" w:color="auto"/>
            </w:tcBorders>
            <w:tcMar>
              <w:top w:w="0" w:type="dxa"/>
              <w:left w:w="108" w:type="dxa"/>
              <w:bottom w:w="0" w:type="dxa"/>
              <w:right w:w="108" w:type="dxa"/>
            </w:tcMar>
          </w:tcPr>
          <w:p w14:paraId="21A1B06D" w14:textId="77777777" w:rsidR="003C4248" w:rsidRPr="0026420A" w:rsidRDefault="003C4248" w:rsidP="003C4248">
            <w:pPr>
              <w:pBdr>
                <w:top w:val="none" w:sz="4" w:space="0" w:color="000000"/>
                <w:left w:val="none" w:sz="4" w:space="0" w:color="000000"/>
                <w:bottom w:val="none" w:sz="4" w:space="0" w:color="000000"/>
                <w:right w:val="none" w:sz="4" w:space="0" w:color="000000"/>
              </w:pBdr>
              <w:ind w:firstLine="0"/>
              <w:rPr>
                <w:b/>
                <w:bCs/>
              </w:rPr>
            </w:pPr>
            <w:r w:rsidRPr="0026420A">
              <w:rPr>
                <w:b/>
                <w:bCs/>
              </w:rPr>
              <w:t>Se acceptă.</w:t>
            </w:r>
          </w:p>
          <w:p w14:paraId="52962660" w14:textId="52F9FCAB" w:rsidR="00BC51DD" w:rsidRPr="0026420A" w:rsidRDefault="003C4248" w:rsidP="003C4248">
            <w:pPr>
              <w:ind w:firstLine="0"/>
              <w:rPr>
                <w:b/>
                <w:bCs/>
              </w:rPr>
            </w:pPr>
            <w:r w:rsidRPr="0026420A">
              <w:t>Textul prevederilor din proiectul de Lege se ajustează/modifică corespunzător.</w:t>
            </w:r>
          </w:p>
        </w:tc>
      </w:tr>
      <w:tr w:rsidR="00BC51DD" w:rsidRPr="0026420A" w14:paraId="04FC90D2" w14:textId="77777777" w:rsidTr="001F4857">
        <w:trPr>
          <w:trHeight w:val="810"/>
        </w:trPr>
        <w:tc>
          <w:tcPr>
            <w:tcW w:w="2206" w:type="dxa"/>
            <w:vMerge/>
            <w:tcBorders>
              <w:top w:val="single" w:sz="4" w:space="0" w:color="auto"/>
            </w:tcBorders>
            <w:tcMar>
              <w:top w:w="0" w:type="dxa"/>
              <w:left w:w="108" w:type="dxa"/>
              <w:bottom w:w="0" w:type="dxa"/>
              <w:right w:w="108" w:type="dxa"/>
            </w:tcMar>
          </w:tcPr>
          <w:p w14:paraId="5CE8DE3F" w14:textId="77777777" w:rsidR="00BC51DD" w:rsidRPr="0026420A" w:rsidRDefault="00BC51DD" w:rsidP="0080245F">
            <w:pPr>
              <w:ind w:firstLine="0"/>
              <w:jc w:val="left"/>
              <w:rPr>
                <w:b/>
              </w:rPr>
            </w:pPr>
          </w:p>
        </w:tc>
        <w:tc>
          <w:tcPr>
            <w:tcW w:w="579" w:type="dxa"/>
            <w:tcBorders>
              <w:top w:val="single" w:sz="4" w:space="0" w:color="auto"/>
              <w:bottom w:val="single" w:sz="4" w:space="0" w:color="auto"/>
            </w:tcBorders>
            <w:tcMar>
              <w:top w:w="0" w:type="dxa"/>
              <w:left w:w="108" w:type="dxa"/>
              <w:bottom w:w="0" w:type="dxa"/>
              <w:right w:w="108" w:type="dxa"/>
            </w:tcMar>
          </w:tcPr>
          <w:p w14:paraId="6CA2F751" w14:textId="77777777" w:rsidR="00BC51DD" w:rsidRPr="0026420A" w:rsidRDefault="00BC51DD" w:rsidP="00EC2519">
            <w:pPr>
              <w:pStyle w:val="Listparagraf"/>
              <w:numPr>
                <w:ilvl w:val="0"/>
                <w:numId w:val="1"/>
              </w:numPr>
              <w:ind w:left="0" w:right="5" w:firstLine="0"/>
              <w:contextualSpacing w:val="0"/>
            </w:pPr>
          </w:p>
        </w:tc>
        <w:tc>
          <w:tcPr>
            <w:tcW w:w="5821" w:type="dxa"/>
            <w:tcBorders>
              <w:top w:val="single" w:sz="4" w:space="0" w:color="auto"/>
              <w:bottom w:val="single" w:sz="4" w:space="0" w:color="auto"/>
            </w:tcBorders>
            <w:tcMar>
              <w:top w:w="0" w:type="dxa"/>
              <w:left w:w="108" w:type="dxa"/>
              <w:bottom w:w="0" w:type="dxa"/>
              <w:right w:w="108" w:type="dxa"/>
            </w:tcMar>
          </w:tcPr>
          <w:p w14:paraId="292F0929" w14:textId="77777777" w:rsidR="00BC51DD" w:rsidRPr="0026420A" w:rsidRDefault="00BC51DD" w:rsidP="00BC51DD">
            <w:pPr>
              <w:tabs>
                <w:tab w:val="left" w:pos="1635"/>
              </w:tabs>
              <w:ind w:firstLine="0"/>
            </w:pPr>
            <w:r w:rsidRPr="0026420A">
              <w:t>18. La art. 53 alin. (1) lit. b) textul „Depozitarul central unic al valorilor mobiliare” se substituie cu textul „Depozitarii centrali de instrumente financiare”.</w:t>
            </w:r>
          </w:p>
          <w:p w14:paraId="42F6D5DD" w14:textId="77777777" w:rsidR="00BC51DD" w:rsidRPr="0026420A" w:rsidRDefault="00BC51DD" w:rsidP="00BB2A01">
            <w:pPr>
              <w:tabs>
                <w:tab w:val="left" w:pos="1635"/>
              </w:tabs>
              <w:ind w:firstLine="0"/>
            </w:pPr>
          </w:p>
        </w:tc>
        <w:tc>
          <w:tcPr>
            <w:tcW w:w="5281" w:type="dxa"/>
            <w:tcBorders>
              <w:top w:val="single" w:sz="4" w:space="0" w:color="auto"/>
              <w:bottom w:val="single" w:sz="4" w:space="0" w:color="auto"/>
            </w:tcBorders>
            <w:tcMar>
              <w:top w:w="0" w:type="dxa"/>
              <w:left w:w="108" w:type="dxa"/>
              <w:bottom w:w="0" w:type="dxa"/>
              <w:right w:w="108" w:type="dxa"/>
            </w:tcMar>
          </w:tcPr>
          <w:p w14:paraId="6A03FF13" w14:textId="77777777" w:rsidR="003C4248" w:rsidRPr="0026420A" w:rsidRDefault="003C4248" w:rsidP="003C4248">
            <w:pPr>
              <w:pBdr>
                <w:top w:val="none" w:sz="4" w:space="0" w:color="000000"/>
                <w:left w:val="none" w:sz="4" w:space="0" w:color="000000"/>
                <w:bottom w:val="none" w:sz="4" w:space="0" w:color="000000"/>
                <w:right w:val="none" w:sz="4" w:space="0" w:color="000000"/>
              </w:pBdr>
              <w:ind w:firstLine="0"/>
              <w:rPr>
                <w:b/>
                <w:bCs/>
              </w:rPr>
            </w:pPr>
            <w:r w:rsidRPr="0026420A">
              <w:rPr>
                <w:b/>
                <w:bCs/>
              </w:rPr>
              <w:t>Se acceptă.</w:t>
            </w:r>
          </w:p>
          <w:p w14:paraId="12774772" w14:textId="365D78F5" w:rsidR="00BC51DD" w:rsidRPr="0026420A" w:rsidRDefault="003C4248" w:rsidP="003C4248">
            <w:pPr>
              <w:ind w:firstLine="0"/>
              <w:rPr>
                <w:b/>
                <w:bCs/>
              </w:rPr>
            </w:pPr>
            <w:r w:rsidRPr="0026420A">
              <w:t>Textul prevederilor din proiectul de Lege se ajustează/modifică corespunzător.</w:t>
            </w:r>
          </w:p>
        </w:tc>
      </w:tr>
      <w:tr w:rsidR="00BC51DD" w:rsidRPr="0026420A" w14:paraId="19526390" w14:textId="77777777" w:rsidTr="001F4857">
        <w:trPr>
          <w:trHeight w:val="673"/>
        </w:trPr>
        <w:tc>
          <w:tcPr>
            <w:tcW w:w="2206" w:type="dxa"/>
            <w:vMerge/>
            <w:tcBorders>
              <w:top w:val="single" w:sz="4" w:space="0" w:color="auto"/>
              <w:bottom w:val="single" w:sz="4" w:space="0" w:color="auto"/>
            </w:tcBorders>
            <w:tcMar>
              <w:top w:w="0" w:type="dxa"/>
              <w:left w:w="108" w:type="dxa"/>
              <w:bottom w:w="0" w:type="dxa"/>
              <w:right w:w="108" w:type="dxa"/>
            </w:tcMar>
          </w:tcPr>
          <w:p w14:paraId="562ED1EC" w14:textId="77777777" w:rsidR="00BC51DD" w:rsidRPr="0026420A" w:rsidRDefault="00BC51DD" w:rsidP="00BC51DD">
            <w:pPr>
              <w:ind w:firstLine="0"/>
              <w:jc w:val="left"/>
              <w:rPr>
                <w:b/>
              </w:rPr>
            </w:pPr>
          </w:p>
        </w:tc>
        <w:tc>
          <w:tcPr>
            <w:tcW w:w="579" w:type="dxa"/>
            <w:tcBorders>
              <w:top w:val="single" w:sz="4" w:space="0" w:color="auto"/>
              <w:bottom w:val="single" w:sz="4" w:space="0" w:color="auto"/>
            </w:tcBorders>
            <w:tcMar>
              <w:top w:w="0" w:type="dxa"/>
              <w:left w:w="108" w:type="dxa"/>
              <w:bottom w:w="0" w:type="dxa"/>
              <w:right w:w="108" w:type="dxa"/>
            </w:tcMar>
          </w:tcPr>
          <w:p w14:paraId="5D381C1B" w14:textId="77777777" w:rsidR="00BC51DD" w:rsidRPr="0026420A" w:rsidRDefault="00BC51DD" w:rsidP="00BC51DD">
            <w:pPr>
              <w:pStyle w:val="Listparagraf"/>
              <w:numPr>
                <w:ilvl w:val="0"/>
                <w:numId w:val="1"/>
              </w:numPr>
              <w:ind w:left="0" w:right="5" w:firstLine="0"/>
              <w:contextualSpacing w:val="0"/>
            </w:pPr>
          </w:p>
        </w:tc>
        <w:tc>
          <w:tcPr>
            <w:tcW w:w="5821" w:type="dxa"/>
            <w:tcBorders>
              <w:top w:val="single" w:sz="4" w:space="0" w:color="auto"/>
              <w:bottom w:val="single" w:sz="4" w:space="0" w:color="auto"/>
            </w:tcBorders>
            <w:tcMar>
              <w:top w:w="0" w:type="dxa"/>
              <w:left w:w="108" w:type="dxa"/>
              <w:bottom w:w="0" w:type="dxa"/>
              <w:right w:w="108" w:type="dxa"/>
            </w:tcMar>
          </w:tcPr>
          <w:p w14:paraId="4C9B1BB0" w14:textId="3C0B3C5A" w:rsidR="00BC51DD" w:rsidRPr="0026420A" w:rsidRDefault="00BC51DD" w:rsidP="00BC51DD">
            <w:pPr>
              <w:tabs>
                <w:tab w:val="left" w:pos="1635"/>
              </w:tabs>
              <w:ind w:firstLine="0"/>
            </w:pPr>
            <w:r w:rsidRPr="0026420A">
              <w:t>19. La art. 57 alin. (5) textul „un depozitar central de titluri de valoare” se substituie cu textul „un depozitar central de instrumente financiare”.</w:t>
            </w:r>
          </w:p>
        </w:tc>
        <w:tc>
          <w:tcPr>
            <w:tcW w:w="5281" w:type="dxa"/>
            <w:tcBorders>
              <w:top w:val="single" w:sz="4" w:space="0" w:color="auto"/>
              <w:bottom w:val="single" w:sz="4" w:space="0" w:color="auto"/>
            </w:tcBorders>
            <w:tcMar>
              <w:top w:w="0" w:type="dxa"/>
              <w:left w:w="108" w:type="dxa"/>
              <w:bottom w:w="0" w:type="dxa"/>
              <w:right w:w="108" w:type="dxa"/>
            </w:tcMar>
          </w:tcPr>
          <w:p w14:paraId="6556F111" w14:textId="77777777" w:rsidR="003C4248" w:rsidRPr="0026420A" w:rsidRDefault="003C4248" w:rsidP="003C4248">
            <w:pPr>
              <w:pBdr>
                <w:top w:val="none" w:sz="4" w:space="0" w:color="000000"/>
                <w:left w:val="none" w:sz="4" w:space="0" w:color="000000"/>
                <w:bottom w:val="none" w:sz="4" w:space="0" w:color="000000"/>
                <w:right w:val="none" w:sz="4" w:space="0" w:color="000000"/>
              </w:pBdr>
              <w:ind w:firstLine="0"/>
              <w:rPr>
                <w:b/>
                <w:bCs/>
              </w:rPr>
            </w:pPr>
            <w:r w:rsidRPr="0026420A">
              <w:rPr>
                <w:b/>
                <w:bCs/>
              </w:rPr>
              <w:t>Se acceptă.</w:t>
            </w:r>
          </w:p>
          <w:p w14:paraId="10AB9D4F" w14:textId="77777777" w:rsidR="00BC51DD" w:rsidRPr="0026420A" w:rsidRDefault="003C4248" w:rsidP="003C4248">
            <w:pPr>
              <w:ind w:firstLine="0"/>
            </w:pPr>
            <w:r w:rsidRPr="0026420A">
              <w:t>Textul prevederilor din proiectul de Lege se ajustează/modifică corespunzător.</w:t>
            </w:r>
          </w:p>
          <w:p w14:paraId="75820DA5" w14:textId="46CEC15F" w:rsidR="003C4248" w:rsidRPr="0026420A" w:rsidRDefault="003C4248" w:rsidP="003C4248">
            <w:pPr>
              <w:ind w:firstLine="0"/>
              <w:rPr>
                <w:b/>
                <w:bCs/>
              </w:rPr>
            </w:pPr>
          </w:p>
        </w:tc>
      </w:tr>
      <w:tr w:rsidR="005727FB" w:rsidRPr="0026420A" w14:paraId="57E338A9" w14:textId="77777777" w:rsidTr="001F4857">
        <w:trPr>
          <w:trHeight w:val="4304"/>
        </w:trPr>
        <w:tc>
          <w:tcPr>
            <w:tcW w:w="2206" w:type="dxa"/>
            <w:tcBorders>
              <w:top w:val="single" w:sz="4" w:space="0" w:color="auto"/>
            </w:tcBorders>
            <w:tcMar>
              <w:top w:w="0" w:type="dxa"/>
              <w:left w:w="108" w:type="dxa"/>
              <w:bottom w:w="0" w:type="dxa"/>
              <w:right w:w="108" w:type="dxa"/>
            </w:tcMar>
          </w:tcPr>
          <w:p w14:paraId="1522211C" w14:textId="77777777" w:rsidR="005727FB" w:rsidRPr="0026420A" w:rsidRDefault="005727FB" w:rsidP="005727FB">
            <w:pPr>
              <w:ind w:firstLine="0"/>
              <w:jc w:val="left"/>
              <w:rPr>
                <w:b/>
                <w:bCs/>
              </w:rPr>
            </w:pPr>
            <w:r w:rsidRPr="0026420A">
              <w:rPr>
                <w:b/>
                <w:bCs/>
              </w:rPr>
              <w:lastRenderedPageBreak/>
              <w:t>Consiliul Concurenței</w:t>
            </w:r>
          </w:p>
          <w:p w14:paraId="595CF06F" w14:textId="77777777" w:rsidR="005727FB" w:rsidRPr="0026420A" w:rsidRDefault="005727FB" w:rsidP="005727FB">
            <w:pPr>
              <w:ind w:firstLine="0"/>
              <w:jc w:val="left"/>
              <w:rPr>
                <w:b/>
                <w:bCs/>
              </w:rPr>
            </w:pPr>
          </w:p>
          <w:p w14:paraId="5D80B42E" w14:textId="77777777" w:rsidR="005727FB" w:rsidRPr="0026420A" w:rsidRDefault="005727FB" w:rsidP="005727FB">
            <w:pPr>
              <w:ind w:firstLine="0"/>
              <w:jc w:val="left"/>
              <w:rPr>
                <w:b/>
                <w:bCs/>
              </w:rPr>
            </w:pPr>
          </w:p>
          <w:p w14:paraId="510B07F2" w14:textId="2D8D2B18" w:rsidR="005727FB" w:rsidRPr="0026420A" w:rsidRDefault="005727FB" w:rsidP="005727FB">
            <w:pPr>
              <w:ind w:firstLine="0"/>
              <w:jc w:val="left"/>
              <w:rPr>
                <w:b/>
              </w:rPr>
            </w:pPr>
            <w:r w:rsidRPr="0026420A">
              <w:rPr>
                <w:i/>
                <w:iCs/>
              </w:rPr>
              <w:t>Nr. DJ-06/531-977 din 04.06.2026</w:t>
            </w:r>
          </w:p>
        </w:tc>
        <w:tc>
          <w:tcPr>
            <w:tcW w:w="579" w:type="dxa"/>
            <w:tcBorders>
              <w:top w:val="single" w:sz="4" w:space="0" w:color="auto"/>
            </w:tcBorders>
            <w:tcMar>
              <w:top w:w="0" w:type="dxa"/>
              <w:left w:w="108" w:type="dxa"/>
              <w:bottom w:w="0" w:type="dxa"/>
              <w:right w:w="108" w:type="dxa"/>
            </w:tcMar>
          </w:tcPr>
          <w:p w14:paraId="2F3CA05D" w14:textId="77777777" w:rsidR="005727FB" w:rsidRPr="0026420A" w:rsidRDefault="005727FB" w:rsidP="00BC51DD">
            <w:pPr>
              <w:pStyle w:val="Listparagraf"/>
              <w:numPr>
                <w:ilvl w:val="0"/>
                <w:numId w:val="1"/>
              </w:numPr>
              <w:ind w:left="0" w:right="5" w:firstLine="0"/>
              <w:contextualSpacing w:val="0"/>
            </w:pPr>
          </w:p>
        </w:tc>
        <w:tc>
          <w:tcPr>
            <w:tcW w:w="5821" w:type="dxa"/>
            <w:tcBorders>
              <w:top w:val="single" w:sz="4" w:space="0" w:color="auto"/>
            </w:tcBorders>
            <w:tcMar>
              <w:top w:w="0" w:type="dxa"/>
              <w:left w:w="108" w:type="dxa"/>
              <w:bottom w:w="0" w:type="dxa"/>
              <w:right w:w="108" w:type="dxa"/>
            </w:tcMar>
          </w:tcPr>
          <w:p w14:paraId="7F53873C" w14:textId="77777777" w:rsidR="005727FB" w:rsidRPr="0026420A" w:rsidRDefault="005727FB" w:rsidP="00BC51DD">
            <w:pPr>
              <w:tabs>
                <w:tab w:val="left" w:pos="1635"/>
              </w:tabs>
              <w:ind w:firstLine="0"/>
            </w:pPr>
            <w:r w:rsidRPr="0026420A">
              <w:t xml:space="preserve">Prevederile art. 41 și art. 76 din proiect stabilesc modalitatea de notificare și evaluare de către CNPF a intenției de achiziție directă și indirectă de participație calificată sau să majoreze direct sau indirect o participație calificată în cadrul unui emitent sau a unui furnizor de servicii de </w:t>
            </w:r>
            <w:proofErr w:type="spellStart"/>
            <w:r w:rsidRPr="0026420A">
              <w:t>criptoactive</w:t>
            </w:r>
            <w:proofErr w:type="spellEnd"/>
            <w:r w:rsidRPr="0026420A">
              <w:t>, tranzacții care pot prezenta și operațiuni de concentrare economică notificabilă în acord cu Legea concurenței nr. 183/2012, în cazul în care se va obține astfel controlul asupra acestora.</w:t>
            </w:r>
          </w:p>
          <w:p w14:paraId="43E0D445" w14:textId="427805DA" w:rsidR="005727FB" w:rsidRPr="0026420A" w:rsidRDefault="005727FB" w:rsidP="00BC51DD">
            <w:pPr>
              <w:tabs>
                <w:tab w:val="left" w:pos="1635"/>
              </w:tabs>
              <w:ind w:firstLine="0"/>
            </w:pPr>
            <w:r w:rsidRPr="0026420A">
              <w:t>Prin urmare, în vederea asigurării previzibilității normelor juridice și neadmitere a concentrării pieței sau a consolidării unei poziții dominante, se consideră oportună completarea art. 41 și art. 76 din proiect cu un nou alineat, care să prevadă, în mod similar normelor de trimitere prevăzute de Legea nr. 171/2012 privind piața de capital și de Legea nr. 1134/1997 privind societățile pe acțiuni, necesitatea notificării intenției de realizare a acestor tranzacții către Consiliul Concurenței de către persoanele/întreprinderile care dobândesc controlul, pentru evaluarea compatibilității concentrării economice cu mediul concurențial normal până la luarea unei decizii de către CNPF în privința evaluării și autorizării acestor intenții de achiziții.</w:t>
            </w:r>
          </w:p>
        </w:tc>
        <w:tc>
          <w:tcPr>
            <w:tcW w:w="5281" w:type="dxa"/>
            <w:tcBorders>
              <w:top w:val="single" w:sz="4" w:space="0" w:color="auto"/>
            </w:tcBorders>
            <w:tcMar>
              <w:top w:w="0" w:type="dxa"/>
              <w:left w:w="108" w:type="dxa"/>
              <w:bottom w:w="0" w:type="dxa"/>
              <w:right w:w="108" w:type="dxa"/>
            </w:tcMar>
          </w:tcPr>
          <w:p w14:paraId="4D367C98" w14:textId="77777777" w:rsidR="005727FB" w:rsidRPr="0026420A" w:rsidRDefault="005727FB" w:rsidP="00BC51DD">
            <w:pPr>
              <w:ind w:firstLine="0"/>
              <w:rPr>
                <w:b/>
                <w:bCs/>
              </w:rPr>
            </w:pPr>
            <w:r w:rsidRPr="0026420A">
              <w:rPr>
                <w:b/>
                <w:bCs/>
              </w:rPr>
              <w:t>Nu se acceptă.</w:t>
            </w:r>
          </w:p>
          <w:p w14:paraId="3E56B586" w14:textId="77777777" w:rsidR="005727FB" w:rsidRPr="0026420A" w:rsidRDefault="005727FB" w:rsidP="00BC51DD">
            <w:pPr>
              <w:ind w:firstLine="0"/>
            </w:pPr>
            <w:r w:rsidRPr="0026420A">
              <w:t>Reglementarea suplimentară în textul proiectului de lege a aspectelor privind prevenirea concentrării pieței sau a consolidării unei poziții dominante nu este necesară. Legea concurenței nr. 183/2012 reprezintă legea specială (</w:t>
            </w:r>
            <w:proofErr w:type="spellStart"/>
            <w:r w:rsidRPr="0026420A">
              <w:t>lex</w:t>
            </w:r>
            <w:proofErr w:type="spellEnd"/>
            <w:r w:rsidRPr="0026420A">
              <w:t xml:space="preserve"> </w:t>
            </w:r>
            <w:proofErr w:type="spellStart"/>
            <w:r w:rsidRPr="0026420A">
              <w:t>specialis</w:t>
            </w:r>
            <w:proofErr w:type="spellEnd"/>
            <w:r w:rsidRPr="0026420A">
              <w:t>) în materie, stabilind clar mecanismele de notificare și control al concentrărilor economice pentru toate sectoarele pieței. În plus, respectarea legislației în vigoare este obligatorie pentru toți subiecții de drept, neputând fi invocată necunoașterea acesteia. Considerăm că cadrul legal oferit de Legea nr. 183/2012 este pe deplin suficient.</w:t>
            </w:r>
          </w:p>
          <w:p w14:paraId="233C35A8" w14:textId="77777777" w:rsidR="005727FB" w:rsidRPr="0026420A" w:rsidRDefault="005727FB" w:rsidP="00BC51DD">
            <w:pPr>
              <w:ind w:firstLine="0"/>
              <w:rPr>
                <w:b/>
                <w:bCs/>
              </w:rPr>
            </w:pPr>
          </w:p>
        </w:tc>
      </w:tr>
      <w:tr w:rsidR="00AB436C" w:rsidRPr="0026420A" w14:paraId="326418E9" w14:textId="77777777" w:rsidTr="001F4857">
        <w:trPr>
          <w:trHeight w:val="1225"/>
        </w:trPr>
        <w:tc>
          <w:tcPr>
            <w:tcW w:w="2206" w:type="dxa"/>
            <w:vMerge w:val="restart"/>
            <w:tcMar>
              <w:top w:w="0" w:type="dxa"/>
              <w:left w:w="108" w:type="dxa"/>
              <w:bottom w:w="0" w:type="dxa"/>
              <w:right w:w="108" w:type="dxa"/>
            </w:tcMar>
          </w:tcPr>
          <w:p w14:paraId="1F596317" w14:textId="77777777" w:rsidR="00AB436C" w:rsidRPr="0026420A" w:rsidRDefault="00AB436C" w:rsidP="005727FB">
            <w:pPr>
              <w:ind w:firstLine="0"/>
              <w:jc w:val="left"/>
              <w:rPr>
                <w:b/>
                <w:bCs/>
              </w:rPr>
            </w:pPr>
            <w:r w:rsidRPr="0026420A">
              <w:rPr>
                <w:b/>
                <w:bCs/>
              </w:rPr>
              <w:t xml:space="preserve">Evaluare externă - facultativă efectuată de  expertul internațional oferit de Consiliul Europei, </w:t>
            </w:r>
            <w:proofErr w:type="spellStart"/>
            <w:r w:rsidRPr="0026420A">
              <w:rPr>
                <w:b/>
                <w:bCs/>
              </w:rPr>
              <w:t>Rosvaldas</w:t>
            </w:r>
            <w:proofErr w:type="spellEnd"/>
            <w:r w:rsidRPr="0026420A">
              <w:rPr>
                <w:b/>
                <w:bCs/>
              </w:rPr>
              <w:t xml:space="preserve"> </w:t>
            </w:r>
            <w:proofErr w:type="spellStart"/>
            <w:r w:rsidRPr="0026420A">
              <w:rPr>
                <w:b/>
                <w:bCs/>
              </w:rPr>
              <w:t>Krušna</w:t>
            </w:r>
            <w:proofErr w:type="spellEnd"/>
            <w:r w:rsidRPr="0026420A">
              <w:rPr>
                <w:b/>
                <w:bCs/>
              </w:rPr>
              <w:t xml:space="preserve">, </w:t>
            </w:r>
          </w:p>
          <w:p w14:paraId="433B1D95" w14:textId="77777777" w:rsidR="00AB436C" w:rsidRPr="0026420A" w:rsidRDefault="00AB436C" w:rsidP="005727FB">
            <w:pPr>
              <w:ind w:firstLine="0"/>
              <w:jc w:val="left"/>
              <w:rPr>
                <w:b/>
                <w:bCs/>
              </w:rPr>
            </w:pPr>
          </w:p>
          <w:p w14:paraId="4DEAA7C2" w14:textId="77777777" w:rsidR="00AB436C" w:rsidRPr="0026420A" w:rsidRDefault="00AB436C" w:rsidP="005727FB">
            <w:pPr>
              <w:ind w:firstLine="0"/>
              <w:jc w:val="left"/>
              <w:rPr>
                <w:i/>
                <w:iCs/>
              </w:rPr>
            </w:pPr>
            <w:r w:rsidRPr="0026420A">
              <w:rPr>
                <w:i/>
                <w:iCs/>
              </w:rPr>
              <w:t>/</w:t>
            </w:r>
            <w:proofErr w:type="spellStart"/>
            <w:r w:rsidRPr="0026420A">
              <w:rPr>
                <w:i/>
                <w:iCs/>
              </w:rPr>
              <w:t>Technical</w:t>
            </w:r>
            <w:proofErr w:type="spellEnd"/>
            <w:r w:rsidRPr="0026420A">
              <w:rPr>
                <w:i/>
                <w:iCs/>
              </w:rPr>
              <w:t xml:space="preserve"> </w:t>
            </w:r>
            <w:proofErr w:type="spellStart"/>
            <w:r w:rsidRPr="0026420A">
              <w:rPr>
                <w:i/>
                <w:iCs/>
              </w:rPr>
              <w:t>Paper</w:t>
            </w:r>
            <w:proofErr w:type="spellEnd"/>
            <w:r w:rsidRPr="0026420A">
              <w:rPr>
                <w:i/>
                <w:iCs/>
              </w:rPr>
              <w:t xml:space="preserve">- </w:t>
            </w:r>
          </w:p>
          <w:p w14:paraId="3E329405" w14:textId="77777777" w:rsidR="00AB436C" w:rsidRPr="0026420A" w:rsidRDefault="00AB436C" w:rsidP="005727FB">
            <w:pPr>
              <w:ind w:firstLine="0"/>
              <w:jc w:val="left"/>
              <w:rPr>
                <w:i/>
                <w:iCs/>
              </w:rPr>
            </w:pPr>
            <w:r w:rsidRPr="0026420A">
              <w:rPr>
                <w:i/>
                <w:iCs/>
              </w:rPr>
              <w:t xml:space="preserve">Review of </w:t>
            </w:r>
            <w:proofErr w:type="spellStart"/>
            <w:r w:rsidRPr="0026420A">
              <w:rPr>
                <w:i/>
                <w:iCs/>
              </w:rPr>
              <w:t>the</w:t>
            </w:r>
            <w:proofErr w:type="spellEnd"/>
            <w:r w:rsidRPr="0026420A">
              <w:rPr>
                <w:i/>
                <w:iCs/>
              </w:rPr>
              <w:t xml:space="preserve"> </w:t>
            </w:r>
            <w:proofErr w:type="spellStart"/>
            <w:r w:rsidRPr="0026420A">
              <w:rPr>
                <w:i/>
                <w:iCs/>
              </w:rPr>
              <w:t>draft</w:t>
            </w:r>
            <w:proofErr w:type="spellEnd"/>
            <w:r w:rsidRPr="0026420A">
              <w:rPr>
                <w:i/>
                <w:iCs/>
              </w:rPr>
              <w:t xml:space="preserve"> Law on </w:t>
            </w:r>
            <w:proofErr w:type="spellStart"/>
            <w:r w:rsidRPr="0026420A">
              <w:rPr>
                <w:i/>
                <w:iCs/>
              </w:rPr>
              <w:t>the</w:t>
            </w:r>
            <w:proofErr w:type="spellEnd"/>
            <w:r w:rsidRPr="0026420A">
              <w:rPr>
                <w:i/>
                <w:iCs/>
              </w:rPr>
              <w:t xml:space="preserve"> </w:t>
            </w:r>
            <w:proofErr w:type="spellStart"/>
            <w:r w:rsidRPr="0026420A">
              <w:rPr>
                <w:i/>
                <w:iCs/>
              </w:rPr>
              <w:t>Crypto-Assets</w:t>
            </w:r>
            <w:proofErr w:type="spellEnd"/>
            <w:r w:rsidRPr="0026420A">
              <w:rPr>
                <w:i/>
                <w:iCs/>
              </w:rPr>
              <w:t xml:space="preserve"> Market of </w:t>
            </w:r>
            <w:proofErr w:type="spellStart"/>
            <w:r w:rsidRPr="0026420A">
              <w:rPr>
                <w:i/>
                <w:iCs/>
              </w:rPr>
              <w:t>the</w:t>
            </w:r>
            <w:proofErr w:type="spellEnd"/>
            <w:r w:rsidRPr="0026420A">
              <w:rPr>
                <w:i/>
                <w:iCs/>
              </w:rPr>
              <w:t xml:space="preserve"> Republic of Moldova, </w:t>
            </w:r>
          </w:p>
          <w:p w14:paraId="356555CA" w14:textId="77777777" w:rsidR="00AB436C" w:rsidRPr="0026420A" w:rsidRDefault="00AB436C" w:rsidP="005727FB">
            <w:pPr>
              <w:ind w:firstLine="0"/>
              <w:jc w:val="left"/>
              <w:rPr>
                <w:i/>
                <w:iCs/>
              </w:rPr>
            </w:pPr>
            <w:proofErr w:type="spellStart"/>
            <w:r w:rsidRPr="0026420A">
              <w:rPr>
                <w:i/>
                <w:iCs/>
              </w:rPr>
              <w:t>Prepared</w:t>
            </w:r>
            <w:proofErr w:type="spellEnd"/>
            <w:r w:rsidRPr="0026420A">
              <w:rPr>
                <w:i/>
                <w:iCs/>
              </w:rPr>
              <w:t xml:space="preserve"> </w:t>
            </w:r>
            <w:proofErr w:type="spellStart"/>
            <w:r w:rsidRPr="0026420A">
              <w:rPr>
                <w:i/>
                <w:iCs/>
              </w:rPr>
              <w:t>by</w:t>
            </w:r>
            <w:proofErr w:type="spellEnd"/>
            <w:r w:rsidRPr="0026420A">
              <w:rPr>
                <w:i/>
                <w:iCs/>
              </w:rPr>
              <w:t>:</w:t>
            </w:r>
          </w:p>
          <w:p w14:paraId="0B98F549" w14:textId="77777777" w:rsidR="00AB436C" w:rsidRPr="0026420A" w:rsidRDefault="00AB436C" w:rsidP="005727FB">
            <w:pPr>
              <w:ind w:firstLine="0"/>
              <w:jc w:val="left"/>
              <w:rPr>
                <w:i/>
                <w:iCs/>
              </w:rPr>
            </w:pPr>
            <w:proofErr w:type="spellStart"/>
            <w:r w:rsidRPr="0026420A">
              <w:rPr>
                <w:i/>
                <w:iCs/>
              </w:rPr>
              <w:t>Rosvaldas</w:t>
            </w:r>
            <w:proofErr w:type="spellEnd"/>
            <w:r w:rsidRPr="0026420A">
              <w:rPr>
                <w:i/>
                <w:iCs/>
              </w:rPr>
              <w:t xml:space="preserve"> </w:t>
            </w:r>
            <w:proofErr w:type="spellStart"/>
            <w:r w:rsidRPr="0026420A">
              <w:rPr>
                <w:i/>
                <w:iCs/>
              </w:rPr>
              <w:t>Krušna</w:t>
            </w:r>
            <w:proofErr w:type="spellEnd"/>
            <w:r w:rsidRPr="0026420A">
              <w:rPr>
                <w:i/>
                <w:iCs/>
              </w:rPr>
              <w:t>,</w:t>
            </w:r>
          </w:p>
          <w:p w14:paraId="0606AF44" w14:textId="77777777" w:rsidR="00AB436C" w:rsidRPr="0026420A" w:rsidRDefault="00AB436C" w:rsidP="005727FB">
            <w:pPr>
              <w:ind w:firstLine="0"/>
              <w:jc w:val="left"/>
              <w:rPr>
                <w:i/>
                <w:iCs/>
              </w:rPr>
            </w:pPr>
            <w:r w:rsidRPr="0026420A">
              <w:rPr>
                <w:i/>
                <w:iCs/>
              </w:rPr>
              <w:t xml:space="preserve">Council of Europe </w:t>
            </w:r>
            <w:proofErr w:type="spellStart"/>
            <w:r w:rsidRPr="0026420A">
              <w:rPr>
                <w:i/>
                <w:iCs/>
              </w:rPr>
              <w:t>international</w:t>
            </w:r>
            <w:proofErr w:type="spellEnd"/>
            <w:r w:rsidRPr="0026420A">
              <w:rPr>
                <w:i/>
                <w:iCs/>
              </w:rPr>
              <w:t xml:space="preserve"> expert/</w:t>
            </w:r>
          </w:p>
          <w:p w14:paraId="497E6A97" w14:textId="77777777" w:rsidR="00AB436C" w:rsidRPr="0026420A" w:rsidRDefault="00AB436C" w:rsidP="005727FB">
            <w:pPr>
              <w:ind w:firstLine="0"/>
              <w:jc w:val="left"/>
              <w:rPr>
                <w:b/>
                <w:bCs/>
              </w:rPr>
            </w:pPr>
          </w:p>
          <w:p w14:paraId="11CC071D" w14:textId="77777777" w:rsidR="00AB436C" w:rsidRPr="0026420A" w:rsidRDefault="00AB436C" w:rsidP="005727FB">
            <w:pPr>
              <w:ind w:firstLine="0"/>
              <w:jc w:val="left"/>
              <w:rPr>
                <w:i/>
                <w:iCs/>
              </w:rPr>
            </w:pPr>
            <w:r w:rsidRPr="0026420A">
              <w:rPr>
                <w:i/>
                <w:iCs/>
              </w:rPr>
              <w:t xml:space="preserve">ECCD-ACT-AML-MD-TP2-2026 (EN) Review of </w:t>
            </w:r>
            <w:proofErr w:type="spellStart"/>
            <w:r w:rsidRPr="0026420A">
              <w:rPr>
                <w:i/>
                <w:iCs/>
              </w:rPr>
              <w:t>the</w:t>
            </w:r>
            <w:proofErr w:type="spellEnd"/>
            <w:r w:rsidRPr="0026420A">
              <w:rPr>
                <w:i/>
                <w:iCs/>
              </w:rPr>
              <w:t xml:space="preserve"> </w:t>
            </w:r>
            <w:proofErr w:type="spellStart"/>
            <w:r w:rsidRPr="0026420A">
              <w:rPr>
                <w:i/>
                <w:iCs/>
              </w:rPr>
              <w:t>draft</w:t>
            </w:r>
            <w:proofErr w:type="spellEnd"/>
            <w:r w:rsidRPr="0026420A">
              <w:rPr>
                <w:i/>
                <w:iCs/>
              </w:rPr>
              <w:t xml:space="preserve"> </w:t>
            </w:r>
            <w:proofErr w:type="spellStart"/>
            <w:r w:rsidRPr="0026420A">
              <w:rPr>
                <w:i/>
                <w:iCs/>
              </w:rPr>
              <w:t>Cryptoassets</w:t>
            </w:r>
            <w:proofErr w:type="spellEnd"/>
            <w:r w:rsidRPr="0026420A">
              <w:rPr>
                <w:i/>
                <w:iCs/>
              </w:rPr>
              <w:t xml:space="preserve"> </w:t>
            </w:r>
            <w:proofErr w:type="spellStart"/>
            <w:r w:rsidRPr="0026420A">
              <w:rPr>
                <w:i/>
                <w:iCs/>
              </w:rPr>
              <w:t>law</w:t>
            </w:r>
            <w:proofErr w:type="spellEnd"/>
            <w:r w:rsidRPr="0026420A">
              <w:rPr>
                <w:i/>
                <w:iCs/>
              </w:rPr>
              <w:t xml:space="preserve"> RM_FINAL_30 April 2026</w:t>
            </w:r>
          </w:p>
          <w:p w14:paraId="458A7A5D" w14:textId="77777777" w:rsidR="00AB436C" w:rsidRPr="0026420A" w:rsidRDefault="00AB436C" w:rsidP="005727FB">
            <w:pPr>
              <w:ind w:firstLine="0"/>
              <w:jc w:val="left"/>
              <w:rPr>
                <w:i/>
                <w:iCs/>
              </w:rPr>
            </w:pPr>
          </w:p>
          <w:p w14:paraId="6C851BC6" w14:textId="77777777" w:rsidR="00AB436C" w:rsidRPr="0026420A" w:rsidRDefault="00AB436C" w:rsidP="005727FB">
            <w:pPr>
              <w:ind w:firstLine="0"/>
              <w:jc w:val="left"/>
              <w:rPr>
                <w:i/>
                <w:iCs/>
              </w:rPr>
            </w:pPr>
          </w:p>
          <w:p w14:paraId="49875A8A" w14:textId="77777777" w:rsidR="00AB436C" w:rsidRPr="0026420A" w:rsidRDefault="00AB436C" w:rsidP="005727FB">
            <w:pPr>
              <w:ind w:firstLine="0"/>
              <w:jc w:val="left"/>
              <w:rPr>
                <w:i/>
                <w:iCs/>
              </w:rPr>
            </w:pPr>
          </w:p>
          <w:p w14:paraId="68A93147" w14:textId="77777777" w:rsidR="00AB436C" w:rsidRPr="0026420A" w:rsidRDefault="00AB436C" w:rsidP="005727FB">
            <w:pPr>
              <w:ind w:firstLine="0"/>
              <w:jc w:val="left"/>
              <w:rPr>
                <w:i/>
                <w:iCs/>
              </w:rPr>
            </w:pPr>
          </w:p>
          <w:p w14:paraId="3DD46622" w14:textId="77777777" w:rsidR="00AB436C" w:rsidRPr="0026420A" w:rsidRDefault="00AB436C" w:rsidP="005727FB">
            <w:pPr>
              <w:ind w:firstLine="0"/>
              <w:jc w:val="left"/>
              <w:rPr>
                <w:i/>
                <w:iCs/>
              </w:rPr>
            </w:pPr>
          </w:p>
          <w:p w14:paraId="185EEB10" w14:textId="77777777" w:rsidR="00AB436C" w:rsidRPr="0026420A" w:rsidRDefault="00AB436C" w:rsidP="005727FB">
            <w:pPr>
              <w:ind w:firstLine="0"/>
              <w:jc w:val="left"/>
              <w:rPr>
                <w:i/>
                <w:iCs/>
              </w:rPr>
            </w:pPr>
          </w:p>
          <w:p w14:paraId="0C6C8DF2" w14:textId="77777777" w:rsidR="00AB436C" w:rsidRPr="0026420A" w:rsidRDefault="00AB436C" w:rsidP="005727FB">
            <w:pPr>
              <w:ind w:firstLine="0"/>
              <w:jc w:val="left"/>
              <w:rPr>
                <w:i/>
                <w:iCs/>
              </w:rPr>
            </w:pPr>
          </w:p>
          <w:p w14:paraId="3B8E3B2E" w14:textId="77777777" w:rsidR="00AB436C" w:rsidRPr="0026420A" w:rsidRDefault="00AB436C" w:rsidP="005727FB">
            <w:pPr>
              <w:ind w:firstLine="0"/>
              <w:jc w:val="left"/>
              <w:rPr>
                <w:i/>
                <w:iCs/>
              </w:rPr>
            </w:pPr>
          </w:p>
          <w:p w14:paraId="5A812B60" w14:textId="77777777" w:rsidR="00AB436C" w:rsidRPr="0026420A" w:rsidRDefault="00AB436C" w:rsidP="005727FB">
            <w:pPr>
              <w:ind w:firstLine="0"/>
              <w:jc w:val="left"/>
              <w:rPr>
                <w:i/>
                <w:iCs/>
              </w:rPr>
            </w:pPr>
          </w:p>
          <w:p w14:paraId="2869EFA6" w14:textId="77777777" w:rsidR="00AB436C" w:rsidRPr="0026420A" w:rsidRDefault="00AB436C" w:rsidP="005727FB">
            <w:pPr>
              <w:ind w:firstLine="0"/>
              <w:jc w:val="left"/>
              <w:rPr>
                <w:i/>
                <w:iCs/>
              </w:rPr>
            </w:pPr>
          </w:p>
          <w:p w14:paraId="031B6AC1" w14:textId="77777777" w:rsidR="00AB436C" w:rsidRPr="0026420A" w:rsidRDefault="00AB436C" w:rsidP="005727FB">
            <w:pPr>
              <w:ind w:firstLine="0"/>
              <w:jc w:val="left"/>
              <w:rPr>
                <w:i/>
                <w:iCs/>
              </w:rPr>
            </w:pPr>
          </w:p>
          <w:p w14:paraId="4DDB3179" w14:textId="77777777" w:rsidR="00AB436C" w:rsidRPr="0026420A" w:rsidRDefault="00AB436C" w:rsidP="005727FB">
            <w:pPr>
              <w:ind w:firstLine="0"/>
              <w:jc w:val="left"/>
              <w:rPr>
                <w:i/>
                <w:iCs/>
              </w:rPr>
            </w:pPr>
          </w:p>
          <w:p w14:paraId="6D05D41C" w14:textId="77777777" w:rsidR="00AB436C" w:rsidRPr="0026420A" w:rsidRDefault="00AB436C" w:rsidP="005727FB">
            <w:pPr>
              <w:ind w:firstLine="0"/>
              <w:jc w:val="left"/>
              <w:rPr>
                <w:i/>
                <w:iCs/>
              </w:rPr>
            </w:pPr>
          </w:p>
          <w:p w14:paraId="13A72F42" w14:textId="77777777" w:rsidR="00AB436C" w:rsidRPr="0026420A" w:rsidRDefault="00AB436C" w:rsidP="005727FB">
            <w:pPr>
              <w:ind w:firstLine="0"/>
              <w:jc w:val="left"/>
              <w:rPr>
                <w:i/>
                <w:iCs/>
              </w:rPr>
            </w:pPr>
          </w:p>
          <w:p w14:paraId="0FCCBED6" w14:textId="77777777" w:rsidR="00AB436C" w:rsidRPr="0026420A" w:rsidRDefault="00AB436C" w:rsidP="005727FB">
            <w:pPr>
              <w:ind w:firstLine="0"/>
              <w:jc w:val="left"/>
              <w:rPr>
                <w:i/>
                <w:iCs/>
              </w:rPr>
            </w:pPr>
          </w:p>
          <w:p w14:paraId="3CC1D2A3" w14:textId="77777777" w:rsidR="00AB436C" w:rsidRPr="0026420A" w:rsidRDefault="00AB436C" w:rsidP="005727FB">
            <w:pPr>
              <w:ind w:firstLine="0"/>
              <w:jc w:val="left"/>
              <w:rPr>
                <w:i/>
                <w:iCs/>
              </w:rPr>
            </w:pPr>
          </w:p>
          <w:p w14:paraId="72BA8836" w14:textId="77777777" w:rsidR="00AB436C" w:rsidRPr="0026420A" w:rsidRDefault="00AB436C" w:rsidP="005727FB">
            <w:pPr>
              <w:ind w:firstLine="0"/>
              <w:jc w:val="left"/>
              <w:rPr>
                <w:i/>
                <w:iCs/>
              </w:rPr>
            </w:pPr>
          </w:p>
          <w:p w14:paraId="79086704" w14:textId="77777777" w:rsidR="00AB436C" w:rsidRPr="0026420A" w:rsidRDefault="00AB436C" w:rsidP="005727FB">
            <w:pPr>
              <w:ind w:firstLine="0"/>
              <w:jc w:val="left"/>
              <w:rPr>
                <w:i/>
                <w:iCs/>
              </w:rPr>
            </w:pPr>
          </w:p>
          <w:p w14:paraId="5264F7C4" w14:textId="77777777" w:rsidR="00AB436C" w:rsidRPr="0026420A" w:rsidRDefault="00AB436C" w:rsidP="005727FB">
            <w:pPr>
              <w:ind w:firstLine="0"/>
              <w:jc w:val="left"/>
              <w:rPr>
                <w:i/>
                <w:iCs/>
              </w:rPr>
            </w:pPr>
          </w:p>
          <w:p w14:paraId="06820907" w14:textId="77777777" w:rsidR="00AB436C" w:rsidRPr="0026420A" w:rsidRDefault="00AB436C" w:rsidP="005727FB">
            <w:pPr>
              <w:ind w:firstLine="0"/>
              <w:jc w:val="left"/>
              <w:rPr>
                <w:i/>
                <w:iCs/>
              </w:rPr>
            </w:pPr>
          </w:p>
          <w:p w14:paraId="45A0F775" w14:textId="77777777" w:rsidR="00AB436C" w:rsidRPr="0026420A" w:rsidRDefault="00AB436C" w:rsidP="005727FB">
            <w:pPr>
              <w:ind w:firstLine="0"/>
              <w:jc w:val="left"/>
              <w:rPr>
                <w:i/>
                <w:iCs/>
              </w:rPr>
            </w:pPr>
          </w:p>
          <w:p w14:paraId="4B4219E5" w14:textId="77777777" w:rsidR="00AB436C" w:rsidRPr="0026420A" w:rsidRDefault="00AB436C" w:rsidP="005727FB">
            <w:pPr>
              <w:ind w:firstLine="0"/>
              <w:jc w:val="left"/>
              <w:rPr>
                <w:i/>
                <w:iCs/>
              </w:rPr>
            </w:pPr>
          </w:p>
          <w:p w14:paraId="41E85097" w14:textId="77777777" w:rsidR="00AB436C" w:rsidRPr="0026420A" w:rsidRDefault="00AB436C" w:rsidP="005727FB">
            <w:pPr>
              <w:ind w:firstLine="0"/>
              <w:jc w:val="left"/>
              <w:rPr>
                <w:i/>
                <w:iCs/>
              </w:rPr>
            </w:pPr>
          </w:p>
          <w:p w14:paraId="08688800" w14:textId="77777777" w:rsidR="00AB436C" w:rsidRPr="0026420A" w:rsidRDefault="00AB436C" w:rsidP="005727FB">
            <w:pPr>
              <w:ind w:firstLine="0"/>
              <w:jc w:val="left"/>
              <w:rPr>
                <w:i/>
                <w:iCs/>
              </w:rPr>
            </w:pPr>
          </w:p>
          <w:p w14:paraId="2D3624FE" w14:textId="77777777" w:rsidR="00AB436C" w:rsidRPr="0026420A" w:rsidRDefault="00AB436C" w:rsidP="005727FB">
            <w:pPr>
              <w:ind w:firstLine="0"/>
              <w:jc w:val="left"/>
              <w:rPr>
                <w:i/>
                <w:iCs/>
              </w:rPr>
            </w:pPr>
          </w:p>
          <w:p w14:paraId="1135F892" w14:textId="77777777" w:rsidR="00AB436C" w:rsidRPr="0026420A" w:rsidRDefault="00AB436C" w:rsidP="005727FB">
            <w:pPr>
              <w:ind w:firstLine="0"/>
              <w:jc w:val="left"/>
              <w:rPr>
                <w:i/>
                <w:iCs/>
              </w:rPr>
            </w:pPr>
          </w:p>
          <w:p w14:paraId="5E8DB9C7" w14:textId="77777777" w:rsidR="00AB436C" w:rsidRPr="0026420A" w:rsidRDefault="00AB436C" w:rsidP="005727FB">
            <w:pPr>
              <w:ind w:firstLine="0"/>
              <w:jc w:val="left"/>
              <w:rPr>
                <w:i/>
                <w:iCs/>
              </w:rPr>
            </w:pPr>
          </w:p>
          <w:p w14:paraId="7E1CDEBB" w14:textId="77777777" w:rsidR="00AB436C" w:rsidRPr="0026420A" w:rsidRDefault="00AB436C" w:rsidP="005727FB">
            <w:pPr>
              <w:ind w:firstLine="0"/>
              <w:jc w:val="left"/>
              <w:rPr>
                <w:i/>
                <w:iCs/>
              </w:rPr>
            </w:pPr>
          </w:p>
          <w:p w14:paraId="3499AB2A" w14:textId="77777777" w:rsidR="00AB436C" w:rsidRPr="0026420A" w:rsidRDefault="00AB436C" w:rsidP="005727FB">
            <w:pPr>
              <w:ind w:firstLine="0"/>
              <w:jc w:val="left"/>
              <w:rPr>
                <w:i/>
                <w:iCs/>
              </w:rPr>
            </w:pPr>
          </w:p>
          <w:p w14:paraId="06482E39" w14:textId="77777777" w:rsidR="00AB436C" w:rsidRPr="0026420A" w:rsidRDefault="00AB436C" w:rsidP="005727FB">
            <w:pPr>
              <w:ind w:firstLine="0"/>
              <w:jc w:val="left"/>
              <w:rPr>
                <w:i/>
                <w:iCs/>
              </w:rPr>
            </w:pPr>
          </w:p>
          <w:p w14:paraId="1A21EA85" w14:textId="77777777" w:rsidR="00AB436C" w:rsidRPr="0026420A" w:rsidRDefault="00AB436C" w:rsidP="005727FB">
            <w:pPr>
              <w:ind w:firstLine="0"/>
              <w:jc w:val="left"/>
              <w:rPr>
                <w:i/>
                <w:iCs/>
              </w:rPr>
            </w:pPr>
          </w:p>
          <w:p w14:paraId="222EB16E" w14:textId="77777777" w:rsidR="00AB436C" w:rsidRPr="0026420A" w:rsidRDefault="00AB436C" w:rsidP="005727FB">
            <w:pPr>
              <w:ind w:firstLine="0"/>
              <w:jc w:val="left"/>
              <w:rPr>
                <w:i/>
                <w:iCs/>
              </w:rPr>
            </w:pPr>
          </w:p>
          <w:p w14:paraId="74599CE1" w14:textId="77777777" w:rsidR="00AB436C" w:rsidRPr="0026420A" w:rsidRDefault="00AB436C" w:rsidP="005727FB">
            <w:pPr>
              <w:ind w:firstLine="0"/>
              <w:jc w:val="left"/>
              <w:rPr>
                <w:i/>
                <w:iCs/>
              </w:rPr>
            </w:pPr>
          </w:p>
          <w:p w14:paraId="2CE44E5D" w14:textId="77777777" w:rsidR="00AB436C" w:rsidRPr="0026420A" w:rsidRDefault="00AB436C" w:rsidP="005727FB">
            <w:pPr>
              <w:ind w:firstLine="0"/>
              <w:jc w:val="left"/>
              <w:rPr>
                <w:i/>
                <w:iCs/>
              </w:rPr>
            </w:pPr>
          </w:p>
          <w:p w14:paraId="4D9F0B8B" w14:textId="77777777" w:rsidR="00AB436C" w:rsidRPr="0026420A" w:rsidRDefault="00AB436C" w:rsidP="005727FB">
            <w:pPr>
              <w:ind w:firstLine="0"/>
              <w:jc w:val="left"/>
              <w:rPr>
                <w:i/>
                <w:iCs/>
              </w:rPr>
            </w:pPr>
          </w:p>
          <w:p w14:paraId="698AB174" w14:textId="77777777" w:rsidR="00AB436C" w:rsidRPr="0026420A" w:rsidRDefault="00AB436C" w:rsidP="005727FB">
            <w:pPr>
              <w:ind w:firstLine="0"/>
              <w:jc w:val="left"/>
              <w:rPr>
                <w:i/>
                <w:iCs/>
              </w:rPr>
            </w:pPr>
          </w:p>
          <w:p w14:paraId="08C6A6CE" w14:textId="77777777" w:rsidR="00AB436C" w:rsidRPr="0026420A" w:rsidRDefault="00AB436C" w:rsidP="005727FB">
            <w:pPr>
              <w:ind w:firstLine="0"/>
              <w:jc w:val="left"/>
              <w:rPr>
                <w:i/>
                <w:iCs/>
              </w:rPr>
            </w:pPr>
          </w:p>
          <w:p w14:paraId="47F9E362" w14:textId="77777777" w:rsidR="00AB436C" w:rsidRPr="0026420A" w:rsidRDefault="00AB436C" w:rsidP="005727FB">
            <w:pPr>
              <w:ind w:firstLine="0"/>
              <w:jc w:val="left"/>
              <w:rPr>
                <w:i/>
                <w:iCs/>
              </w:rPr>
            </w:pPr>
          </w:p>
          <w:p w14:paraId="5895096E" w14:textId="77777777" w:rsidR="00AB436C" w:rsidRPr="0026420A" w:rsidRDefault="00AB436C" w:rsidP="005727FB">
            <w:pPr>
              <w:ind w:firstLine="0"/>
              <w:jc w:val="left"/>
              <w:rPr>
                <w:i/>
                <w:iCs/>
              </w:rPr>
            </w:pPr>
          </w:p>
          <w:p w14:paraId="6897B134" w14:textId="77777777" w:rsidR="00AB436C" w:rsidRPr="0026420A" w:rsidRDefault="00AB436C" w:rsidP="005727FB">
            <w:pPr>
              <w:ind w:firstLine="0"/>
              <w:jc w:val="left"/>
              <w:rPr>
                <w:i/>
                <w:iCs/>
              </w:rPr>
            </w:pPr>
          </w:p>
          <w:p w14:paraId="1E75F57A" w14:textId="77777777" w:rsidR="00AB436C" w:rsidRPr="0026420A" w:rsidRDefault="00AB436C" w:rsidP="005727FB">
            <w:pPr>
              <w:ind w:firstLine="0"/>
              <w:jc w:val="left"/>
              <w:rPr>
                <w:i/>
                <w:iCs/>
              </w:rPr>
            </w:pPr>
          </w:p>
          <w:p w14:paraId="2E571E24" w14:textId="77777777" w:rsidR="00AB436C" w:rsidRPr="0026420A" w:rsidRDefault="00AB436C" w:rsidP="005727FB">
            <w:pPr>
              <w:ind w:firstLine="0"/>
              <w:jc w:val="left"/>
              <w:rPr>
                <w:i/>
                <w:iCs/>
              </w:rPr>
            </w:pPr>
          </w:p>
          <w:p w14:paraId="5F2C163B" w14:textId="77777777" w:rsidR="00AB436C" w:rsidRPr="0026420A" w:rsidRDefault="00AB436C" w:rsidP="005727FB">
            <w:pPr>
              <w:ind w:firstLine="0"/>
              <w:jc w:val="left"/>
              <w:rPr>
                <w:i/>
                <w:iCs/>
              </w:rPr>
            </w:pPr>
          </w:p>
          <w:p w14:paraId="395DB664" w14:textId="77777777" w:rsidR="00AB436C" w:rsidRPr="0026420A" w:rsidRDefault="00AB436C" w:rsidP="005727FB">
            <w:pPr>
              <w:ind w:firstLine="0"/>
              <w:jc w:val="left"/>
              <w:rPr>
                <w:i/>
                <w:iCs/>
              </w:rPr>
            </w:pPr>
          </w:p>
          <w:p w14:paraId="5B2AF5D0" w14:textId="77777777" w:rsidR="00AB436C" w:rsidRPr="0026420A" w:rsidRDefault="00AB436C" w:rsidP="005727FB">
            <w:pPr>
              <w:ind w:firstLine="0"/>
              <w:jc w:val="left"/>
              <w:rPr>
                <w:i/>
                <w:iCs/>
              </w:rPr>
            </w:pPr>
          </w:p>
          <w:p w14:paraId="1A252473" w14:textId="77777777" w:rsidR="00AB436C" w:rsidRPr="0026420A" w:rsidRDefault="00AB436C" w:rsidP="005727FB">
            <w:pPr>
              <w:ind w:firstLine="0"/>
              <w:jc w:val="left"/>
              <w:rPr>
                <w:i/>
                <w:iCs/>
              </w:rPr>
            </w:pPr>
          </w:p>
          <w:p w14:paraId="1DF41B3C" w14:textId="77777777" w:rsidR="00AB436C" w:rsidRPr="0026420A" w:rsidRDefault="00AB436C" w:rsidP="005727FB">
            <w:pPr>
              <w:ind w:firstLine="0"/>
              <w:jc w:val="left"/>
              <w:rPr>
                <w:i/>
                <w:iCs/>
              </w:rPr>
            </w:pPr>
          </w:p>
          <w:p w14:paraId="38C57CE7" w14:textId="77777777" w:rsidR="00AB436C" w:rsidRPr="0026420A" w:rsidRDefault="00AB436C" w:rsidP="005727FB">
            <w:pPr>
              <w:ind w:firstLine="0"/>
              <w:jc w:val="left"/>
              <w:rPr>
                <w:i/>
                <w:iCs/>
              </w:rPr>
            </w:pPr>
          </w:p>
          <w:p w14:paraId="0B5574ED" w14:textId="77777777" w:rsidR="00AB436C" w:rsidRPr="0026420A" w:rsidRDefault="00AB436C" w:rsidP="005727FB">
            <w:pPr>
              <w:ind w:firstLine="0"/>
              <w:jc w:val="left"/>
              <w:rPr>
                <w:i/>
                <w:iCs/>
              </w:rPr>
            </w:pPr>
          </w:p>
          <w:p w14:paraId="48B01914" w14:textId="790D17FC" w:rsidR="00AB436C" w:rsidRPr="0026420A" w:rsidRDefault="00AB436C" w:rsidP="005727FB">
            <w:pPr>
              <w:ind w:firstLine="0"/>
              <w:jc w:val="left"/>
              <w:rPr>
                <w:b/>
                <w:bCs/>
              </w:rPr>
            </w:pPr>
          </w:p>
        </w:tc>
        <w:tc>
          <w:tcPr>
            <w:tcW w:w="579" w:type="dxa"/>
            <w:tcMar>
              <w:top w:w="0" w:type="dxa"/>
              <w:left w:w="108" w:type="dxa"/>
              <w:bottom w:w="0" w:type="dxa"/>
              <w:right w:w="108" w:type="dxa"/>
            </w:tcMar>
          </w:tcPr>
          <w:p w14:paraId="26BEEDA8" w14:textId="77777777" w:rsidR="00AB436C" w:rsidRPr="0026420A" w:rsidRDefault="00AB436C" w:rsidP="00BC51DD">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782E2022" w14:textId="77777777" w:rsidR="00AB436C" w:rsidRPr="0026420A" w:rsidRDefault="00AB436C" w:rsidP="00BC51DD">
            <w:pPr>
              <w:pBdr>
                <w:top w:val="none" w:sz="4" w:space="0" w:color="000000"/>
                <w:left w:val="none" w:sz="4" w:space="0" w:color="000000"/>
                <w:bottom w:val="none" w:sz="4" w:space="0" w:color="000000"/>
                <w:right w:val="none" w:sz="4" w:space="0" w:color="000000"/>
              </w:pBdr>
              <w:ind w:firstLine="0"/>
            </w:pPr>
            <w:proofErr w:type="spellStart"/>
            <w:r w:rsidRPr="0026420A">
              <w:t>Harmonise</w:t>
            </w:r>
            <w:proofErr w:type="spellEnd"/>
            <w:r w:rsidRPr="0026420A">
              <w:t xml:space="preserve"> </w:t>
            </w:r>
            <w:proofErr w:type="spellStart"/>
            <w:r w:rsidRPr="0026420A">
              <w:t>terminology</w:t>
            </w:r>
            <w:proofErr w:type="spellEnd"/>
            <w:r w:rsidRPr="0026420A">
              <w:t xml:space="preserve"> </w:t>
            </w:r>
            <w:proofErr w:type="spellStart"/>
            <w:r w:rsidRPr="0026420A">
              <w:t>throughout</w:t>
            </w:r>
            <w:proofErr w:type="spellEnd"/>
            <w:r w:rsidRPr="0026420A">
              <w:t xml:space="preserve"> </w:t>
            </w:r>
            <w:proofErr w:type="spellStart"/>
            <w:r w:rsidRPr="0026420A">
              <w:t>the</w:t>
            </w:r>
            <w:proofErr w:type="spellEnd"/>
            <w:r w:rsidRPr="0026420A">
              <w:t xml:space="preserve"> </w:t>
            </w:r>
            <w:proofErr w:type="spellStart"/>
            <w:r w:rsidRPr="0026420A">
              <w:t>core</w:t>
            </w:r>
            <w:proofErr w:type="spellEnd"/>
            <w:r w:rsidRPr="0026420A">
              <w:t xml:space="preserve"> text </w:t>
            </w:r>
            <w:proofErr w:type="spellStart"/>
            <w:r w:rsidRPr="0026420A">
              <w:t>and</w:t>
            </w:r>
            <w:proofErr w:type="spellEnd"/>
            <w:r w:rsidRPr="0026420A">
              <w:t xml:space="preserve"> </w:t>
            </w:r>
            <w:proofErr w:type="spellStart"/>
            <w:r w:rsidRPr="0026420A">
              <w:t>annexes</w:t>
            </w:r>
            <w:proofErr w:type="spellEnd"/>
            <w:r w:rsidRPr="0026420A">
              <w:t xml:space="preserve">, in particular </w:t>
            </w:r>
            <w:proofErr w:type="spellStart"/>
            <w:r w:rsidRPr="0026420A">
              <w:t>the</w:t>
            </w:r>
            <w:proofErr w:type="spellEnd"/>
            <w:r w:rsidRPr="0026420A">
              <w:t xml:space="preserve"> </w:t>
            </w:r>
            <w:proofErr w:type="spellStart"/>
            <w:r w:rsidRPr="0026420A">
              <w:t>use</w:t>
            </w:r>
            <w:proofErr w:type="spellEnd"/>
            <w:r w:rsidRPr="0026420A">
              <w:t xml:space="preserve"> of “</w:t>
            </w:r>
            <w:proofErr w:type="spellStart"/>
            <w:r w:rsidRPr="0026420A">
              <w:t>asset-referenced</w:t>
            </w:r>
            <w:proofErr w:type="spellEnd"/>
            <w:r w:rsidRPr="0026420A">
              <w:t xml:space="preserve"> </w:t>
            </w:r>
            <w:proofErr w:type="spellStart"/>
            <w:r w:rsidRPr="0026420A">
              <w:t>token</w:t>
            </w:r>
            <w:proofErr w:type="spellEnd"/>
            <w:r w:rsidRPr="0026420A">
              <w:t>” versus “</w:t>
            </w:r>
            <w:proofErr w:type="spellStart"/>
            <w:r w:rsidRPr="0026420A">
              <w:t>asset-backed</w:t>
            </w:r>
            <w:proofErr w:type="spellEnd"/>
            <w:r w:rsidRPr="0026420A">
              <w:t xml:space="preserve"> </w:t>
            </w:r>
            <w:proofErr w:type="spellStart"/>
            <w:r w:rsidRPr="0026420A">
              <w:t>token</w:t>
            </w:r>
            <w:proofErr w:type="spellEnd"/>
            <w:r w:rsidRPr="0026420A">
              <w:t xml:space="preserve">”, </w:t>
            </w:r>
            <w:proofErr w:type="spellStart"/>
            <w:r w:rsidRPr="0026420A">
              <w:t>the</w:t>
            </w:r>
            <w:proofErr w:type="spellEnd"/>
            <w:r w:rsidRPr="0026420A">
              <w:t xml:space="preserve"> spelling of “</w:t>
            </w:r>
            <w:proofErr w:type="spellStart"/>
            <w:r w:rsidRPr="0026420A">
              <w:t>crypto-asset</w:t>
            </w:r>
            <w:proofErr w:type="spellEnd"/>
            <w:r w:rsidRPr="0026420A">
              <w:t>/</w:t>
            </w:r>
            <w:proofErr w:type="spellStart"/>
            <w:r w:rsidRPr="0026420A">
              <w:t>cryptoasset</w:t>
            </w:r>
            <w:proofErr w:type="spellEnd"/>
            <w:r w:rsidRPr="0026420A">
              <w:t xml:space="preserve">”, </w:t>
            </w:r>
            <w:proofErr w:type="spellStart"/>
            <w:r w:rsidRPr="0026420A">
              <w:t>and</w:t>
            </w:r>
            <w:proofErr w:type="spellEnd"/>
            <w:r w:rsidRPr="0026420A">
              <w:t xml:space="preserve"> </w:t>
            </w:r>
            <w:proofErr w:type="spellStart"/>
            <w:r w:rsidRPr="0026420A">
              <w:t>the</w:t>
            </w:r>
            <w:proofErr w:type="spellEnd"/>
            <w:r w:rsidRPr="0026420A">
              <w:t xml:space="preserve"> </w:t>
            </w:r>
            <w:proofErr w:type="spellStart"/>
            <w:r w:rsidRPr="0026420A">
              <w:t>official</w:t>
            </w:r>
            <w:proofErr w:type="spellEnd"/>
            <w:r w:rsidRPr="0026420A">
              <w:t xml:space="preserve"> </w:t>
            </w:r>
            <w:proofErr w:type="spellStart"/>
            <w:r w:rsidRPr="0026420A">
              <w:t>short</w:t>
            </w:r>
            <w:proofErr w:type="spellEnd"/>
            <w:r w:rsidRPr="0026420A">
              <w:t xml:space="preserve"> </w:t>
            </w:r>
            <w:proofErr w:type="spellStart"/>
            <w:r w:rsidRPr="0026420A">
              <w:t>name</w:t>
            </w:r>
            <w:proofErr w:type="spellEnd"/>
            <w:r w:rsidRPr="0026420A">
              <w:t xml:space="preserve"> of </w:t>
            </w:r>
            <w:proofErr w:type="spellStart"/>
            <w:r w:rsidRPr="0026420A">
              <w:t>the</w:t>
            </w:r>
            <w:proofErr w:type="spellEnd"/>
            <w:r w:rsidRPr="0026420A">
              <w:t xml:space="preserve"> National </w:t>
            </w:r>
            <w:proofErr w:type="spellStart"/>
            <w:r w:rsidRPr="0026420A">
              <w:t>Commission</w:t>
            </w:r>
            <w:proofErr w:type="spellEnd"/>
            <w:r w:rsidRPr="0026420A">
              <w:t xml:space="preserve">. </w:t>
            </w:r>
            <w:proofErr w:type="spellStart"/>
            <w:r w:rsidRPr="0026420A">
              <w:t>However</w:t>
            </w:r>
            <w:proofErr w:type="spellEnd"/>
            <w:r w:rsidRPr="0026420A">
              <w:t xml:space="preserve">, </w:t>
            </w:r>
            <w:proofErr w:type="spellStart"/>
            <w:r w:rsidRPr="0026420A">
              <w:t>this</w:t>
            </w:r>
            <w:proofErr w:type="spellEnd"/>
            <w:r w:rsidRPr="0026420A">
              <w:t xml:space="preserve"> </w:t>
            </w:r>
            <w:proofErr w:type="spellStart"/>
            <w:r w:rsidRPr="0026420A">
              <w:t>might</w:t>
            </w:r>
            <w:proofErr w:type="spellEnd"/>
            <w:r w:rsidRPr="0026420A">
              <w:t xml:space="preserve"> </w:t>
            </w:r>
            <w:proofErr w:type="spellStart"/>
            <w:r w:rsidRPr="0026420A">
              <w:t>be</w:t>
            </w:r>
            <w:proofErr w:type="spellEnd"/>
            <w:r w:rsidRPr="0026420A">
              <w:t xml:space="preserve"> </w:t>
            </w:r>
            <w:proofErr w:type="spellStart"/>
            <w:r w:rsidRPr="0026420A">
              <w:t>the</w:t>
            </w:r>
            <w:proofErr w:type="spellEnd"/>
            <w:r w:rsidRPr="0026420A">
              <w:t xml:space="preserve"> case </w:t>
            </w:r>
            <w:proofErr w:type="spellStart"/>
            <w:r w:rsidRPr="0026420A">
              <w:t>where</w:t>
            </w:r>
            <w:proofErr w:type="spellEnd"/>
            <w:r w:rsidRPr="0026420A">
              <w:t xml:space="preserve"> </w:t>
            </w:r>
            <w:proofErr w:type="spellStart"/>
            <w:r w:rsidRPr="0026420A">
              <w:t>differences</w:t>
            </w:r>
            <w:proofErr w:type="spellEnd"/>
            <w:r w:rsidRPr="0026420A">
              <w:t xml:space="preserve"> </w:t>
            </w:r>
            <w:proofErr w:type="spellStart"/>
            <w:r w:rsidRPr="0026420A">
              <w:t>arose</w:t>
            </w:r>
            <w:proofErr w:type="spellEnd"/>
            <w:r w:rsidRPr="0026420A">
              <w:t xml:space="preserve"> </w:t>
            </w:r>
            <w:proofErr w:type="spellStart"/>
            <w:r w:rsidRPr="0026420A">
              <w:t>due</w:t>
            </w:r>
            <w:proofErr w:type="spellEnd"/>
            <w:r w:rsidRPr="0026420A">
              <w:t xml:space="preserve"> </w:t>
            </w:r>
            <w:proofErr w:type="spellStart"/>
            <w:r w:rsidRPr="0026420A">
              <w:t>to</w:t>
            </w:r>
            <w:proofErr w:type="spellEnd"/>
            <w:r w:rsidRPr="0026420A">
              <w:t xml:space="preserve"> </w:t>
            </w:r>
            <w:proofErr w:type="spellStart"/>
            <w:r w:rsidRPr="0026420A">
              <w:t>translation</w:t>
            </w:r>
            <w:proofErr w:type="spellEnd"/>
            <w:r w:rsidRPr="0026420A">
              <w:t>.</w:t>
            </w:r>
          </w:p>
          <w:p w14:paraId="1C93C0F3" w14:textId="77777777" w:rsidR="00AB436C" w:rsidRPr="0026420A" w:rsidRDefault="00AB436C" w:rsidP="00BC51DD">
            <w:pPr>
              <w:pBdr>
                <w:top w:val="none" w:sz="4" w:space="0" w:color="000000"/>
                <w:left w:val="none" w:sz="4" w:space="0" w:color="000000"/>
                <w:bottom w:val="none" w:sz="4" w:space="0" w:color="000000"/>
                <w:right w:val="none" w:sz="4" w:space="0" w:color="000000"/>
              </w:pBdr>
              <w:ind w:firstLine="0"/>
            </w:pPr>
            <w:r w:rsidRPr="0026420A">
              <w:t xml:space="preserve">Review </w:t>
            </w:r>
            <w:proofErr w:type="spellStart"/>
            <w:r w:rsidRPr="0026420A">
              <w:t>all</w:t>
            </w:r>
            <w:proofErr w:type="spellEnd"/>
            <w:r w:rsidRPr="0026420A">
              <w:t xml:space="preserve"> EU-specific </w:t>
            </w:r>
            <w:proofErr w:type="spellStart"/>
            <w:r w:rsidRPr="0026420A">
              <w:t>references</w:t>
            </w:r>
            <w:proofErr w:type="spellEnd"/>
            <w:r w:rsidRPr="0026420A">
              <w:t xml:space="preserve"> </w:t>
            </w:r>
            <w:proofErr w:type="spellStart"/>
            <w:r w:rsidRPr="0026420A">
              <w:t>and</w:t>
            </w:r>
            <w:proofErr w:type="spellEnd"/>
            <w:r w:rsidRPr="0026420A">
              <w:t xml:space="preserve"> </w:t>
            </w:r>
            <w:proofErr w:type="spellStart"/>
            <w:r w:rsidRPr="0026420A">
              <w:t>specify</w:t>
            </w:r>
            <w:proofErr w:type="spellEnd"/>
            <w:r w:rsidRPr="0026420A">
              <w:t xml:space="preserve"> </w:t>
            </w:r>
            <w:proofErr w:type="spellStart"/>
            <w:r w:rsidRPr="0026420A">
              <w:t>clearly</w:t>
            </w:r>
            <w:proofErr w:type="spellEnd"/>
            <w:r w:rsidRPr="0026420A">
              <w:t xml:space="preserve"> </w:t>
            </w:r>
            <w:proofErr w:type="spellStart"/>
            <w:r w:rsidRPr="0026420A">
              <w:t>whether</w:t>
            </w:r>
            <w:proofErr w:type="spellEnd"/>
            <w:r w:rsidRPr="0026420A">
              <w:t xml:space="preserve"> </w:t>
            </w:r>
            <w:proofErr w:type="spellStart"/>
            <w:r w:rsidRPr="0026420A">
              <w:t>they</w:t>
            </w:r>
            <w:proofErr w:type="spellEnd"/>
            <w:r w:rsidRPr="0026420A">
              <w:t xml:space="preserve"> operate </w:t>
            </w:r>
            <w:proofErr w:type="spellStart"/>
            <w:r w:rsidRPr="0026420A">
              <w:t>immediately</w:t>
            </w:r>
            <w:proofErr w:type="spellEnd"/>
            <w:r w:rsidRPr="0026420A">
              <w:t xml:space="preserve">, </w:t>
            </w:r>
            <w:proofErr w:type="spellStart"/>
            <w:r w:rsidRPr="0026420A">
              <w:t>by</w:t>
            </w:r>
            <w:proofErr w:type="spellEnd"/>
            <w:r w:rsidRPr="0026420A">
              <w:t xml:space="preserve"> </w:t>
            </w:r>
            <w:proofErr w:type="spellStart"/>
            <w:r w:rsidRPr="0026420A">
              <w:t>analogy</w:t>
            </w:r>
            <w:proofErr w:type="spellEnd"/>
            <w:r w:rsidRPr="0026420A">
              <w:t xml:space="preserve">, or </w:t>
            </w:r>
            <w:proofErr w:type="spellStart"/>
            <w:r w:rsidRPr="0026420A">
              <w:t>only</w:t>
            </w:r>
            <w:proofErr w:type="spellEnd"/>
            <w:r w:rsidRPr="0026420A">
              <w:t xml:space="preserve"> </w:t>
            </w:r>
            <w:proofErr w:type="spellStart"/>
            <w:r w:rsidRPr="0026420A">
              <w:t>upon</w:t>
            </w:r>
            <w:proofErr w:type="spellEnd"/>
            <w:r w:rsidRPr="0026420A">
              <w:t xml:space="preserve"> EU </w:t>
            </w:r>
            <w:proofErr w:type="spellStart"/>
            <w:r w:rsidRPr="0026420A">
              <w:t>accession</w:t>
            </w:r>
            <w:proofErr w:type="spellEnd"/>
            <w:r w:rsidRPr="0026420A">
              <w:t xml:space="preserve">, </w:t>
            </w:r>
            <w:proofErr w:type="spellStart"/>
            <w:r w:rsidRPr="0026420A">
              <w:t>so</w:t>
            </w:r>
            <w:proofErr w:type="spellEnd"/>
            <w:r w:rsidRPr="0026420A">
              <w:t xml:space="preserve"> </w:t>
            </w:r>
            <w:proofErr w:type="spellStart"/>
            <w:r w:rsidRPr="0026420A">
              <w:t>that</w:t>
            </w:r>
            <w:proofErr w:type="spellEnd"/>
            <w:r w:rsidRPr="0026420A">
              <w:t xml:space="preserve"> </w:t>
            </w:r>
            <w:proofErr w:type="spellStart"/>
            <w:r w:rsidRPr="0026420A">
              <w:t>the</w:t>
            </w:r>
            <w:proofErr w:type="spellEnd"/>
            <w:r w:rsidRPr="0026420A">
              <w:t xml:space="preserve"> </w:t>
            </w:r>
            <w:proofErr w:type="spellStart"/>
            <w:r w:rsidRPr="0026420A">
              <w:t>law</w:t>
            </w:r>
            <w:proofErr w:type="spellEnd"/>
            <w:r w:rsidRPr="0026420A">
              <w:t xml:space="preserve"> </w:t>
            </w:r>
            <w:proofErr w:type="spellStart"/>
            <w:r w:rsidRPr="0026420A">
              <w:t>remains</w:t>
            </w:r>
            <w:proofErr w:type="spellEnd"/>
            <w:r w:rsidRPr="0026420A">
              <w:t xml:space="preserve"> </w:t>
            </w:r>
            <w:proofErr w:type="spellStart"/>
            <w:r w:rsidRPr="0026420A">
              <w:t>fully</w:t>
            </w:r>
            <w:proofErr w:type="spellEnd"/>
            <w:r w:rsidRPr="0026420A">
              <w:t xml:space="preserve"> </w:t>
            </w:r>
            <w:proofErr w:type="spellStart"/>
            <w:r w:rsidRPr="0026420A">
              <w:t>workable</w:t>
            </w:r>
            <w:proofErr w:type="spellEnd"/>
            <w:r w:rsidRPr="0026420A">
              <w:t xml:space="preserve"> in </w:t>
            </w:r>
            <w:proofErr w:type="spellStart"/>
            <w:r w:rsidRPr="0026420A">
              <w:t>the</w:t>
            </w:r>
            <w:proofErr w:type="spellEnd"/>
            <w:r w:rsidRPr="0026420A">
              <w:t xml:space="preserve"> pre </w:t>
            </w:r>
            <w:proofErr w:type="spellStart"/>
            <w:r w:rsidRPr="0026420A">
              <w:t>accession</w:t>
            </w:r>
            <w:proofErr w:type="spellEnd"/>
            <w:r w:rsidRPr="0026420A">
              <w:t xml:space="preserve"> </w:t>
            </w:r>
            <w:proofErr w:type="spellStart"/>
            <w:r w:rsidRPr="0026420A">
              <w:t>phase</w:t>
            </w:r>
            <w:proofErr w:type="spellEnd"/>
            <w:r w:rsidRPr="0026420A">
              <w:t>.</w:t>
            </w:r>
          </w:p>
          <w:p w14:paraId="6B5DE2D9" w14:textId="77777777" w:rsidR="00AB436C" w:rsidRPr="0026420A" w:rsidRDefault="00AB436C" w:rsidP="00BC51DD">
            <w:pPr>
              <w:pBdr>
                <w:top w:val="none" w:sz="4" w:space="0" w:color="000000"/>
                <w:left w:val="none" w:sz="4" w:space="0" w:color="000000"/>
                <w:bottom w:val="none" w:sz="4" w:space="0" w:color="000000"/>
                <w:right w:val="none" w:sz="4" w:space="0" w:color="000000"/>
              </w:pBdr>
              <w:ind w:firstLine="0"/>
            </w:pPr>
            <w:proofErr w:type="spellStart"/>
            <w:r w:rsidRPr="0026420A">
              <w:t>Ensure</w:t>
            </w:r>
            <w:proofErr w:type="spellEnd"/>
            <w:r w:rsidRPr="0026420A">
              <w:t xml:space="preserve"> </w:t>
            </w:r>
            <w:proofErr w:type="spellStart"/>
            <w:r w:rsidRPr="0026420A">
              <w:t>that</w:t>
            </w:r>
            <w:proofErr w:type="spellEnd"/>
            <w:r w:rsidRPr="0026420A">
              <w:t xml:space="preserve"> </w:t>
            </w:r>
            <w:proofErr w:type="spellStart"/>
            <w:r w:rsidRPr="0026420A">
              <w:t>all</w:t>
            </w:r>
            <w:proofErr w:type="spellEnd"/>
            <w:r w:rsidRPr="0026420A">
              <w:t xml:space="preserve"> </w:t>
            </w:r>
            <w:proofErr w:type="spellStart"/>
            <w:r w:rsidRPr="0026420A">
              <w:t>consequential</w:t>
            </w:r>
            <w:proofErr w:type="spellEnd"/>
            <w:r w:rsidRPr="0026420A">
              <w:t xml:space="preserve"> </w:t>
            </w:r>
            <w:proofErr w:type="spellStart"/>
            <w:r w:rsidRPr="0026420A">
              <w:t>amendments</w:t>
            </w:r>
            <w:proofErr w:type="spellEnd"/>
            <w:r w:rsidRPr="0026420A">
              <w:t xml:space="preserve"> </w:t>
            </w:r>
            <w:proofErr w:type="spellStart"/>
            <w:r w:rsidRPr="0026420A">
              <w:t>to</w:t>
            </w:r>
            <w:proofErr w:type="spellEnd"/>
            <w:r w:rsidRPr="0026420A">
              <w:t xml:space="preserve"> </w:t>
            </w:r>
            <w:proofErr w:type="spellStart"/>
            <w:r w:rsidRPr="0026420A">
              <w:t>related</w:t>
            </w:r>
            <w:proofErr w:type="spellEnd"/>
            <w:r w:rsidRPr="0026420A">
              <w:t xml:space="preserve"> </w:t>
            </w:r>
            <w:proofErr w:type="spellStart"/>
            <w:r w:rsidRPr="0026420A">
              <w:t>laws</w:t>
            </w:r>
            <w:proofErr w:type="spellEnd"/>
            <w:r w:rsidRPr="0026420A">
              <w:t xml:space="preserve"> </w:t>
            </w:r>
            <w:proofErr w:type="spellStart"/>
            <w:r w:rsidRPr="0026420A">
              <w:t>enter</w:t>
            </w:r>
            <w:proofErr w:type="spellEnd"/>
            <w:r w:rsidRPr="0026420A">
              <w:t xml:space="preserve"> </w:t>
            </w:r>
            <w:proofErr w:type="spellStart"/>
            <w:r w:rsidRPr="0026420A">
              <w:t>into</w:t>
            </w:r>
            <w:proofErr w:type="spellEnd"/>
            <w:r w:rsidRPr="0026420A">
              <w:t xml:space="preserve"> </w:t>
            </w:r>
            <w:proofErr w:type="spellStart"/>
            <w:r w:rsidRPr="0026420A">
              <w:t>force</w:t>
            </w:r>
            <w:proofErr w:type="spellEnd"/>
            <w:r w:rsidRPr="0026420A">
              <w:t xml:space="preserve"> in a </w:t>
            </w:r>
            <w:proofErr w:type="spellStart"/>
            <w:r w:rsidRPr="0026420A">
              <w:t>coordinated</w:t>
            </w:r>
            <w:proofErr w:type="spellEnd"/>
            <w:r w:rsidRPr="0026420A">
              <w:t xml:space="preserve"> </w:t>
            </w:r>
            <w:proofErr w:type="spellStart"/>
            <w:r w:rsidRPr="0026420A">
              <w:t>manner</w:t>
            </w:r>
            <w:proofErr w:type="spellEnd"/>
            <w:r w:rsidRPr="0026420A">
              <w:t xml:space="preserve"> </w:t>
            </w:r>
            <w:proofErr w:type="spellStart"/>
            <w:r w:rsidRPr="0026420A">
              <w:t>with</w:t>
            </w:r>
            <w:proofErr w:type="spellEnd"/>
            <w:r w:rsidRPr="0026420A">
              <w:t xml:space="preserve"> </w:t>
            </w:r>
            <w:proofErr w:type="spellStart"/>
            <w:r w:rsidRPr="0026420A">
              <w:t>the</w:t>
            </w:r>
            <w:proofErr w:type="spellEnd"/>
            <w:r w:rsidRPr="0026420A">
              <w:t xml:space="preserve"> </w:t>
            </w:r>
            <w:proofErr w:type="spellStart"/>
            <w:r w:rsidRPr="0026420A">
              <w:t>crypto-assets</w:t>
            </w:r>
            <w:proofErr w:type="spellEnd"/>
            <w:r w:rsidRPr="0026420A">
              <w:t xml:space="preserve"> </w:t>
            </w:r>
            <w:proofErr w:type="spellStart"/>
            <w:r w:rsidRPr="0026420A">
              <w:t>law</w:t>
            </w:r>
            <w:proofErr w:type="spellEnd"/>
            <w:r w:rsidRPr="0026420A">
              <w:t xml:space="preserve"> </w:t>
            </w:r>
            <w:proofErr w:type="spellStart"/>
            <w:r w:rsidRPr="0026420A">
              <w:t>and</w:t>
            </w:r>
            <w:proofErr w:type="spellEnd"/>
            <w:r w:rsidRPr="0026420A">
              <w:t xml:space="preserve"> do </w:t>
            </w:r>
            <w:proofErr w:type="spellStart"/>
            <w:r w:rsidRPr="0026420A">
              <w:t>not</w:t>
            </w:r>
            <w:proofErr w:type="spellEnd"/>
            <w:r w:rsidRPr="0026420A">
              <w:t xml:space="preserve"> </w:t>
            </w:r>
            <w:proofErr w:type="spellStart"/>
            <w:r w:rsidRPr="0026420A">
              <w:t>leave</w:t>
            </w:r>
            <w:proofErr w:type="spellEnd"/>
            <w:r w:rsidRPr="0026420A">
              <w:t xml:space="preserve"> </w:t>
            </w:r>
            <w:proofErr w:type="spellStart"/>
            <w:r w:rsidRPr="0026420A">
              <w:t>temporary</w:t>
            </w:r>
            <w:proofErr w:type="spellEnd"/>
            <w:r w:rsidRPr="0026420A">
              <w:t xml:space="preserve"> </w:t>
            </w:r>
            <w:proofErr w:type="spellStart"/>
            <w:r w:rsidRPr="0026420A">
              <w:t>regulatory</w:t>
            </w:r>
            <w:proofErr w:type="spellEnd"/>
            <w:r w:rsidRPr="0026420A">
              <w:t xml:space="preserve"> </w:t>
            </w:r>
            <w:proofErr w:type="spellStart"/>
            <w:r w:rsidRPr="0026420A">
              <w:t>gaps</w:t>
            </w:r>
            <w:proofErr w:type="spellEnd"/>
            <w:r w:rsidRPr="0026420A">
              <w:t>.</w:t>
            </w:r>
          </w:p>
          <w:p w14:paraId="0BD47DFF" w14:textId="77777777" w:rsidR="00AB436C" w:rsidRPr="0026420A" w:rsidRDefault="00AB436C" w:rsidP="00BC51DD">
            <w:pPr>
              <w:pBdr>
                <w:top w:val="none" w:sz="4" w:space="0" w:color="000000"/>
                <w:left w:val="none" w:sz="4" w:space="0" w:color="000000"/>
                <w:bottom w:val="none" w:sz="4" w:space="0" w:color="000000"/>
                <w:right w:val="none" w:sz="4" w:space="0" w:color="000000"/>
              </w:pBdr>
              <w:ind w:firstLine="0"/>
            </w:pPr>
          </w:p>
          <w:p w14:paraId="71F2471F" w14:textId="77777777" w:rsidR="00AB436C" w:rsidRPr="0026420A" w:rsidRDefault="00AB436C" w:rsidP="00BC51DD">
            <w:pPr>
              <w:pBdr>
                <w:top w:val="none" w:sz="4" w:space="0" w:color="000000"/>
                <w:left w:val="none" w:sz="4" w:space="0" w:color="000000"/>
                <w:bottom w:val="none" w:sz="4" w:space="0" w:color="000000"/>
                <w:right w:val="none" w:sz="4" w:space="0" w:color="000000"/>
              </w:pBdr>
              <w:ind w:firstLine="0"/>
              <w:rPr>
                <w:i/>
                <w:iCs/>
              </w:rPr>
            </w:pPr>
            <w:r w:rsidRPr="0026420A">
              <w:rPr>
                <w:i/>
                <w:iCs/>
              </w:rPr>
              <w:t>Traducere neoficială în limba română:</w:t>
            </w:r>
          </w:p>
          <w:p w14:paraId="769F65E5" w14:textId="77777777" w:rsidR="00AB436C" w:rsidRPr="0026420A" w:rsidRDefault="00AB436C" w:rsidP="00BC51DD">
            <w:pPr>
              <w:pBdr>
                <w:top w:val="none" w:sz="4" w:space="0" w:color="000000"/>
                <w:left w:val="none" w:sz="4" w:space="0" w:color="000000"/>
                <w:bottom w:val="none" w:sz="4" w:space="0" w:color="000000"/>
                <w:right w:val="none" w:sz="4" w:space="0" w:color="000000"/>
              </w:pBdr>
              <w:ind w:firstLine="0"/>
              <w:rPr>
                <w:i/>
                <w:iCs/>
              </w:rPr>
            </w:pPr>
            <w:r w:rsidRPr="0026420A">
              <w:rPr>
                <w:i/>
                <w:iCs/>
              </w:rPr>
              <w:t>Armonizarea terminologiei în întregul text de bază și în anexe, în special în ceea ce privește utilizarea termenilor „</w:t>
            </w:r>
            <w:proofErr w:type="spellStart"/>
            <w:r w:rsidRPr="0026420A">
              <w:rPr>
                <w:i/>
                <w:iCs/>
              </w:rPr>
              <w:t>asset-referenced</w:t>
            </w:r>
            <w:proofErr w:type="spellEnd"/>
            <w:r w:rsidRPr="0026420A">
              <w:rPr>
                <w:i/>
                <w:iCs/>
              </w:rPr>
              <w:t xml:space="preserve"> </w:t>
            </w:r>
            <w:proofErr w:type="spellStart"/>
            <w:r w:rsidRPr="0026420A">
              <w:rPr>
                <w:i/>
                <w:iCs/>
              </w:rPr>
              <w:t>token</w:t>
            </w:r>
            <w:proofErr w:type="spellEnd"/>
            <w:r w:rsidRPr="0026420A">
              <w:rPr>
                <w:i/>
                <w:iCs/>
              </w:rPr>
              <w:t>” versus „</w:t>
            </w:r>
            <w:proofErr w:type="spellStart"/>
            <w:r w:rsidRPr="0026420A">
              <w:rPr>
                <w:i/>
                <w:iCs/>
              </w:rPr>
              <w:t>asset-backed</w:t>
            </w:r>
            <w:proofErr w:type="spellEnd"/>
            <w:r w:rsidRPr="0026420A">
              <w:rPr>
                <w:i/>
                <w:iCs/>
              </w:rPr>
              <w:t xml:space="preserve"> </w:t>
            </w:r>
            <w:proofErr w:type="spellStart"/>
            <w:r w:rsidRPr="0026420A">
              <w:rPr>
                <w:i/>
                <w:iCs/>
              </w:rPr>
              <w:t>token</w:t>
            </w:r>
            <w:proofErr w:type="spellEnd"/>
            <w:r w:rsidRPr="0026420A">
              <w:rPr>
                <w:i/>
                <w:iCs/>
              </w:rPr>
              <w:t>”, grafia termenilor „</w:t>
            </w:r>
            <w:proofErr w:type="spellStart"/>
            <w:r w:rsidRPr="0026420A">
              <w:rPr>
                <w:i/>
                <w:iCs/>
              </w:rPr>
              <w:t>crypto-asset</w:t>
            </w:r>
            <w:proofErr w:type="spellEnd"/>
            <w:r w:rsidRPr="0026420A">
              <w:rPr>
                <w:i/>
                <w:iCs/>
              </w:rPr>
              <w:t>/</w:t>
            </w:r>
            <w:proofErr w:type="spellStart"/>
            <w:r w:rsidRPr="0026420A">
              <w:rPr>
                <w:i/>
                <w:iCs/>
              </w:rPr>
              <w:t>cryptoasset</w:t>
            </w:r>
            <w:proofErr w:type="spellEnd"/>
            <w:r w:rsidRPr="0026420A">
              <w:rPr>
                <w:i/>
                <w:iCs/>
              </w:rPr>
              <w:t>”, precum și denumirea oficială prescurtată a Comisiei Naționale. Totuși, acesta ar putea fi un caz în care diferențele au apărut ca urmare a traducerii.</w:t>
            </w:r>
          </w:p>
          <w:p w14:paraId="5C150949" w14:textId="77777777" w:rsidR="00AB436C" w:rsidRPr="0026420A" w:rsidRDefault="00AB436C" w:rsidP="00BC51DD">
            <w:pPr>
              <w:pBdr>
                <w:top w:val="none" w:sz="4" w:space="0" w:color="000000"/>
                <w:left w:val="none" w:sz="4" w:space="0" w:color="000000"/>
                <w:bottom w:val="none" w:sz="4" w:space="0" w:color="000000"/>
                <w:right w:val="none" w:sz="4" w:space="0" w:color="000000"/>
              </w:pBdr>
              <w:ind w:firstLine="0"/>
              <w:rPr>
                <w:i/>
                <w:iCs/>
              </w:rPr>
            </w:pPr>
            <w:r w:rsidRPr="0026420A">
              <w:rPr>
                <w:i/>
                <w:iCs/>
              </w:rPr>
              <w:t>Revizuirea tuturor trimiterilor specifice Uniunii Europene și precizarea clară dacă acestea se aplică imediat, prin analogie sau numai după aderarea la Uniunea Europeană, astfel încât legea să rămână pe deplin aplicabilă în etapa preaderare.</w:t>
            </w:r>
          </w:p>
          <w:p w14:paraId="05B01443" w14:textId="36E5CECE" w:rsidR="00AB436C" w:rsidRPr="000A671F" w:rsidRDefault="00AB436C" w:rsidP="000A671F">
            <w:pPr>
              <w:pBdr>
                <w:top w:val="none" w:sz="4" w:space="0" w:color="000000"/>
                <w:left w:val="none" w:sz="4" w:space="0" w:color="000000"/>
                <w:bottom w:val="none" w:sz="4" w:space="0" w:color="000000"/>
                <w:right w:val="none" w:sz="4" w:space="0" w:color="000000"/>
              </w:pBdr>
              <w:ind w:firstLine="0"/>
              <w:rPr>
                <w:i/>
                <w:iCs/>
              </w:rPr>
            </w:pPr>
            <w:r w:rsidRPr="0026420A">
              <w:rPr>
                <w:i/>
                <w:iCs/>
              </w:rPr>
              <w:lastRenderedPageBreak/>
              <w:t xml:space="preserve">Asigurarea faptului că toate modificările subsecvente aduse legilor conexe intră în vigoare într-un mod coordonat cu legea privind </w:t>
            </w:r>
            <w:proofErr w:type="spellStart"/>
            <w:r w:rsidRPr="0026420A">
              <w:rPr>
                <w:i/>
                <w:iCs/>
              </w:rPr>
              <w:t>criptoactivele</w:t>
            </w:r>
            <w:proofErr w:type="spellEnd"/>
            <w:r w:rsidRPr="0026420A">
              <w:rPr>
                <w:i/>
                <w:iCs/>
              </w:rPr>
              <w:t xml:space="preserve"> și nu creează lacune temporare de reglementare.</w:t>
            </w:r>
          </w:p>
        </w:tc>
        <w:tc>
          <w:tcPr>
            <w:tcW w:w="5281" w:type="dxa"/>
            <w:tcMar>
              <w:top w:w="0" w:type="dxa"/>
              <w:left w:w="108" w:type="dxa"/>
              <w:bottom w:w="0" w:type="dxa"/>
              <w:right w:w="108" w:type="dxa"/>
            </w:tcMar>
          </w:tcPr>
          <w:p w14:paraId="08C3ECFD" w14:textId="77777777" w:rsidR="00AB436C" w:rsidRPr="0026420A" w:rsidRDefault="00AB436C" w:rsidP="00BC51DD">
            <w:pPr>
              <w:pBdr>
                <w:top w:val="none" w:sz="4" w:space="0" w:color="000000"/>
                <w:left w:val="none" w:sz="4" w:space="0" w:color="000000"/>
                <w:bottom w:val="none" w:sz="4" w:space="0" w:color="000000"/>
                <w:right w:val="none" w:sz="4" w:space="0" w:color="000000"/>
              </w:pBdr>
              <w:ind w:firstLine="0"/>
              <w:rPr>
                <w:b/>
                <w:bCs/>
              </w:rPr>
            </w:pPr>
            <w:r w:rsidRPr="0026420A">
              <w:rPr>
                <w:b/>
                <w:bCs/>
              </w:rPr>
              <w:lastRenderedPageBreak/>
              <w:t>Se acceptă.</w:t>
            </w:r>
          </w:p>
          <w:p w14:paraId="5F676C1E" w14:textId="77777777" w:rsidR="00AB436C" w:rsidRPr="0026420A" w:rsidRDefault="00AB436C" w:rsidP="00BC51DD">
            <w:pPr>
              <w:pBdr>
                <w:top w:val="none" w:sz="4" w:space="0" w:color="000000"/>
                <w:left w:val="none" w:sz="4" w:space="0" w:color="000000"/>
                <w:bottom w:val="none" w:sz="4" w:space="0" w:color="000000"/>
                <w:right w:val="none" w:sz="4" w:space="0" w:color="000000"/>
              </w:pBdr>
              <w:ind w:firstLine="0"/>
            </w:pPr>
            <w:r w:rsidRPr="0026420A">
              <w:t>Toate neconcordanțele lexicale, de terminologie și de tehnică legislativă au fost înlăturate din proiectul de lege.</w:t>
            </w:r>
          </w:p>
          <w:p w14:paraId="1DAB9C4F" w14:textId="77777777" w:rsidR="00AB436C" w:rsidRPr="0026420A" w:rsidRDefault="00AB436C" w:rsidP="00BC51DD">
            <w:pPr>
              <w:pBdr>
                <w:top w:val="none" w:sz="4" w:space="0" w:color="000000"/>
                <w:left w:val="none" w:sz="4" w:space="0" w:color="000000"/>
                <w:bottom w:val="none" w:sz="4" w:space="0" w:color="000000"/>
                <w:right w:val="none" w:sz="4" w:space="0" w:color="000000"/>
              </w:pBdr>
              <w:ind w:firstLine="0"/>
            </w:pPr>
            <w:r w:rsidRPr="0026420A">
              <w:t>Trimiterile la mecanismele, autoritățile și obligațiile specifice Uniunii Europene au fost corelate cu etapa preaderare, iar la art. 104 alin. (2) se precizează că prevederile art. 85 alin. (5)–(9), în partea ce vizează comunicarea punctului unic de contact și obligațiile de notificare/raportare către ESMA și ABE, se vor pune în aplicare de la intrarea în vigoare a Tratatului de aderare a Republicii Moldova la Uniunea Europeană. Modificările conexe urmează să fie coordonate cu intrarea în vigoare a legii pentru evitarea lacunelor temporare de reglementare.</w:t>
            </w:r>
          </w:p>
          <w:p w14:paraId="4F05F3BA" w14:textId="42C589EC" w:rsidR="00AB436C" w:rsidRPr="0026420A" w:rsidRDefault="00AB436C" w:rsidP="00BC51DD">
            <w:pPr>
              <w:ind w:firstLine="0"/>
              <w:rPr>
                <w:b/>
                <w:bCs/>
              </w:rPr>
            </w:pPr>
          </w:p>
        </w:tc>
      </w:tr>
      <w:tr w:rsidR="00AB436C" w:rsidRPr="0026420A" w14:paraId="067AA745" w14:textId="77777777" w:rsidTr="001F4857">
        <w:trPr>
          <w:trHeight w:val="2461"/>
        </w:trPr>
        <w:tc>
          <w:tcPr>
            <w:tcW w:w="2206" w:type="dxa"/>
            <w:vMerge/>
            <w:tcMar>
              <w:top w:w="0" w:type="dxa"/>
              <w:left w:w="108" w:type="dxa"/>
              <w:bottom w:w="0" w:type="dxa"/>
              <w:right w:w="108" w:type="dxa"/>
            </w:tcMar>
          </w:tcPr>
          <w:p w14:paraId="1BDC418B" w14:textId="2B8B8FFC" w:rsidR="00AB436C" w:rsidRPr="0026420A" w:rsidRDefault="00AB436C" w:rsidP="005727FB">
            <w:pPr>
              <w:ind w:firstLine="0"/>
              <w:jc w:val="left"/>
              <w:rPr>
                <w:i/>
                <w:iCs/>
              </w:rPr>
            </w:pPr>
          </w:p>
        </w:tc>
        <w:tc>
          <w:tcPr>
            <w:tcW w:w="579" w:type="dxa"/>
            <w:tcMar>
              <w:top w:w="0" w:type="dxa"/>
              <w:left w:w="108" w:type="dxa"/>
              <w:bottom w:w="0" w:type="dxa"/>
              <w:right w:w="108" w:type="dxa"/>
            </w:tcMar>
          </w:tcPr>
          <w:p w14:paraId="6BCB34DB" w14:textId="77777777" w:rsidR="00AB436C" w:rsidRPr="0026420A" w:rsidRDefault="00AB436C" w:rsidP="00BC51DD">
            <w:pPr>
              <w:pStyle w:val="Listparagraf"/>
              <w:numPr>
                <w:ilvl w:val="0"/>
                <w:numId w:val="1"/>
              </w:numPr>
              <w:ind w:left="0" w:right="5" w:firstLine="0"/>
              <w:contextualSpacing w:val="0"/>
            </w:pPr>
          </w:p>
        </w:tc>
        <w:tc>
          <w:tcPr>
            <w:tcW w:w="5821" w:type="dxa"/>
            <w:tcMar>
              <w:top w:w="0" w:type="dxa"/>
              <w:left w:w="108" w:type="dxa"/>
              <w:bottom w:w="0" w:type="dxa"/>
              <w:right w:w="108" w:type="dxa"/>
            </w:tcMar>
          </w:tcPr>
          <w:p w14:paraId="5B983B45" w14:textId="77777777" w:rsidR="00AB436C" w:rsidRPr="0026420A" w:rsidRDefault="00AB436C" w:rsidP="00BC51DD">
            <w:pPr>
              <w:pBdr>
                <w:top w:val="none" w:sz="4" w:space="0" w:color="000000"/>
                <w:left w:val="none" w:sz="4" w:space="0" w:color="000000"/>
                <w:bottom w:val="none" w:sz="4" w:space="0" w:color="000000"/>
                <w:right w:val="none" w:sz="4" w:space="0" w:color="000000"/>
              </w:pBdr>
              <w:ind w:firstLine="0"/>
            </w:pPr>
            <w:proofErr w:type="spellStart"/>
            <w:r w:rsidRPr="0026420A">
              <w:t>Retain</w:t>
            </w:r>
            <w:proofErr w:type="spellEnd"/>
            <w:r w:rsidRPr="0026420A">
              <w:t xml:space="preserve"> </w:t>
            </w:r>
            <w:proofErr w:type="spellStart"/>
            <w:r w:rsidRPr="0026420A">
              <w:t>the</w:t>
            </w:r>
            <w:proofErr w:type="spellEnd"/>
            <w:r w:rsidRPr="0026420A">
              <w:t xml:space="preserve"> </w:t>
            </w:r>
            <w:proofErr w:type="spellStart"/>
            <w:r w:rsidRPr="0026420A">
              <w:t>current</w:t>
            </w:r>
            <w:proofErr w:type="spellEnd"/>
            <w:r w:rsidRPr="0026420A">
              <w:t xml:space="preserve"> </w:t>
            </w:r>
            <w:proofErr w:type="spellStart"/>
            <w:r w:rsidRPr="0026420A">
              <w:t>high-level</w:t>
            </w:r>
            <w:proofErr w:type="spellEnd"/>
            <w:r w:rsidRPr="0026420A">
              <w:t xml:space="preserve"> </w:t>
            </w:r>
            <w:proofErr w:type="spellStart"/>
            <w:r w:rsidRPr="0026420A">
              <w:t>allocation</w:t>
            </w:r>
            <w:proofErr w:type="spellEnd"/>
            <w:r w:rsidRPr="0026420A">
              <w:t xml:space="preserve"> in </w:t>
            </w:r>
            <w:proofErr w:type="spellStart"/>
            <w:r w:rsidRPr="0026420A">
              <w:t>Article</w:t>
            </w:r>
            <w:proofErr w:type="spellEnd"/>
            <w:r w:rsidRPr="0026420A">
              <w:t xml:space="preserve"> 85, but complement it </w:t>
            </w:r>
            <w:proofErr w:type="spellStart"/>
            <w:r w:rsidRPr="0026420A">
              <w:t>with</w:t>
            </w:r>
            <w:proofErr w:type="spellEnd"/>
            <w:r w:rsidRPr="0026420A">
              <w:t xml:space="preserve"> a </w:t>
            </w:r>
            <w:proofErr w:type="spellStart"/>
            <w:r w:rsidRPr="0026420A">
              <w:t>detailed</w:t>
            </w:r>
            <w:proofErr w:type="spellEnd"/>
            <w:r w:rsidRPr="0026420A">
              <w:t xml:space="preserve"> </w:t>
            </w:r>
            <w:proofErr w:type="spellStart"/>
            <w:r w:rsidRPr="0026420A">
              <w:t>matrix</w:t>
            </w:r>
            <w:proofErr w:type="spellEnd"/>
            <w:r w:rsidRPr="0026420A">
              <w:t xml:space="preserve"> </w:t>
            </w:r>
            <w:proofErr w:type="spellStart"/>
            <w:r w:rsidRPr="0026420A">
              <w:t>identifying</w:t>
            </w:r>
            <w:proofErr w:type="spellEnd"/>
            <w:r w:rsidRPr="0026420A">
              <w:t xml:space="preserve"> </w:t>
            </w:r>
            <w:proofErr w:type="spellStart"/>
            <w:r w:rsidRPr="0026420A">
              <w:t>the</w:t>
            </w:r>
            <w:proofErr w:type="spellEnd"/>
            <w:r w:rsidRPr="0026420A">
              <w:t xml:space="preserve"> </w:t>
            </w:r>
            <w:proofErr w:type="spellStart"/>
            <w:r w:rsidRPr="0026420A">
              <w:t>lead</w:t>
            </w:r>
            <w:proofErr w:type="spellEnd"/>
            <w:r w:rsidRPr="0026420A">
              <w:t xml:space="preserve"> </w:t>
            </w:r>
            <w:proofErr w:type="spellStart"/>
            <w:r w:rsidRPr="0026420A">
              <w:t>authority</w:t>
            </w:r>
            <w:proofErr w:type="spellEnd"/>
            <w:r w:rsidRPr="0026420A">
              <w:t xml:space="preserve"> for </w:t>
            </w:r>
            <w:proofErr w:type="spellStart"/>
            <w:r w:rsidRPr="0026420A">
              <w:t>each</w:t>
            </w:r>
            <w:proofErr w:type="spellEnd"/>
            <w:r w:rsidRPr="0026420A">
              <w:t xml:space="preserve"> relevant </w:t>
            </w:r>
            <w:proofErr w:type="spellStart"/>
            <w:r w:rsidRPr="0026420A">
              <w:t>combination</w:t>
            </w:r>
            <w:proofErr w:type="spellEnd"/>
            <w:r w:rsidRPr="0026420A">
              <w:t xml:space="preserve"> of </w:t>
            </w:r>
            <w:proofErr w:type="spellStart"/>
            <w:r w:rsidRPr="0026420A">
              <w:t>entity</w:t>
            </w:r>
            <w:proofErr w:type="spellEnd"/>
            <w:r w:rsidRPr="0026420A">
              <w:t xml:space="preserve"> </w:t>
            </w:r>
            <w:proofErr w:type="spellStart"/>
            <w:r w:rsidRPr="0026420A">
              <w:t>type</w:t>
            </w:r>
            <w:proofErr w:type="spellEnd"/>
            <w:r w:rsidRPr="0026420A">
              <w:t xml:space="preserve"> </w:t>
            </w:r>
            <w:proofErr w:type="spellStart"/>
            <w:r w:rsidRPr="0026420A">
              <w:t>and</w:t>
            </w:r>
            <w:proofErr w:type="spellEnd"/>
            <w:r w:rsidRPr="0026420A">
              <w:t xml:space="preserve"> </w:t>
            </w:r>
            <w:proofErr w:type="spellStart"/>
            <w:r w:rsidRPr="0026420A">
              <w:t>activity</w:t>
            </w:r>
            <w:proofErr w:type="spellEnd"/>
            <w:r w:rsidRPr="0026420A">
              <w:t>.</w:t>
            </w:r>
          </w:p>
          <w:p w14:paraId="7A26A539" w14:textId="77777777" w:rsidR="00AB436C" w:rsidRPr="0026420A" w:rsidRDefault="00AB436C" w:rsidP="00BC51DD">
            <w:pPr>
              <w:pBdr>
                <w:top w:val="none" w:sz="4" w:space="0" w:color="000000"/>
                <w:left w:val="none" w:sz="4" w:space="0" w:color="000000"/>
                <w:bottom w:val="none" w:sz="4" w:space="0" w:color="000000"/>
                <w:right w:val="none" w:sz="4" w:space="0" w:color="000000"/>
              </w:pBdr>
              <w:ind w:firstLine="0"/>
            </w:pPr>
            <w:r w:rsidRPr="0026420A">
              <w:t xml:space="preserve">Introduce </w:t>
            </w:r>
            <w:proofErr w:type="spellStart"/>
            <w:r w:rsidRPr="0026420A">
              <w:t>mandatory</w:t>
            </w:r>
            <w:proofErr w:type="spellEnd"/>
            <w:r w:rsidRPr="0026420A">
              <w:t xml:space="preserve"> </w:t>
            </w:r>
            <w:proofErr w:type="spellStart"/>
            <w:r w:rsidRPr="0026420A">
              <w:t>consultation</w:t>
            </w:r>
            <w:proofErr w:type="spellEnd"/>
            <w:r w:rsidRPr="0026420A">
              <w:t xml:space="preserve"> </w:t>
            </w:r>
            <w:proofErr w:type="spellStart"/>
            <w:r w:rsidRPr="0026420A">
              <w:t>procedures</w:t>
            </w:r>
            <w:proofErr w:type="spellEnd"/>
            <w:r w:rsidRPr="0026420A">
              <w:t xml:space="preserve">, </w:t>
            </w:r>
            <w:proofErr w:type="spellStart"/>
            <w:r w:rsidRPr="0026420A">
              <w:t>with</w:t>
            </w:r>
            <w:proofErr w:type="spellEnd"/>
            <w:r w:rsidRPr="0026420A">
              <w:t xml:space="preserve"> </w:t>
            </w:r>
            <w:proofErr w:type="spellStart"/>
            <w:r w:rsidRPr="0026420A">
              <w:t>deadlines</w:t>
            </w:r>
            <w:proofErr w:type="spellEnd"/>
            <w:r w:rsidRPr="0026420A">
              <w:t xml:space="preserve">, for </w:t>
            </w:r>
            <w:proofErr w:type="spellStart"/>
            <w:r w:rsidRPr="0026420A">
              <w:t>applications</w:t>
            </w:r>
            <w:proofErr w:type="spellEnd"/>
            <w:r w:rsidRPr="0026420A">
              <w:t xml:space="preserve"> </w:t>
            </w:r>
            <w:proofErr w:type="spellStart"/>
            <w:r w:rsidRPr="0026420A">
              <w:t>and</w:t>
            </w:r>
            <w:proofErr w:type="spellEnd"/>
            <w:r w:rsidRPr="0026420A">
              <w:t xml:space="preserve"> </w:t>
            </w:r>
            <w:proofErr w:type="spellStart"/>
            <w:r w:rsidRPr="0026420A">
              <w:t>notifications</w:t>
            </w:r>
            <w:proofErr w:type="spellEnd"/>
            <w:r w:rsidRPr="0026420A">
              <w:t xml:space="preserve"> </w:t>
            </w:r>
            <w:proofErr w:type="spellStart"/>
            <w:r w:rsidRPr="0026420A">
              <w:t>involving</w:t>
            </w:r>
            <w:proofErr w:type="spellEnd"/>
            <w:r w:rsidRPr="0026420A">
              <w:t xml:space="preserve"> credit </w:t>
            </w:r>
            <w:proofErr w:type="spellStart"/>
            <w:r w:rsidRPr="0026420A">
              <w:t>institutions</w:t>
            </w:r>
            <w:proofErr w:type="spellEnd"/>
            <w:r w:rsidRPr="0026420A">
              <w:t xml:space="preserve">, electronic </w:t>
            </w:r>
            <w:proofErr w:type="spellStart"/>
            <w:r w:rsidRPr="0026420A">
              <w:t>money</w:t>
            </w:r>
            <w:proofErr w:type="spellEnd"/>
            <w:r w:rsidRPr="0026420A">
              <w:t xml:space="preserve"> </w:t>
            </w:r>
            <w:proofErr w:type="spellStart"/>
            <w:r w:rsidRPr="0026420A">
              <w:t>institutions</w:t>
            </w:r>
            <w:proofErr w:type="spellEnd"/>
            <w:r w:rsidRPr="0026420A">
              <w:t xml:space="preserve">, </w:t>
            </w:r>
            <w:proofErr w:type="spellStart"/>
            <w:r w:rsidRPr="0026420A">
              <w:t>payment</w:t>
            </w:r>
            <w:proofErr w:type="spellEnd"/>
            <w:r w:rsidRPr="0026420A">
              <w:t xml:space="preserve"> </w:t>
            </w:r>
            <w:proofErr w:type="spellStart"/>
            <w:r w:rsidRPr="0026420A">
              <w:t>institutions</w:t>
            </w:r>
            <w:proofErr w:type="spellEnd"/>
            <w:r w:rsidRPr="0026420A">
              <w:t xml:space="preserve">, </w:t>
            </w:r>
            <w:proofErr w:type="spellStart"/>
            <w:r w:rsidRPr="0026420A">
              <w:t>investment</w:t>
            </w:r>
            <w:proofErr w:type="spellEnd"/>
            <w:r w:rsidRPr="0026420A">
              <w:t xml:space="preserve"> </w:t>
            </w:r>
            <w:proofErr w:type="spellStart"/>
            <w:r w:rsidRPr="0026420A">
              <w:t>firms</w:t>
            </w:r>
            <w:proofErr w:type="spellEnd"/>
            <w:r w:rsidRPr="0026420A">
              <w:t xml:space="preserve">, market </w:t>
            </w:r>
            <w:proofErr w:type="spellStart"/>
            <w:r w:rsidRPr="0026420A">
              <w:t>operators</w:t>
            </w:r>
            <w:proofErr w:type="spellEnd"/>
            <w:r w:rsidRPr="0026420A">
              <w:t xml:space="preserve">, central </w:t>
            </w:r>
            <w:proofErr w:type="spellStart"/>
            <w:r w:rsidRPr="0026420A">
              <w:t>securities</w:t>
            </w:r>
            <w:proofErr w:type="spellEnd"/>
            <w:r w:rsidRPr="0026420A">
              <w:t xml:space="preserve"> </w:t>
            </w:r>
            <w:proofErr w:type="spellStart"/>
            <w:r w:rsidRPr="0026420A">
              <w:t>depositories</w:t>
            </w:r>
            <w:proofErr w:type="spellEnd"/>
            <w:r w:rsidRPr="0026420A">
              <w:t xml:space="preserve">, UCITS </w:t>
            </w:r>
            <w:proofErr w:type="spellStart"/>
            <w:r w:rsidRPr="0026420A">
              <w:t>managers</w:t>
            </w:r>
            <w:proofErr w:type="spellEnd"/>
            <w:r w:rsidRPr="0026420A">
              <w:t xml:space="preserve"> </w:t>
            </w:r>
            <w:proofErr w:type="spellStart"/>
            <w:r w:rsidRPr="0026420A">
              <w:t>and</w:t>
            </w:r>
            <w:proofErr w:type="spellEnd"/>
            <w:r w:rsidRPr="0026420A">
              <w:t xml:space="preserve"> </w:t>
            </w:r>
            <w:proofErr w:type="spellStart"/>
            <w:r w:rsidRPr="0026420A">
              <w:t>AIFMs</w:t>
            </w:r>
            <w:proofErr w:type="spellEnd"/>
            <w:r w:rsidRPr="0026420A">
              <w:t>.</w:t>
            </w:r>
          </w:p>
          <w:p w14:paraId="379D6FC6" w14:textId="77777777" w:rsidR="00AB436C" w:rsidRPr="0026420A" w:rsidRDefault="00AB436C" w:rsidP="00BC51DD">
            <w:pPr>
              <w:pBdr>
                <w:top w:val="none" w:sz="4" w:space="0" w:color="000000"/>
                <w:left w:val="none" w:sz="4" w:space="0" w:color="000000"/>
                <w:bottom w:val="none" w:sz="4" w:space="0" w:color="000000"/>
                <w:right w:val="none" w:sz="4" w:space="0" w:color="000000"/>
              </w:pBdr>
              <w:ind w:firstLine="0"/>
            </w:pPr>
            <w:r w:rsidRPr="0026420A">
              <w:t xml:space="preserve">Adopt a </w:t>
            </w:r>
            <w:proofErr w:type="spellStart"/>
            <w:r w:rsidRPr="0026420A">
              <w:t>binding</w:t>
            </w:r>
            <w:proofErr w:type="spellEnd"/>
            <w:r w:rsidRPr="0026420A">
              <w:t xml:space="preserve"> </w:t>
            </w:r>
            <w:proofErr w:type="spellStart"/>
            <w:r w:rsidRPr="0026420A">
              <w:t>cooperation</w:t>
            </w:r>
            <w:proofErr w:type="spellEnd"/>
            <w:r w:rsidRPr="0026420A">
              <w:t xml:space="preserve"> </w:t>
            </w:r>
            <w:proofErr w:type="spellStart"/>
            <w:r w:rsidRPr="0026420A">
              <w:t>arrangement</w:t>
            </w:r>
            <w:proofErr w:type="spellEnd"/>
            <w:r w:rsidRPr="0026420A">
              <w:t xml:space="preserve"> </w:t>
            </w:r>
            <w:proofErr w:type="spellStart"/>
            <w:r w:rsidRPr="0026420A">
              <w:t>between</w:t>
            </w:r>
            <w:proofErr w:type="spellEnd"/>
            <w:r w:rsidRPr="0026420A">
              <w:t xml:space="preserve"> </w:t>
            </w:r>
            <w:proofErr w:type="spellStart"/>
            <w:r w:rsidRPr="0026420A">
              <w:t>the</w:t>
            </w:r>
            <w:proofErr w:type="spellEnd"/>
            <w:r w:rsidRPr="0026420A">
              <w:t xml:space="preserve"> National </w:t>
            </w:r>
            <w:proofErr w:type="spellStart"/>
            <w:r w:rsidRPr="0026420A">
              <w:t>Commission</w:t>
            </w:r>
            <w:proofErr w:type="spellEnd"/>
            <w:r w:rsidRPr="0026420A">
              <w:t xml:space="preserve"> </w:t>
            </w:r>
            <w:proofErr w:type="spellStart"/>
            <w:r w:rsidRPr="0026420A">
              <w:t>and</w:t>
            </w:r>
            <w:proofErr w:type="spellEnd"/>
            <w:r w:rsidRPr="0026420A">
              <w:t xml:space="preserve"> </w:t>
            </w:r>
            <w:proofErr w:type="spellStart"/>
            <w:r w:rsidRPr="0026420A">
              <w:t>the</w:t>
            </w:r>
            <w:proofErr w:type="spellEnd"/>
            <w:r w:rsidRPr="0026420A">
              <w:t xml:space="preserve"> National Bank </w:t>
            </w:r>
            <w:proofErr w:type="spellStart"/>
            <w:r w:rsidRPr="0026420A">
              <w:t>covering</w:t>
            </w:r>
            <w:proofErr w:type="spellEnd"/>
            <w:r w:rsidRPr="0026420A">
              <w:t xml:space="preserve"> case </w:t>
            </w:r>
            <w:proofErr w:type="spellStart"/>
            <w:r w:rsidRPr="0026420A">
              <w:t>allocation</w:t>
            </w:r>
            <w:proofErr w:type="spellEnd"/>
            <w:r w:rsidRPr="0026420A">
              <w:t xml:space="preserve">, </w:t>
            </w:r>
            <w:proofErr w:type="spellStart"/>
            <w:r w:rsidRPr="0026420A">
              <w:t>information</w:t>
            </w:r>
            <w:proofErr w:type="spellEnd"/>
            <w:r w:rsidRPr="0026420A">
              <w:t xml:space="preserve"> </w:t>
            </w:r>
            <w:proofErr w:type="spellStart"/>
            <w:r w:rsidRPr="0026420A">
              <w:t>sharing</w:t>
            </w:r>
            <w:proofErr w:type="spellEnd"/>
            <w:r w:rsidRPr="0026420A">
              <w:t xml:space="preserve">, </w:t>
            </w:r>
            <w:proofErr w:type="spellStart"/>
            <w:r w:rsidRPr="0026420A">
              <w:t>joint</w:t>
            </w:r>
            <w:proofErr w:type="spellEnd"/>
            <w:r w:rsidRPr="0026420A">
              <w:t xml:space="preserve"> </w:t>
            </w:r>
            <w:proofErr w:type="spellStart"/>
            <w:r w:rsidRPr="0026420A">
              <w:t>inspections</w:t>
            </w:r>
            <w:proofErr w:type="spellEnd"/>
            <w:r w:rsidRPr="0026420A">
              <w:t xml:space="preserve">, </w:t>
            </w:r>
            <w:proofErr w:type="spellStart"/>
            <w:r w:rsidRPr="0026420A">
              <w:t>joint</w:t>
            </w:r>
            <w:proofErr w:type="spellEnd"/>
            <w:r w:rsidRPr="0026420A">
              <w:t xml:space="preserve"> </w:t>
            </w:r>
            <w:proofErr w:type="spellStart"/>
            <w:r w:rsidRPr="0026420A">
              <w:t>crisis</w:t>
            </w:r>
            <w:proofErr w:type="spellEnd"/>
            <w:r w:rsidRPr="0026420A">
              <w:t xml:space="preserve"> </w:t>
            </w:r>
            <w:proofErr w:type="spellStart"/>
            <w:r w:rsidRPr="0026420A">
              <w:t>handling</w:t>
            </w:r>
            <w:proofErr w:type="spellEnd"/>
            <w:r w:rsidRPr="0026420A">
              <w:t xml:space="preserve">, </w:t>
            </w:r>
            <w:proofErr w:type="spellStart"/>
            <w:r w:rsidRPr="0026420A">
              <w:t>complaints</w:t>
            </w:r>
            <w:proofErr w:type="spellEnd"/>
            <w:r w:rsidRPr="0026420A">
              <w:t xml:space="preserve"> </w:t>
            </w:r>
            <w:proofErr w:type="spellStart"/>
            <w:r w:rsidRPr="0026420A">
              <w:t>routing</w:t>
            </w:r>
            <w:proofErr w:type="spellEnd"/>
            <w:r w:rsidRPr="0026420A">
              <w:t xml:space="preserve"> </w:t>
            </w:r>
            <w:proofErr w:type="spellStart"/>
            <w:r w:rsidRPr="0026420A">
              <w:t>and</w:t>
            </w:r>
            <w:proofErr w:type="spellEnd"/>
            <w:r w:rsidRPr="0026420A">
              <w:t xml:space="preserve"> </w:t>
            </w:r>
            <w:proofErr w:type="spellStart"/>
            <w:r w:rsidRPr="0026420A">
              <w:t>publication</w:t>
            </w:r>
            <w:proofErr w:type="spellEnd"/>
            <w:r w:rsidRPr="0026420A">
              <w:t xml:space="preserve"> of </w:t>
            </w:r>
            <w:proofErr w:type="spellStart"/>
            <w:r w:rsidRPr="0026420A">
              <w:t>coordinated</w:t>
            </w:r>
            <w:proofErr w:type="spellEnd"/>
            <w:r w:rsidRPr="0026420A">
              <w:t xml:space="preserve"> </w:t>
            </w:r>
            <w:proofErr w:type="spellStart"/>
            <w:r w:rsidRPr="0026420A">
              <w:t>decisions</w:t>
            </w:r>
            <w:proofErr w:type="spellEnd"/>
            <w:r w:rsidRPr="0026420A">
              <w:t>.</w:t>
            </w:r>
          </w:p>
          <w:p w14:paraId="2DD5C058" w14:textId="77777777" w:rsidR="00AB436C" w:rsidRPr="0026420A" w:rsidRDefault="00AB436C" w:rsidP="00BC51DD">
            <w:pPr>
              <w:pBdr>
                <w:top w:val="none" w:sz="4" w:space="0" w:color="000000"/>
                <w:left w:val="none" w:sz="4" w:space="0" w:color="000000"/>
                <w:bottom w:val="none" w:sz="4" w:space="0" w:color="000000"/>
                <w:right w:val="none" w:sz="4" w:space="0" w:color="000000"/>
              </w:pBdr>
              <w:ind w:firstLine="0"/>
            </w:pPr>
            <w:r w:rsidRPr="0026420A">
              <w:t xml:space="preserve">For </w:t>
            </w:r>
            <w:proofErr w:type="spellStart"/>
            <w:r w:rsidRPr="0026420A">
              <w:t>hybrid</w:t>
            </w:r>
            <w:proofErr w:type="spellEnd"/>
            <w:r w:rsidRPr="0026420A">
              <w:t xml:space="preserve"> </w:t>
            </w:r>
            <w:proofErr w:type="spellStart"/>
            <w:r w:rsidRPr="0026420A">
              <w:t>entities</w:t>
            </w:r>
            <w:proofErr w:type="spellEnd"/>
            <w:r w:rsidRPr="0026420A">
              <w:t xml:space="preserve">, </w:t>
            </w:r>
            <w:proofErr w:type="spellStart"/>
            <w:r w:rsidRPr="0026420A">
              <w:t>distinguish</w:t>
            </w:r>
            <w:proofErr w:type="spellEnd"/>
            <w:r w:rsidRPr="0026420A">
              <w:t xml:space="preserve"> </w:t>
            </w:r>
            <w:proofErr w:type="spellStart"/>
            <w:r w:rsidRPr="0026420A">
              <w:t>clearly</w:t>
            </w:r>
            <w:proofErr w:type="spellEnd"/>
            <w:r w:rsidRPr="0026420A">
              <w:t xml:space="preserve"> </w:t>
            </w:r>
            <w:proofErr w:type="spellStart"/>
            <w:r w:rsidRPr="0026420A">
              <w:t>between</w:t>
            </w:r>
            <w:proofErr w:type="spellEnd"/>
            <w:r w:rsidRPr="0026420A">
              <w:t xml:space="preserve"> </w:t>
            </w:r>
            <w:proofErr w:type="spellStart"/>
            <w:r w:rsidRPr="0026420A">
              <w:t>issuer</w:t>
            </w:r>
            <w:proofErr w:type="spellEnd"/>
            <w:r w:rsidRPr="0026420A">
              <w:t xml:space="preserve"> </w:t>
            </w:r>
            <w:proofErr w:type="spellStart"/>
            <w:r w:rsidRPr="0026420A">
              <w:t>supervision</w:t>
            </w:r>
            <w:proofErr w:type="spellEnd"/>
            <w:r w:rsidRPr="0026420A">
              <w:t xml:space="preserve">, </w:t>
            </w:r>
            <w:proofErr w:type="spellStart"/>
            <w:r w:rsidRPr="0026420A">
              <w:t>prudential</w:t>
            </w:r>
            <w:proofErr w:type="spellEnd"/>
            <w:r w:rsidRPr="0026420A">
              <w:t xml:space="preserve"> </w:t>
            </w:r>
            <w:proofErr w:type="spellStart"/>
            <w:r w:rsidRPr="0026420A">
              <w:t>supervision</w:t>
            </w:r>
            <w:proofErr w:type="spellEnd"/>
            <w:r w:rsidRPr="0026420A">
              <w:t xml:space="preserve"> </w:t>
            </w:r>
            <w:proofErr w:type="spellStart"/>
            <w:r w:rsidRPr="0026420A">
              <w:t>and</w:t>
            </w:r>
            <w:proofErr w:type="spellEnd"/>
            <w:r w:rsidRPr="0026420A">
              <w:t xml:space="preserve"> </w:t>
            </w:r>
            <w:proofErr w:type="spellStart"/>
            <w:r w:rsidRPr="0026420A">
              <w:t>crypto</w:t>
            </w:r>
            <w:proofErr w:type="spellEnd"/>
            <w:r w:rsidRPr="0026420A">
              <w:t xml:space="preserve">-service conduct </w:t>
            </w:r>
            <w:proofErr w:type="spellStart"/>
            <w:r w:rsidRPr="0026420A">
              <w:t>supervision</w:t>
            </w:r>
            <w:proofErr w:type="spellEnd"/>
            <w:r w:rsidRPr="0026420A">
              <w:t xml:space="preserve">; </w:t>
            </w:r>
            <w:proofErr w:type="spellStart"/>
            <w:r w:rsidRPr="0026420A">
              <w:t>the</w:t>
            </w:r>
            <w:proofErr w:type="spellEnd"/>
            <w:r w:rsidRPr="0026420A">
              <w:t xml:space="preserve"> </w:t>
            </w:r>
            <w:proofErr w:type="spellStart"/>
            <w:r w:rsidRPr="0026420A">
              <w:t>lead</w:t>
            </w:r>
            <w:proofErr w:type="spellEnd"/>
            <w:r w:rsidRPr="0026420A">
              <w:t xml:space="preserve"> </w:t>
            </w:r>
            <w:proofErr w:type="spellStart"/>
            <w:r w:rsidRPr="0026420A">
              <w:t>authority</w:t>
            </w:r>
            <w:proofErr w:type="spellEnd"/>
            <w:r w:rsidRPr="0026420A">
              <w:t xml:space="preserve"> </w:t>
            </w:r>
            <w:proofErr w:type="spellStart"/>
            <w:r w:rsidRPr="0026420A">
              <w:t>should</w:t>
            </w:r>
            <w:proofErr w:type="spellEnd"/>
            <w:r w:rsidRPr="0026420A">
              <w:t xml:space="preserve"> </w:t>
            </w:r>
            <w:proofErr w:type="spellStart"/>
            <w:r w:rsidRPr="0026420A">
              <w:t>be</w:t>
            </w:r>
            <w:proofErr w:type="spellEnd"/>
            <w:r w:rsidRPr="0026420A">
              <w:t xml:space="preserve"> </w:t>
            </w:r>
            <w:proofErr w:type="spellStart"/>
            <w:r w:rsidRPr="0026420A">
              <w:t>determined</w:t>
            </w:r>
            <w:proofErr w:type="spellEnd"/>
            <w:r w:rsidRPr="0026420A">
              <w:t xml:space="preserve"> </w:t>
            </w:r>
            <w:proofErr w:type="spellStart"/>
            <w:r w:rsidRPr="0026420A">
              <w:t>by</w:t>
            </w:r>
            <w:proofErr w:type="spellEnd"/>
            <w:r w:rsidRPr="0026420A">
              <w:t xml:space="preserve"> </w:t>
            </w:r>
            <w:proofErr w:type="spellStart"/>
            <w:r w:rsidRPr="0026420A">
              <w:t>the</w:t>
            </w:r>
            <w:proofErr w:type="spellEnd"/>
            <w:r w:rsidRPr="0026420A">
              <w:t xml:space="preserve"> legal status of </w:t>
            </w:r>
            <w:proofErr w:type="spellStart"/>
            <w:r w:rsidRPr="0026420A">
              <w:t>the</w:t>
            </w:r>
            <w:proofErr w:type="spellEnd"/>
            <w:r w:rsidRPr="0026420A">
              <w:t xml:space="preserve"> </w:t>
            </w:r>
            <w:proofErr w:type="spellStart"/>
            <w:r w:rsidRPr="0026420A">
              <w:t>entity</w:t>
            </w:r>
            <w:proofErr w:type="spellEnd"/>
            <w:r w:rsidRPr="0026420A">
              <w:t xml:space="preserve"> </w:t>
            </w:r>
            <w:proofErr w:type="spellStart"/>
            <w:r w:rsidRPr="0026420A">
              <w:t>and</w:t>
            </w:r>
            <w:proofErr w:type="spellEnd"/>
            <w:r w:rsidRPr="0026420A">
              <w:t xml:space="preserve"> </w:t>
            </w:r>
            <w:proofErr w:type="spellStart"/>
            <w:r w:rsidRPr="0026420A">
              <w:t>the</w:t>
            </w:r>
            <w:proofErr w:type="spellEnd"/>
            <w:r w:rsidRPr="0026420A">
              <w:t xml:space="preserve"> dominant </w:t>
            </w:r>
            <w:proofErr w:type="spellStart"/>
            <w:r w:rsidRPr="0026420A">
              <w:t>risk</w:t>
            </w:r>
            <w:proofErr w:type="spellEnd"/>
            <w:r w:rsidRPr="0026420A">
              <w:t xml:space="preserve"> driver.</w:t>
            </w:r>
          </w:p>
          <w:p w14:paraId="7C40B965" w14:textId="77777777" w:rsidR="00AB436C" w:rsidRPr="0026420A" w:rsidRDefault="00AB436C" w:rsidP="00BC51DD">
            <w:pPr>
              <w:pBdr>
                <w:top w:val="none" w:sz="4" w:space="0" w:color="000000"/>
                <w:left w:val="none" w:sz="4" w:space="0" w:color="000000"/>
                <w:bottom w:val="none" w:sz="4" w:space="0" w:color="000000"/>
                <w:right w:val="none" w:sz="4" w:space="0" w:color="000000"/>
              </w:pBdr>
              <w:ind w:firstLine="0"/>
            </w:pPr>
            <w:proofErr w:type="spellStart"/>
            <w:r w:rsidRPr="0026420A">
              <w:t>Ensure</w:t>
            </w:r>
            <w:proofErr w:type="spellEnd"/>
            <w:r w:rsidRPr="0026420A">
              <w:t xml:space="preserve"> </w:t>
            </w:r>
            <w:proofErr w:type="spellStart"/>
            <w:r w:rsidRPr="0026420A">
              <w:t>systematic</w:t>
            </w:r>
            <w:proofErr w:type="spellEnd"/>
            <w:r w:rsidRPr="0026420A">
              <w:t xml:space="preserve"> </w:t>
            </w:r>
            <w:proofErr w:type="spellStart"/>
            <w:r w:rsidRPr="0026420A">
              <w:t>consultation</w:t>
            </w:r>
            <w:proofErr w:type="spellEnd"/>
            <w:r w:rsidRPr="0026420A">
              <w:t xml:space="preserve"> of </w:t>
            </w:r>
            <w:proofErr w:type="spellStart"/>
            <w:r w:rsidRPr="0026420A">
              <w:t>the</w:t>
            </w:r>
            <w:proofErr w:type="spellEnd"/>
            <w:r w:rsidRPr="0026420A">
              <w:t xml:space="preserve"> FIU / MLPCS in </w:t>
            </w:r>
            <w:proofErr w:type="spellStart"/>
            <w:r w:rsidRPr="0026420A">
              <w:t>authorization</w:t>
            </w:r>
            <w:proofErr w:type="spellEnd"/>
            <w:r w:rsidRPr="0026420A">
              <w:t xml:space="preserve">, </w:t>
            </w:r>
            <w:proofErr w:type="spellStart"/>
            <w:r w:rsidRPr="0026420A">
              <w:t>notification</w:t>
            </w:r>
            <w:proofErr w:type="spellEnd"/>
            <w:r w:rsidRPr="0026420A">
              <w:t xml:space="preserve">, </w:t>
            </w:r>
            <w:proofErr w:type="spellStart"/>
            <w:r w:rsidRPr="0026420A">
              <w:t>qualifying</w:t>
            </w:r>
            <w:proofErr w:type="spellEnd"/>
            <w:r w:rsidRPr="0026420A">
              <w:t xml:space="preserve">-holding </w:t>
            </w:r>
            <w:proofErr w:type="spellStart"/>
            <w:r w:rsidRPr="0026420A">
              <w:t>and</w:t>
            </w:r>
            <w:proofErr w:type="spellEnd"/>
            <w:r w:rsidRPr="0026420A">
              <w:t xml:space="preserve"> major </w:t>
            </w:r>
            <w:proofErr w:type="spellStart"/>
            <w:r w:rsidRPr="0026420A">
              <w:t>enforcement</w:t>
            </w:r>
            <w:proofErr w:type="spellEnd"/>
            <w:r w:rsidRPr="0026420A">
              <w:t xml:space="preserve"> </w:t>
            </w:r>
            <w:proofErr w:type="spellStart"/>
            <w:r w:rsidRPr="0026420A">
              <w:t>cases</w:t>
            </w:r>
            <w:proofErr w:type="spellEnd"/>
            <w:r w:rsidRPr="0026420A">
              <w:t xml:space="preserve"> </w:t>
            </w:r>
            <w:proofErr w:type="spellStart"/>
            <w:r w:rsidRPr="0026420A">
              <w:t>where</w:t>
            </w:r>
            <w:proofErr w:type="spellEnd"/>
            <w:r w:rsidRPr="0026420A">
              <w:t xml:space="preserve"> AML/CFT </w:t>
            </w:r>
            <w:proofErr w:type="spellStart"/>
            <w:r w:rsidRPr="0026420A">
              <w:t>concerns</w:t>
            </w:r>
            <w:proofErr w:type="spellEnd"/>
            <w:r w:rsidRPr="0026420A">
              <w:t xml:space="preserve"> are material.</w:t>
            </w:r>
          </w:p>
          <w:p w14:paraId="5A155831" w14:textId="77777777" w:rsidR="00AB436C" w:rsidRPr="0026420A" w:rsidRDefault="00AB436C" w:rsidP="00BC51DD">
            <w:pPr>
              <w:pBdr>
                <w:top w:val="none" w:sz="4" w:space="0" w:color="000000"/>
                <w:left w:val="none" w:sz="4" w:space="0" w:color="000000"/>
                <w:bottom w:val="none" w:sz="4" w:space="0" w:color="000000"/>
                <w:right w:val="none" w:sz="4" w:space="0" w:color="000000"/>
              </w:pBdr>
              <w:ind w:firstLine="0"/>
            </w:pPr>
            <w:proofErr w:type="spellStart"/>
            <w:r w:rsidRPr="0026420A">
              <w:t>Establish</w:t>
            </w:r>
            <w:proofErr w:type="spellEnd"/>
            <w:r w:rsidRPr="0026420A">
              <w:t xml:space="preserve"> a single public </w:t>
            </w:r>
            <w:proofErr w:type="spellStart"/>
            <w:r w:rsidRPr="0026420A">
              <w:t>entry</w:t>
            </w:r>
            <w:proofErr w:type="spellEnd"/>
            <w:r w:rsidRPr="0026420A">
              <w:t xml:space="preserve"> </w:t>
            </w:r>
            <w:proofErr w:type="spellStart"/>
            <w:r w:rsidRPr="0026420A">
              <w:t>point</w:t>
            </w:r>
            <w:proofErr w:type="spellEnd"/>
            <w:r w:rsidRPr="0026420A">
              <w:t xml:space="preserve"> for </w:t>
            </w:r>
            <w:proofErr w:type="spellStart"/>
            <w:r w:rsidRPr="0026420A">
              <w:t>complaints</w:t>
            </w:r>
            <w:proofErr w:type="spellEnd"/>
            <w:r w:rsidRPr="0026420A">
              <w:t xml:space="preserve"> </w:t>
            </w:r>
            <w:proofErr w:type="spellStart"/>
            <w:r w:rsidRPr="0026420A">
              <w:t>and</w:t>
            </w:r>
            <w:proofErr w:type="spellEnd"/>
            <w:r w:rsidRPr="0026420A">
              <w:t xml:space="preserve"> </w:t>
            </w:r>
            <w:proofErr w:type="spellStart"/>
            <w:r w:rsidRPr="0026420A">
              <w:t>warnings</w:t>
            </w:r>
            <w:proofErr w:type="spellEnd"/>
            <w:r w:rsidRPr="0026420A">
              <w:t xml:space="preserve">, </w:t>
            </w:r>
            <w:proofErr w:type="spellStart"/>
            <w:r w:rsidRPr="0026420A">
              <w:t>with</w:t>
            </w:r>
            <w:proofErr w:type="spellEnd"/>
            <w:r w:rsidRPr="0026420A">
              <w:t xml:space="preserve"> </w:t>
            </w:r>
            <w:proofErr w:type="spellStart"/>
            <w:r w:rsidRPr="0026420A">
              <w:t>internal</w:t>
            </w:r>
            <w:proofErr w:type="spellEnd"/>
            <w:r w:rsidRPr="0026420A">
              <w:t xml:space="preserve"> </w:t>
            </w:r>
            <w:proofErr w:type="spellStart"/>
            <w:r w:rsidRPr="0026420A">
              <w:t>routing</w:t>
            </w:r>
            <w:proofErr w:type="spellEnd"/>
            <w:r w:rsidRPr="0026420A">
              <w:t xml:space="preserve"> </w:t>
            </w:r>
            <w:proofErr w:type="spellStart"/>
            <w:r w:rsidRPr="0026420A">
              <w:t>to</w:t>
            </w:r>
            <w:proofErr w:type="spellEnd"/>
            <w:r w:rsidRPr="0026420A">
              <w:t xml:space="preserve"> </w:t>
            </w:r>
            <w:proofErr w:type="spellStart"/>
            <w:r w:rsidRPr="0026420A">
              <w:t>the</w:t>
            </w:r>
            <w:proofErr w:type="spellEnd"/>
            <w:r w:rsidRPr="0026420A">
              <w:t xml:space="preserve"> competent </w:t>
            </w:r>
            <w:proofErr w:type="spellStart"/>
            <w:r w:rsidRPr="0026420A">
              <w:t>authority</w:t>
            </w:r>
            <w:proofErr w:type="spellEnd"/>
            <w:r w:rsidRPr="0026420A">
              <w:t xml:space="preserve"> or </w:t>
            </w:r>
            <w:proofErr w:type="spellStart"/>
            <w:r w:rsidRPr="0026420A">
              <w:t>authorities</w:t>
            </w:r>
            <w:proofErr w:type="spellEnd"/>
            <w:r w:rsidRPr="0026420A">
              <w:t xml:space="preserve"> </w:t>
            </w:r>
            <w:proofErr w:type="spellStart"/>
            <w:r w:rsidRPr="0026420A">
              <w:t>concerned</w:t>
            </w:r>
            <w:proofErr w:type="spellEnd"/>
            <w:r w:rsidRPr="0026420A">
              <w:t>.</w:t>
            </w:r>
          </w:p>
          <w:p w14:paraId="7FE53D6B" w14:textId="77777777" w:rsidR="00AB436C" w:rsidRPr="0026420A" w:rsidRDefault="00AB436C" w:rsidP="00BC51DD">
            <w:pPr>
              <w:pBdr>
                <w:top w:val="none" w:sz="4" w:space="0" w:color="000000"/>
                <w:left w:val="none" w:sz="4" w:space="0" w:color="000000"/>
                <w:bottom w:val="none" w:sz="4" w:space="0" w:color="000000"/>
                <w:right w:val="none" w:sz="4" w:space="0" w:color="000000"/>
              </w:pBdr>
              <w:ind w:firstLine="0"/>
              <w:rPr>
                <w:i/>
                <w:iCs/>
              </w:rPr>
            </w:pPr>
          </w:p>
          <w:p w14:paraId="1872281C" w14:textId="77777777" w:rsidR="00AB436C" w:rsidRPr="0026420A" w:rsidRDefault="00AB436C" w:rsidP="00BC51DD">
            <w:pPr>
              <w:pBdr>
                <w:top w:val="none" w:sz="4" w:space="0" w:color="000000"/>
                <w:left w:val="none" w:sz="4" w:space="0" w:color="000000"/>
                <w:bottom w:val="none" w:sz="4" w:space="0" w:color="000000"/>
                <w:right w:val="none" w:sz="4" w:space="0" w:color="000000"/>
              </w:pBdr>
              <w:ind w:firstLine="0"/>
              <w:rPr>
                <w:b/>
                <w:bCs/>
              </w:rPr>
            </w:pPr>
            <w:r w:rsidRPr="0026420A">
              <w:rPr>
                <w:i/>
                <w:iCs/>
              </w:rPr>
              <w:t>Traducere neoficială în limba română:</w:t>
            </w:r>
          </w:p>
          <w:p w14:paraId="6E7985EC" w14:textId="77777777" w:rsidR="00AB436C" w:rsidRPr="0026420A" w:rsidRDefault="00AB436C" w:rsidP="00BC51DD">
            <w:pPr>
              <w:pBdr>
                <w:top w:val="none" w:sz="4" w:space="0" w:color="000000"/>
                <w:left w:val="none" w:sz="4" w:space="0" w:color="000000"/>
                <w:bottom w:val="none" w:sz="4" w:space="0" w:color="000000"/>
                <w:right w:val="none" w:sz="4" w:space="0" w:color="000000"/>
              </w:pBdr>
              <w:ind w:firstLine="0"/>
              <w:rPr>
                <w:i/>
                <w:iCs/>
              </w:rPr>
            </w:pPr>
            <w:r w:rsidRPr="0026420A">
              <w:rPr>
                <w:i/>
                <w:iCs/>
              </w:rPr>
              <w:t>Menținerea actualei alocări de principiu prevăzute la articolul 85, însă completarea acesteia cu o matrice detaliată care să identifice autoritatea principală pentru fiecare combinație relevantă de tip de entitate și activitate.</w:t>
            </w:r>
          </w:p>
          <w:p w14:paraId="4713A113" w14:textId="77777777" w:rsidR="00AB436C" w:rsidRPr="0026420A" w:rsidRDefault="00AB436C" w:rsidP="00BC51DD">
            <w:pPr>
              <w:pBdr>
                <w:top w:val="none" w:sz="4" w:space="0" w:color="000000"/>
                <w:left w:val="none" w:sz="4" w:space="0" w:color="000000"/>
                <w:bottom w:val="none" w:sz="4" w:space="0" w:color="000000"/>
                <w:right w:val="none" w:sz="4" w:space="0" w:color="000000"/>
              </w:pBdr>
              <w:ind w:firstLine="0"/>
              <w:rPr>
                <w:i/>
                <w:iCs/>
              </w:rPr>
            </w:pPr>
            <w:r w:rsidRPr="0026420A">
              <w:rPr>
                <w:i/>
                <w:iCs/>
              </w:rPr>
              <w:t>Introducerea unor proceduri obligatorii de consultare, cu termene-limită, pentru cererile și notificările care implică instituții de credit, instituții emitente de monedă electronică, instituții de plată, firme de investiții, operatori de piață, depozitari centrali de titluri de valoare, administratori de organisme de plasament colectiv în valori mobiliare — UCITS — și administratori de fonduri de investiții alternative — AIFM.</w:t>
            </w:r>
          </w:p>
          <w:p w14:paraId="571736EF" w14:textId="77777777" w:rsidR="00AB436C" w:rsidRPr="0026420A" w:rsidRDefault="00AB436C" w:rsidP="00BC51DD">
            <w:pPr>
              <w:pBdr>
                <w:top w:val="none" w:sz="4" w:space="0" w:color="000000"/>
                <w:left w:val="none" w:sz="4" w:space="0" w:color="000000"/>
                <w:bottom w:val="none" w:sz="4" w:space="0" w:color="000000"/>
                <w:right w:val="none" w:sz="4" w:space="0" w:color="000000"/>
              </w:pBdr>
              <w:ind w:firstLine="0"/>
              <w:rPr>
                <w:i/>
                <w:iCs/>
              </w:rPr>
            </w:pPr>
            <w:r w:rsidRPr="0026420A">
              <w:rPr>
                <w:i/>
                <w:iCs/>
              </w:rPr>
              <w:t xml:space="preserve">Adoptarea unui acord de cooperare obligatoriu între Comisia Națională și Banca Națională, care să acopere alocarea cazurilor, </w:t>
            </w:r>
            <w:r w:rsidRPr="0026420A">
              <w:rPr>
                <w:i/>
                <w:iCs/>
              </w:rPr>
              <w:lastRenderedPageBreak/>
              <w:t>schimbul de informații, inspecțiile comune, gestionarea comună a situațiilor de criză, direcționarea plângerilor și publicarea deciziilor coordonate.</w:t>
            </w:r>
          </w:p>
          <w:p w14:paraId="30A35148" w14:textId="77777777" w:rsidR="00AB436C" w:rsidRPr="0026420A" w:rsidRDefault="00AB436C" w:rsidP="00BC51DD">
            <w:pPr>
              <w:pBdr>
                <w:top w:val="none" w:sz="4" w:space="0" w:color="000000"/>
                <w:left w:val="none" w:sz="4" w:space="0" w:color="000000"/>
                <w:bottom w:val="none" w:sz="4" w:space="0" w:color="000000"/>
                <w:right w:val="none" w:sz="4" w:space="0" w:color="000000"/>
              </w:pBdr>
              <w:ind w:firstLine="0"/>
              <w:rPr>
                <w:i/>
                <w:iCs/>
              </w:rPr>
            </w:pPr>
            <w:r w:rsidRPr="0026420A">
              <w:rPr>
                <w:i/>
                <w:iCs/>
              </w:rPr>
              <w:t xml:space="preserve">În cazul entităților hibride, delimitarea clară între supravegherea emitentului, supravegherea prudențială și supravegherea conduitei în prestarea serviciilor de </w:t>
            </w:r>
            <w:proofErr w:type="spellStart"/>
            <w:r w:rsidRPr="0026420A">
              <w:rPr>
                <w:i/>
                <w:iCs/>
              </w:rPr>
              <w:t>criptoactive</w:t>
            </w:r>
            <w:proofErr w:type="spellEnd"/>
            <w:r w:rsidRPr="0026420A">
              <w:rPr>
                <w:i/>
                <w:iCs/>
              </w:rPr>
              <w:t>; autoritatea principală ar trebui determinată în funcție de statutul juridic al entității și de principalul factor generator de risc.</w:t>
            </w:r>
          </w:p>
          <w:p w14:paraId="04720490" w14:textId="77777777" w:rsidR="00AB436C" w:rsidRPr="0026420A" w:rsidRDefault="00AB436C" w:rsidP="00BC51DD">
            <w:pPr>
              <w:pBdr>
                <w:top w:val="none" w:sz="4" w:space="0" w:color="000000"/>
                <w:left w:val="none" w:sz="4" w:space="0" w:color="000000"/>
                <w:bottom w:val="none" w:sz="4" w:space="0" w:color="000000"/>
                <w:right w:val="none" w:sz="4" w:space="0" w:color="000000"/>
              </w:pBdr>
              <w:ind w:firstLine="0"/>
              <w:rPr>
                <w:i/>
                <w:iCs/>
              </w:rPr>
            </w:pPr>
            <w:r w:rsidRPr="0026420A">
              <w:rPr>
                <w:i/>
                <w:iCs/>
              </w:rPr>
              <w:t>Asigurarea consultării sistematice a FIU / SPCSB în cazurile de autorizare, notificare, dețineri calificate și în cazurile majore de aplicare a măsurilor de supraveghere sau sancționare, atunci când preocupările privind prevenirea și combaterea spălării banilor și finanțării terorismului — AML/CFT — sunt relevante.</w:t>
            </w:r>
          </w:p>
          <w:p w14:paraId="6DB79AB6" w14:textId="60FC4D9E" w:rsidR="00AB436C" w:rsidRPr="0026420A" w:rsidRDefault="00AB436C" w:rsidP="00BC51DD">
            <w:pPr>
              <w:tabs>
                <w:tab w:val="left" w:pos="1635"/>
              </w:tabs>
              <w:ind w:firstLine="0"/>
              <w:rPr>
                <w:highlight w:val="yellow"/>
              </w:rPr>
            </w:pPr>
            <w:r w:rsidRPr="0026420A">
              <w:rPr>
                <w:i/>
                <w:iCs/>
              </w:rPr>
              <w:t>Instituirea unui punct public unic de acces pentru plângeri și avertismente, cu direcționare internă către autoritatea sau autoritățile competente vizate.</w:t>
            </w:r>
          </w:p>
        </w:tc>
        <w:tc>
          <w:tcPr>
            <w:tcW w:w="5281" w:type="dxa"/>
            <w:tcMar>
              <w:top w:w="0" w:type="dxa"/>
              <w:left w:w="108" w:type="dxa"/>
              <w:bottom w:w="0" w:type="dxa"/>
              <w:right w:w="108" w:type="dxa"/>
            </w:tcMar>
          </w:tcPr>
          <w:p w14:paraId="31887E3D" w14:textId="77777777" w:rsidR="00AB436C" w:rsidRPr="0026420A" w:rsidRDefault="00AB436C" w:rsidP="00BC51DD">
            <w:pPr>
              <w:pBdr>
                <w:top w:val="none" w:sz="4" w:space="0" w:color="000000"/>
                <w:left w:val="none" w:sz="4" w:space="0" w:color="000000"/>
                <w:bottom w:val="none" w:sz="4" w:space="0" w:color="000000"/>
                <w:right w:val="none" w:sz="4" w:space="0" w:color="000000"/>
              </w:pBdr>
              <w:ind w:firstLine="0"/>
              <w:rPr>
                <w:b/>
                <w:bCs/>
              </w:rPr>
            </w:pPr>
            <w:r w:rsidRPr="0026420A">
              <w:rPr>
                <w:b/>
                <w:bCs/>
              </w:rPr>
              <w:lastRenderedPageBreak/>
              <w:t>Se ia act.</w:t>
            </w:r>
          </w:p>
          <w:p w14:paraId="5C5FC6EC" w14:textId="77777777" w:rsidR="00AB436C" w:rsidRPr="0026420A" w:rsidRDefault="00AB436C" w:rsidP="00BC51DD">
            <w:pPr>
              <w:pBdr>
                <w:top w:val="none" w:sz="4" w:space="0" w:color="000000"/>
                <w:left w:val="none" w:sz="4" w:space="0" w:color="000000"/>
                <w:bottom w:val="none" w:sz="4" w:space="0" w:color="000000"/>
                <w:right w:val="none" w:sz="4" w:space="0" w:color="000000"/>
              </w:pBdr>
              <w:ind w:firstLine="0"/>
            </w:pPr>
            <w:r w:rsidRPr="0026420A">
              <w:t>Proiectul menține alocarea de principiu a competențelor prevăzută la art. 85 și instituie cadrul juridic pentru cooperarea dintre CNPF, BNM, SPCSB și alte autorități relevante. Procedurile de consultare, schimb de informații, coordonare a cazurilor, examinare a entităților hibride, repartizare operațională a responsabilităților și cooperare în materie de supraveghere urmează să fie detaliate prin cadrul secundar, acorduri interinstituționale și acte administrative ale autorităților competente. Totodată, proiectul include deja mecanisme de consultare a SPCSB în procedurile relevante de autorizare și notificare.</w:t>
            </w:r>
          </w:p>
          <w:p w14:paraId="37B71A59" w14:textId="615F20A0" w:rsidR="00AB436C" w:rsidRPr="0026420A" w:rsidRDefault="00AB436C" w:rsidP="00BC51DD">
            <w:pPr>
              <w:ind w:firstLine="0"/>
              <w:rPr>
                <w:b/>
                <w:bCs/>
                <w:highlight w:val="yellow"/>
              </w:rPr>
            </w:pPr>
            <w:r w:rsidRPr="0026420A">
              <w:t>.</w:t>
            </w:r>
          </w:p>
        </w:tc>
      </w:tr>
      <w:tr w:rsidR="00BC51DD" w:rsidRPr="0026420A" w14:paraId="61BC37AE" w14:textId="77777777" w:rsidTr="001F4857">
        <w:trPr>
          <w:trHeight w:val="615"/>
        </w:trPr>
        <w:tc>
          <w:tcPr>
            <w:tcW w:w="2206" w:type="dxa"/>
            <w:vMerge w:val="restart"/>
            <w:tcMar>
              <w:top w:w="0" w:type="dxa"/>
              <w:left w:w="108" w:type="dxa"/>
              <w:bottom w:w="0" w:type="dxa"/>
              <w:right w:w="108" w:type="dxa"/>
            </w:tcMar>
          </w:tcPr>
          <w:p w14:paraId="23F537E1" w14:textId="77777777" w:rsidR="00BC51DD" w:rsidRPr="0026420A" w:rsidRDefault="00BC51DD" w:rsidP="00BC51DD">
            <w:pPr>
              <w:ind w:firstLine="0"/>
              <w:jc w:val="left"/>
              <w:rPr>
                <w:i/>
                <w:iCs/>
              </w:rPr>
            </w:pPr>
          </w:p>
          <w:p w14:paraId="0F8CF177" w14:textId="77777777" w:rsidR="00BC51DD" w:rsidRPr="0026420A" w:rsidRDefault="00BC51DD" w:rsidP="00BC51DD">
            <w:pPr>
              <w:ind w:firstLine="0"/>
              <w:jc w:val="left"/>
              <w:rPr>
                <w:i/>
                <w:iCs/>
              </w:rPr>
            </w:pPr>
          </w:p>
          <w:p w14:paraId="2906165A" w14:textId="77777777" w:rsidR="00BC51DD" w:rsidRPr="0026420A" w:rsidRDefault="00BC51DD" w:rsidP="00BC51DD">
            <w:pPr>
              <w:ind w:firstLine="0"/>
              <w:jc w:val="left"/>
              <w:rPr>
                <w:i/>
                <w:iCs/>
              </w:rPr>
            </w:pPr>
          </w:p>
          <w:p w14:paraId="5FE67D95" w14:textId="77777777" w:rsidR="00BC51DD" w:rsidRPr="0026420A" w:rsidRDefault="00BC51DD" w:rsidP="00BC51DD">
            <w:pPr>
              <w:ind w:firstLine="0"/>
              <w:jc w:val="left"/>
              <w:rPr>
                <w:i/>
                <w:iCs/>
              </w:rPr>
            </w:pPr>
          </w:p>
          <w:p w14:paraId="726CBE41" w14:textId="77777777" w:rsidR="00BC51DD" w:rsidRPr="0026420A" w:rsidRDefault="00BC51DD" w:rsidP="00BC51DD">
            <w:pPr>
              <w:ind w:firstLine="0"/>
              <w:jc w:val="left"/>
              <w:rPr>
                <w:i/>
                <w:iCs/>
              </w:rPr>
            </w:pPr>
          </w:p>
          <w:p w14:paraId="2E937EF4" w14:textId="77777777" w:rsidR="00BC51DD" w:rsidRPr="0026420A" w:rsidRDefault="00BC51DD" w:rsidP="00BC51DD">
            <w:pPr>
              <w:ind w:firstLine="0"/>
              <w:jc w:val="left"/>
              <w:rPr>
                <w:i/>
                <w:iCs/>
              </w:rPr>
            </w:pPr>
          </w:p>
          <w:p w14:paraId="64F3A1FC" w14:textId="77777777" w:rsidR="00BC51DD" w:rsidRPr="0026420A" w:rsidRDefault="00BC51DD" w:rsidP="00BC51DD">
            <w:pPr>
              <w:ind w:firstLine="0"/>
              <w:jc w:val="left"/>
              <w:rPr>
                <w:i/>
                <w:iCs/>
              </w:rPr>
            </w:pPr>
          </w:p>
          <w:p w14:paraId="6CF24840" w14:textId="77777777" w:rsidR="00BC51DD" w:rsidRPr="0026420A" w:rsidRDefault="00BC51DD" w:rsidP="00BC51DD">
            <w:pPr>
              <w:ind w:firstLine="0"/>
              <w:jc w:val="left"/>
              <w:rPr>
                <w:i/>
                <w:iCs/>
              </w:rPr>
            </w:pPr>
          </w:p>
          <w:p w14:paraId="4DFF3F95" w14:textId="77777777" w:rsidR="00BC51DD" w:rsidRPr="0026420A" w:rsidRDefault="00BC51DD" w:rsidP="00BC51DD">
            <w:pPr>
              <w:ind w:firstLine="0"/>
              <w:jc w:val="left"/>
              <w:rPr>
                <w:i/>
                <w:iCs/>
              </w:rPr>
            </w:pPr>
          </w:p>
          <w:p w14:paraId="06DC45D8" w14:textId="77777777" w:rsidR="00BC51DD" w:rsidRPr="0026420A" w:rsidRDefault="00BC51DD" w:rsidP="00BC51DD">
            <w:pPr>
              <w:ind w:firstLine="0"/>
              <w:jc w:val="left"/>
              <w:rPr>
                <w:i/>
                <w:iCs/>
              </w:rPr>
            </w:pPr>
          </w:p>
          <w:p w14:paraId="304764C0" w14:textId="77777777" w:rsidR="00BC51DD" w:rsidRPr="0026420A" w:rsidRDefault="00BC51DD" w:rsidP="00BC51DD">
            <w:pPr>
              <w:ind w:firstLine="0"/>
              <w:jc w:val="left"/>
              <w:rPr>
                <w:i/>
                <w:iCs/>
              </w:rPr>
            </w:pPr>
          </w:p>
          <w:p w14:paraId="58537000" w14:textId="77777777" w:rsidR="00BC51DD" w:rsidRPr="0026420A" w:rsidRDefault="00BC51DD" w:rsidP="00BC51DD">
            <w:pPr>
              <w:ind w:firstLine="0"/>
              <w:jc w:val="left"/>
              <w:rPr>
                <w:i/>
                <w:iCs/>
              </w:rPr>
            </w:pPr>
          </w:p>
          <w:p w14:paraId="70758CF7" w14:textId="77777777" w:rsidR="00BC51DD" w:rsidRPr="0026420A" w:rsidRDefault="00BC51DD" w:rsidP="00BC51DD">
            <w:pPr>
              <w:ind w:firstLine="0"/>
              <w:jc w:val="left"/>
              <w:rPr>
                <w:i/>
                <w:iCs/>
              </w:rPr>
            </w:pPr>
          </w:p>
          <w:p w14:paraId="6951E5C6" w14:textId="77777777" w:rsidR="00BC51DD" w:rsidRPr="0026420A" w:rsidRDefault="00BC51DD" w:rsidP="00BC51DD">
            <w:pPr>
              <w:ind w:firstLine="0"/>
              <w:jc w:val="left"/>
              <w:rPr>
                <w:i/>
                <w:iCs/>
              </w:rPr>
            </w:pPr>
          </w:p>
          <w:p w14:paraId="4FB42F7C" w14:textId="77777777" w:rsidR="00BC51DD" w:rsidRPr="0026420A" w:rsidRDefault="00BC51DD" w:rsidP="00BC51DD">
            <w:pPr>
              <w:ind w:firstLine="0"/>
              <w:jc w:val="left"/>
              <w:rPr>
                <w:i/>
                <w:iCs/>
              </w:rPr>
            </w:pPr>
          </w:p>
          <w:p w14:paraId="73E74375" w14:textId="77777777" w:rsidR="00BC51DD" w:rsidRPr="0026420A" w:rsidRDefault="00BC51DD" w:rsidP="00BC51DD">
            <w:pPr>
              <w:ind w:firstLine="0"/>
              <w:jc w:val="left"/>
              <w:rPr>
                <w:i/>
                <w:iCs/>
              </w:rPr>
            </w:pPr>
          </w:p>
          <w:p w14:paraId="32E48F6A" w14:textId="77777777" w:rsidR="00BC51DD" w:rsidRPr="0026420A" w:rsidRDefault="00BC51DD" w:rsidP="00BC51DD">
            <w:pPr>
              <w:ind w:firstLine="0"/>
              <w:jc w:val="left"/>
              <w:rPr>
                <w:i/>
                <w:iCs/>
              </w:rPr>
            </w:pPr>
          </w:p>
          <w:p w14:paraId="6D3543F5" w14:textId="77777777" w:rsidR="00BC51DD" w:rsidRPr="0026420A" w:rsidRDefault="00BC51DD" w:rsidP="00BC51DD">
            <w:pPr>
              <w:ind w:firstLine="0"/>
              <w:jc w:val="left"/>
              <w:rPr>
                <w:i/>
                <w:iCs/>
              </w:rPr>
            </w:pPr>
          </w:p>
          <w:p w14:paraId="2C4499F5" w14:textId="77777777" w:rsidR="00BC51DD" w:rsidRPr="0026420A" w:rsidRDefault="00BC51DD" w:rsidP="00BC51DD">
            <w:pPr>
              <w:ind w:firstLine="0"/>
              <w:jc w:val="left"/>
              <w:rPr>
                <w:i/>
                <w:iCs/>
              </w:rPr>
            </w:pPr>
          </w:p>
          <w:p w14:paraId="52EB6B50" w14:textId="77777777" w:rsidR="00BC51DD" w:rsidRPr="0026420A" w:rsidRDefault="00BC51DD" w:rsidP="00BC51DD">
            <w:pPr>
              <w:ind w:firstLine="0"/>
              <w:jc w:val="left"/>
              <w:rPr>
                <w:i/>
                <w:iCs/>
              </w:rPr>
            </w:pPr>
          </w:p>
          <w:p w14:paraId="7B43A0FF" w14:textId="77777777" w:rsidR="00BC51DD" w:rsidRPr="0026420A" w:rsidRDefault="00BC51DD" w:rsidP="00BC51DD">
            <w:pPr>
              <w:ind w:firstLine="0"/>
              <w:jc w:val="left"/>
              <w:rPr>
                <w:i/>
                <w:iCs/>
              </w:rPr>
            </w:pPr>
          </w:p>
          <w:p w14:paraId="6A36620C" w14:textId="77777777" w:rsidR="00BC51DD" w:rsidRPr="0026420A" w:rsidRDefault="00BC51DD" w:rsidP="00BC51DD">
            <w:pPr>
              <w:ind w:firstLine="0"/>
              <w:jc w:val="left"/>
              <w:rPr>
                <w:i/>
                <w:iCs/>
              </w:rPr>
            </w:pPr>
          </w:p>
          <w:p w14:paraId="77B0D3C7" w14:textId="77777777" w:rsidR="00BC51DD" w:rsidRPr="0026420A" w:rsidRDefault="00BC51DD" w:rsidP="00BC51DD">
            <w:pPr>
              <w:ind w:firstLine="0"/>
              <w:jc w:val="left"/>
              <w:rPr>
                <w:i/>
                <w:iCs/>
              </w:rPr>
            </w:pPr>
          </w:p>
          <w:p w14:paraId="69F3A6D6" w14:textId="77777777" w:rsidR="00BC51DD" w:rsidRPr="0026420A" w:rsidRDefault="00BC51DD" w:rsidP="00BC51DD">
            <w:pPr>
              <w:ind w:firstLine="0"/>
              <w:jc w:val="left"/>
              <w:rPr>
                <w:i/>
                <w:iCs/>
              </w:rPr>
            </w:pPr>
          </w:p>
          <w:p w14:paraId="7DAA4504" w14:textId="77777777" w:rsidR="00BC51DD" w:rsidRPr="0026420A" w:rsidRDefault="00BC51DD" w:rsidP="00BC51DD">
            <w:pPr>
              <w:ind w:firstLine="0"/>
              <w:jc w:val="left"/>
              <w:rPr>
                <w:i/>
                <w:iCs/>
              </w:rPr>
            </w:pPr>
          </w:p>
          <w:p w14:paraId="53BE9D6A" w14:textId="77777777" w:rsidR="00BC51DD" w:rsidRPr="0026420A" w:rsidRDefault="00BC51DD" w:rsidP="00BC51DD">
            <w:pPr>
              <w:ind w:firstLine="0"/>
              <w:jc w:val="left"/>
              <w:rPr>
                <w:i/>
                <w:iCs/>
              </w:rPr>
            </w:pPr>
          </w:p>
          <w:p w14:paraId="6DF7FC5F" w14:textId="77777777" w:rsidR="00BC51DD" w:rsidRPr="0026420A" w:rsidRDefault="00BC51DD" w:rsidP="00BC51DD">
            <w:pPr>
              <w:ind w:firstLine="0"/>
              <w:jc w:val="left"/>
              <w:rPr>
                <w:i/>
                <w:iCs/>
              </w:rPr>
            </w:pPr>
          </w:p>
          <w:p w14:paraId="57EF9227" w14:textId="77777777" w:rsidR="00BC51DD" w:rsidRPr="0026420A" w:rsidRDefault="00BC51DD" w:rsidP="00BC51DD">
            <w:pPr>
              <w:ind w:firstLine="0"/>
              <w:jc w:val="left"/>
              <w:rPr>
                <w:i/>
                <w:iCs/>
              </w:rPr>
            </w:pPr>
          </w:p>
          <w:p w14:paraId="38D804F0" w14:textId="77777777" w:rsidR="00BC51DD" w:rsidRPr="0026420A" w:rsidRDefault="00BC51DD" w:rsidP="00BC51DD">
            <w:pPr>
              <w:ind w:firstLine="0"/>
              <w:jc w:val="left"/>
              <w:rPr>
                <w:i/>
                <w:iCs/>
              </w:rPr>
            </w:pPr>
          </w:p>
          <w:p w14:paraId="275E69F8" w14:textId="77777777" w:rsidR="00BC51DD" w:rsidRPr="0026420A" w:rsidRDefault="00BC51DD" w:rsidP="00BC51DD">
            <w:pPr>
              <w:ind w:firstLine="0"/>
              <w:jc w:val="left"/>
              <w:rPr>
                <w:i/>
                <w:iCs/>
              </w:rPr>
            </w:pPr>
          </w:p>
          <w:p w14:paraId="3788A6DD" w14:textId="77777777" w:rsidR="00BC51DD" w:rsidRPr="0026420A" w:rsidRDefault="00BC51DD" w:rsidP="00BC51DD">
            <w:pPr>
              <w:ind w:firstLine="0"/>
              <w:jc w:val="left"/>
              <w:rPr>
                <w:i/>
                <w:iCs/>
              </w:rPr>
            </w:pPr>
          </w:p>
          <w:p w14:paraId="204B39CA" w14:textId="77777777" w:rsidR="00BC51DD" w:rsidRPr="0026420A" w:rsidRDefault="00BC51DD" w:rsidP="00BC51DD">
            <w:pPr>
              <w:ind w:firstLine="0"/>
              <w:jc w:val="left"/>
              <w:rPr>
                <w:i/>
                <w:iCs/>
              </w:rPr>
            </w:pPr>
          </w:p>
          <w:p w14:paraId="64A6BABE" w14:textId="77777777" w:rsidR="00BC51DD" w:rsidRPr="0026420A" w:rsidRDefault="00BC51DD" w:rsidP="00BC51DD">
            <w:pPr>
              <w:ind w:firstLine="0"/>
              <w:jc w:val="left"/>
              <w:rPr>
                <w:i/>
                <w:iCs/>
              </w:rPr>
            </w:pPr>
          </w:p>
          <w:p w14:paraId="6CA6F820" w14:textId="77777777" w:rsidR="00BC51DD" w:rsidRPr="0026420A" w:rsidRDefault="00BC51DD" w:rsidP="00BC51DD">
            <w:pPr>
              <w:ind w:firstLine="0"/>
              <w:jc w:val="left"/>
              <w:rPr>
                <w:i/>
                <w:iCs/>
              </w:rPr>
            </w:pPr>
          </w:p>
          <w:p w14:paraId="77F6169F" w14:textId="77777777" w:rsidR="00BC51DD" w:rsidRPr="0026420A" w:rsidRDefault="00BC51DD" w:rsidP="00BC51DD">
            <w:pPr>
              <w:ind w:firstLine="0"/>
              <w:jc w:val="left"/>
              <w:rPr>
                <w:i/>
                <w:iCs/>
              </w:rPr>
            </w:pPr>
          </w:p>
          <w:p w14:paraId="3003457A" w14:textId="77777777" w:rsidR="00BC51DD" w:rsidRPr="0026420A" w:rsidRDefault="00BC51DD" w:rsidP="00BC51DD">
            <w:pPr>
              <w:ind w:firstLine="0"/>
              <w:jc w:val="left"/>
              <w:rPr>
                <w:i/>
                <w:iCs/>
              </w:rPr>
            </w:pPr>
          </w:p>
          <w:p w14:paraId="076B5D5C" w14:textId="77777777" w:rsidR="00BC51DD" w:rsidRPr="0026420A" w:rsidRDefault="00BC51DD" w:rsidP="00BC51DD">
            <w:pPr>
              <w:ind w:firstLine="0"/>
              <w:jc w:val="left"/>
              <w:rPr>
                <w:i/>
                <w:iCs/>
              </w:rPr>
            </w:pPr>
          </w:p>
          <w:p w14:paraId="571FB665" w14:textId="77777777" w:rsidR="00BC51DD" w:rsidRPr="0026420A" w:rsidRDefault="00BC51DD" w:rsidP="00BC51DD">
            <w:pPr>
              <w:ind w:firstLine="0"/>
              <w:jc w:val="left"/>
              <w:rPr>
                <w:i/>
                <w:iCs/>
              </w:rPr>
            </w:pPr>
          </w:p>
          <w:p w14:paraId="330007F3" w14:textId="77777777" w:rsidR="00BC51DD" w:rsidRPr="0026420A" w:rsidRDefault="00BC51DD" w:rsidP="00BC51DD">
            <w:pPr>
              <w:ind w:firstLine="0"/>
              <w:jc w:val="left"/>
              <w:rPr>
                <w:i/>
                <w:iCs/>
              </w:rPr>
            </w:pPr>
          </w:p>
          <w:p w14:paraId="6E858083" w14:textId="77777777" w:rsidR="00BC51DD" w:rsidRPr="0026420A" w:rsidRDefault="00BC51DD" w:rsidP="00BC51DD">
            <w:pPr>
              <w:ind w:firstLine="0"/>
              <w:jc w:val="left"/>
              <w:rPr>
                <w:i/>
                <w:iCs/>
              </w:rPr>
            </w:pPr>
          </w:p>
          <w:p w14:paraId="033930F2" w14:textId="77777777" w:rsidR="00BC51DD" w:rsidRPr="0026420A" w:rsidRDefault="00BC51DD" w:rsidP="00BC51DD">
            <w:pPr>
              <w:ind w:firstLine="0"/>
              <w:jc w:val="left"/>
              <w:rPr>
                <w:i/>
                <w:iCs/>
              </w:rPr>
            </w:pPr>
          </w:p>
          <w:p w14:paraId="2338FB5C" w14:textId="77777777" w:rsidR="00BC51DD" w:rsidRPr="0026420A" w:rsidRDefault="00BC51DD" w:rsidP="00BC51DD">
            <w:pPr>
              <w:ind w:firstLine="0"/>
              <w:jc w:val="left"/>
              <w:rPr>
                <w:i/>
                <w:iCs/>
              </w:rPr>
            </w:pPr>
          </w:p>
          <w:p w14:paraId="5094AFD7" w14:textId="77777777" w:rsidR="00BC51DD" w:rsidRPr="0026420A" w:rsidRDefault="00BC51DD" w:rsidP="00BC51DD">
            <w:pPr>
              <w:ind w:firstLine="0"/>
              <w:jc w:val="left"/>
              <w:rPr>
                <w:i/>
                <w:iCs/>
              </w:rPr>
            </w:pPr>
          </w:p>
          <w:p w14:paraId="62F57B52" w14:textId="77777777" w:rsidR="00BC51DD" w:rsidRPr="0026420A" w:rsidRDefault="00BC51DD" w:rsidP="00BC51DD">
            <w:pPr>
              <w:ind w:firstLine="0"/>
              <w:jc w:val="left"/>
              <w:rPr>
                <w:i/>
                <w:iCs/>
              </w:rPr>
            </w:pPr>
          </w:p>
          <w:p w14:paraId="59E471C0" w14:textId="77777777" w:rsidR="00BC51DD" w:rsidRPr="0026420A" w:rsidRDefault="00BC51DD" w:rsidP="00BC51DD">
            <w:pPr>
              <w:ind w:firstLine="0"/>
              <w:jc w:val="left"/>
              <w:rPr>
                <w:i/>
                <w:iCs/>
              </w:rPr>
            </w:pPr>
          </w:p>
          <w:p w14:paraId="0D9C3A48" w14:textId="77777777" w:rsidR="00BC51DD" w:rsidRPr="0026420A" w:rsidRDefault="00BC51DD" w:rsidP="00BC51DD">
            <w:pPr>
              <w:ind w:firstLine="0"/>
              <w:jc w:val="left"/>
              <w:rPr>
                <w:i/>
                <w:iCs/>
              </w:rPr>
            </w:pPr>
          </w:p>
          <w:p w14:paraId="64D0AB0B" w14:textId="77777777" w:rsidR="00BC51DD" w:rsidRPr="0026420A" w:rsidRDefault="00BC51DD" w:rsidP="00BC51DD">
            <w:pPr>
              <w:ind w:firstLine="0"/>
              <w:jc w:val="left"/>
              <w:rPr>
                <w:i/>
                <w:iCs/>
              </w:rPr>
            </w:pPr>
          </w:p>
          <w:p w14:paraId="4D1C0B52" w14:textId="77777777" w:rsidR="00BC51DD" w:rsidRPr="0026420A" w:rsidRDefault="00BC51DD" w:rsidP="00BC51DD">
            <w:pPr>
              <w:ind w:firstLine="0"/>
              <w:jc w:val="left"/>
              <w:rPr>
                <w:i/>
                <w:iCs/>
              </w:rPr>
            </w:pPr>
          </w:p>
          <w:p w14:paraId="2B488BB8" w14:textId="77777777" w:rsidR="00BC51DD" w:rsidRPr="0026420A" w:rsidRDefault="00BC51DD" w:rsidP="00BC51DD">
            <w:pPr>
              <w:ind w:firstLine="0"/>
              <w:jc w:val="left"/>
              <w:rPr>
                <w:i/>
                <w:iCs/>
              </w:rPr>
            </w:pPr>
          </w:p>
          <w:p w14:paraId="6E0980E1" w14:textId="77777777" w:rsidR="00BC51DD" w:rsidRPr="0026420A" w:rsidRDefault="00BC51DD" w:rsidP="00BC51DD">
            <w:pPr>
              <w:ind w:firstLine="0"/>
              <w:jc w:val="left"/>
              <w:rPr>
                <w:i/>
                <w:iCs/>
              </w:rPr>
            </w:pPr>
          </w:p>
          <w:p w14:paraId="36D421BA" w14:textId="77777777" w:rsidR="00BC51DD" w:rsidRPr="0026420A" w:rsidRDefault="00BC51DD" w:rsidP="00BC51DD">
            <w:pPr>
              <w:ind w:firstLine="0"/>
              <w:jc w:val="left"/>
              <w:rPr>
                <w:i/>
                <w:iCs/>
              </w:rPr>
            </w:pPr>
          </w:p>
          <w:p w14:paraId="16C5F37F" w14:textId="77777777" w:rsidR="00BC51DD" w:rsidRPr="0026420A" w:rsidRDefault="00BC51DD" w:rsidP="00BC51DD">
            <w:pPr>
              <w:ind w:firstLine="0"/>
              <w:jc w:val="left"/>
              <w:rPr>
                <w:i/>
                <w:iCs/>
              </w:rPr>
            </w:pPr>
          </w:p>
          <w:p w14:paraId="402CFC43" w14:textId="77777777" w:rsidR="00BC51DD" w:rsidRPr="0026420A" w:rsidRDefault="00BC51DD" w:rsidP="00BC51DD">
            <w:pPr>
              <w:ind w:firstLine="0"/>
              <w:jc w:val="left"/>
              <w:rPr>
                <w:i/>
                <w:iCs/>
              </w:rPr>
            </w:pPr>
          </w:p>
          <w:p w14:paraId="35F9978C" w14:textId="77777777" w:rsidR="00BC51DD" w:rsidRPr="0026420A" w:rsidRDefault="00BC51DD" w:rsidP="00BC51DD">
            <w:pPr>
              <w:ind w:firstLine="0"/>
              <w:jc w:val="left"/>
              <w:rPr>
                <w:i/>
                <w:iCs/>
              </w:rPr>
            </w:pPr>
          </w:p>
          <w:p w14:paraId="7C49C9E4" w14:textId="77777777" w:rsidR="00BC51DD" w:rsidRPr="0026420A" w:rsidRDefault="00BC51DD" w:rsidP="00BC51DD">
            <w:pPr>
              <w:ind w:firstLine="0"/>
              <w:jc w:val="left"/>
              <w:rPr>
                <w:i/>
                <w:iCs/>
              </w:rPr>
            </w:pPr>
          </w:p>
          <w:p w14:paraId="5EEC5269" w14:textId="77777777" w:rsidR="00BC51DD" w:rsidRPr="0026420A" w:rsidRDefault="00BC51DD" w:rsidP="00BC51DD">
            <w:pPr>
              <w:ind w:firstLine="0"/>
              <w:jc w:val="left"/>
              <w:rPr>
                <w:i/>
                <w:iCs/>
              </w:rPr>
            </w:pPr>
          </w:p>
          <w:p w14:paraId="3CB51228" w14:textId="77777777" w:rsidR="00BC51DD" w:rsidRPr="0026420A" w:rsidRDefault="00BC51DD" w:rsidP="00BC51DD">
            <w:pPr>
              <w:ind w:firstLine="0"/>
              <w:jc w:val="left"/>
              <w:rPr>
                <w:i/>
                <w:iCs/>
              </w:rPr>
            </w:pPr>
          </w:p>
          <w:p w14:paraId="37C24D82" w14:textId="77777777" w:rsidR="00BC51DD" w:rsidRPr="0026420A" w:rsidRDefault="00BC51DD" w:rsidP="00BC51DD">
            <w:pPr>
              <w:ind w:firstLine="0"/>
              <w:jc w:val="left"/>
              <w:rPr>
                <w:i/>
                <w:iCs/>
              </w:rPr>
            </w:pPr>
          </w:p>
          <w:p w14:paraId="3324902A" w14:textId="77777777" w:rsidR="00BC51DD" w:rsidRPr="0026420A" w:rsidRDefault="00BC51DD" w:rsidP="00BC51DD">
            <w:pPr>
              <w:ind w:firstLine="0"/>
              <w:jc w:val="left"/>
              <w:rPr>
                <w:i/>
                <w:iCs/>
              </w:rPr>
            </w:pPr>
          </w:p>
          <w:p w14:paraId="613B5A05" w14:textId="77777777" w:rsidR="00BC51DD" w:rsidRPr="0026420A" w:rsidRDefault="00BC51DD" w:rsidP="00BC51DD">
            <w:pPr>
              <w:ind w:firstLine="0"/>
              <w:jc w:val="left"/>
              <w:rPr>
                <w:i/>
                <w:iCs/>
              </w:rPr>
            </w:pPr>
          </w:p>
          <w:p w14:paraId="63054B24" w14:textId="77777777" w:rsidR="00BC51DD" w:rsidRPr="0026420A" w:rsidRDefault="00BC51DD" w:rsidP="00BC51DD">
            <w:pPr>
              <w:ind w:firstLine="0"/>
              <w:jc w:val="left"/>
              <w:rPr>
                <w:i/>
                <w:iCs/>
              </w:rPr>
            </w:pPr>
          </w:p>
          <w:p w14:paraId="6087284D" w14:textId="77777777" w:rsidR="00BC51DD" w:rsidRPr="0026420A" w:rsidRDefault="00BC51DD" w:rsidP="00BC51DD">
            <w:pPr>
              <w:ind w:firstLine="0"/>
              <w:jc w:val="left"/>
              <w:rPr>
                <w:i/>
                <w:iCs/>
              </w:rPr>
            </w:pPr>
          </w:p>
          <w:p w14:paraId="2D4056DA" w14:textId="77777777" w:rsidR="00BC51DD" w:rsidRPr="0026420A" w:rsidRDefault="00BC51DD" w:rsidP="00BC51DD">
            <w:pPr>
              <w:ind w:firstLine="0"/>
              <w:jc w:val="left"/>
              <w:rPr>
                <w:i/>
                <w:iCs/>
              </w:rPr>
            </w:pPr>
          </w:p>
          <w:p w14:paraId="0633EA13" w14:textId="77777777" w:rsidR="00BC51DD" w:rsidRPr="0026420A" w:rsidRDefault="00BC51DD" w:rsidP="00BC51DD">
            <w:pPr>
              <w:ind w:firstLine="0"/>
              <w:jc w:val="left"/>
              <w:rPr>
                <w:i/>
                <w:iCs/>
              </w:rPr>
            </w:pPr>
          </w:p>
          <w:p w14:paraId="2EE29F6C" w14:textId="77777777" w:rsidR="00BC51DD" w:rsidRPr="0026420A" w:rsidRDefault="00BC51DD" w:rsidP="00BC51DD">
            <w:pPr>
              <w:ind w:firstLine="0"/>
              <w:jc w:val="left"/>
              <w:rPr>
                <w:i/>
                <w:iCs/>
              </w:rPr>
            </w:pPr>
          </w:p>
          <w:p w14:paraId="0EA2CB2E" w14:textId="77777777" w:rsidR="00BC51DD" w:rsidRPr="0026420A" w:rsidRDefault="00BC51DD" w:rsidP="00BC51DD">
            <w:pPr>
              <w:ind w:firstLine="0"/>
              <w:jc w:val="left"/>
              <w:rPr>
                <w:i/>
                <w:iCs/>
              </w:rPr>
            </w:pPr>
          </w:p>
          <w:p w14:paraId="0F32EF2D" w14:textId="77777777" w:rsidR="00BC51DD" w:rsidRPr="0026420A" w:rsidRDefault="00BC51DD" w:rsidP="00BC51DD">
            <w:pPr>
              <w:ind w:firstLine="0"/>
              <w:jc w:val="left"/>
              <w:rPr>
                <w:i/>
                <w:iCs/>
              </w:rPr>
            </w:pPr>
          </w:p>
          <w:p w14:paraId="28194E22" w14:textId="77777777" w:rsidR="00BC51DD" w:rsidRPr="0026420A" w:rsidRDefault="00BC51DD" w:rsidP="00BC51DD">
            <w:pPr>
              <w:ind w:firstLine="0"/>
              <w:jc w:val="left"/>
              <w:rPr>
                <w:i/>
                <w:iCs/>
              </w:rPr>
            </w:pPr>
          </w:p>
          <w:p w14:paraId="7214B38D" w14:textId="77777777" w:rsidR="00BC51DD" w:rsidRPr="0026420A" w:rsidRDefault="00BC51DD" w:rsidP="00BC51DD">
            <w:pPr>
              <w:ind w:firstLine="0"/>
              <w:jc w:val="left"/>
              <w:rPr>
                <w:i/>
                <w:iCs/>
              </w:rPr>
            </w:pPr>
          </w:p>
          <w:p w14:paraId="74486D10" w14:textId="77777777" w:rsidR="00BC51DD" w:rsidRPr="0026420A" w:rsidRDefault="00BC51DD" w:rsidP="00BC51DD">
            <w:pPr>
              <w:ind w:firstLine="0"/>
              <w:jc w:val="left"/>
              <w:rPr>
                <w:i/>
                <w:iCs/>
              </w:rPr>
            </w:pPr>
          </w:p>
          <w:p w14:paraId="31BEED2F" w14:textId="77777777" w:rsidR="00BC51DD" w:rsidRPr="0026420A" w:rsidRDefault="00BC51DD" w:rsidP="00BC51DD">
            <w:pPr>
              <w:ind w:firstLine="0"/>
              <w:jc w:val="left"/>
              <w:rPr>
                <w:i/>
                <w:iCs/>
              </w:rPr>
            </w:pPr>
          </w:p>
          <w:p w14:paraId="19EB97E0" w14:textId="77777777" w:rsidR="00BC51DD" w:rsidRPr="0026420A" w:rsidRDefault="00BC51DD" w:rsidP="00BC51DD">
            <w:pPr>
              <w:ind w:firstLine="0"/>
              <w:jc w:val="left"/>
              <w:rPr>
                <w:i/>
                <w:iCs/>
              </w:rPr>
            </w:pPr>
          </w:p>
          <w:p w14:paraId="6B122610" w14:textId="77777777" w:rsidR="00BC51DD" w:rsidRPr="0026420A" w:rsidRDefault="00BC51DD" w:rsidP="00BC51DD">
            <w:pPr>
              <w:ind w:firstLine="0"/>
              <w:jc w:val="left"/>
              <w:rPr>
                <w:i/>
                <w:iCs/>
              </w:rPr>
            </w:pPr>
          </w:p>
          <w:p w14:paraId="2AA96D79" w14:textId="77777777" w:rsidR="00BC51DD" w:rsidRPr="0026420A" w:rsidRDefault="00BC51DD" w:rsidP="00BC51DD">
            <w:pPr>
              <w:ind w:firstLine="0"/>
              <w:jc w:val="left"/>
              <w:rPr>
                <w:i/>
                <w:iCs/>
              </w:rPr>
            </w:pPr>
          </w:p>
          <w:p w14:paraId="63EFC411" w14:textId="77777777" w:rsidR="00BC51DD" w:rsidRPr="0026420A" w:rsidRDefault="00BC51DD" w:rsidP="00BC51DD">
            <w:pPr>
              <w:ind w:firstLine="0"/>
              <w:jc w:val="left"/>
              <w:rPr>
                <w:i/>
                <w:iCs/>
              </w:rPr>
            </w:pPr>
          </w:p>
          <w:p w14:paraId="592C5038" w14:textId="77777777" w:rsidR="00BC51DD" w:rsidRPr="0026420A" w:rsidRDefault="00BC51DD" w:rsidP="00BC51DD">
            <w:pPr>
              <w:ind w:firstLine="0"/>
              <w:jc w:val="left"/>
              <w:rPr>
                <w:i/>
                <w:iCs/>
              </w:rPr>
            </w:pPr>
          </w:p>
          <w:p w14:paraId="2095915B" w14:textId="77777777" w:rsidR="00BC51DD" w:rsidRPr="0026420A" w:rsidRDefault="00BC51DD" w:rsidP="00BC51DD">
            <w:pPr>
              <w:ind w:firstLine="0"/>
              <w:jc w:val="left"/>
              <w:rPr>
                <w:i/>
                <w:iCs/>
              </w:rPr>
            </w:pPr>
          </w:p>
          <w:p w14:paraId="29B927F1" w14:textId="77777777" w:rsidR="00BC51DD" w:rsidRPr="0026420A" w:rsidRDefault="00BC51DD" w:rsidP="00BC51DD">
            <w:pPr>
              <w:ind w:firstLine="0"/>
              <w:jc w:val="left"/>
              <w:rPr>
                <w:i/>
                <w:iCs/>
              </w:rPr>
            </w:pPr>
          </w:p>
          <w:p w14:paraId="48A8AF8D" w14:textId="77777777" w:rsidR="00BC51DD" w:rsidRPr="0026420A" w:rsidRDefault="00BC51DD" w:rsidP="00BC51DD">
            <w:pPr>
              <w:ind w:firstLine="0"/>
              <w:jc w:val="left"/>
              <w:rPr>
                <w:i/>
                <w:iCs/>
              </w:rPr>
            </w:pPr>
          </w:p>
          <w:p w14:paraId="3F69D980" w14:textId="08EEB52A" w:rsidR="00BC51DD" w:rsidRPr="0026420A" w:rsidRDefault="00BC51DD" w:rsidP="00BC51DD">
            <w:pPr>
              <w:ind w:firstLine="0"/>
              <w:jc w:val="left"/>
              <w:rPr>
                <w:b/>
                <w:bCs/>
              </w:rPr>
            </w:pPr>
          </w:p>
        </w:tc>
        <w:tc>
          <w:tcPr>
            <w:tcW w:w="579" w:type="dxa"/>
            <w:tcMar>
              <w:top w:w="0" w:type="dxa"/>
              <w:left w:w="108" w:type="dxa"/>
              <w:bottom w:w="0" w:type="dxa"/>
              <w:right w:w="108" w:type="dxa"/>
            </w:tcMar>
          </w:tcPr>
          <w:p w14:paraId="5AC9D206" w14:textId="77777777" w:rsidR="00BC51DD" w:rsidRPr="0026420A" w:rsidRDefault="00BC51DD" w:rsidP="00BC51DD">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01CC4783"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rPr>
                <w:b/>
                <w:bCs/>
              </w:rPr>
            </w:pPr>
            <w:r w:rsidRPr="0026420A">
              <w:rPr>
                <w:b/>
                <w:bCs/>
              </w:rPr>
              <w:t xml:space="preserve">4.3. FATF </w:t>
            </w:r>
            <w:proofErr w:type="spellStart"/>
            <w:r w:rsidRPr="0026420A">
              <w:rPr>
                <w:b/>
                <w:bCs/>
              </w:rPr>
              <w:t>and</w:t>
            </w:r>
            <w:proofErr w:type="spellEnd"/>
            <w:r w:rsidRPr="0026420A">
              <w:rPr>
                <w:b/>
                <w:bCs/>
              </w:rPr>
              <w:t xml:space="preserve"> </w:t>
            </w:r>
            <w:proofErr w:type="spellStart"/>
            <w:r w:rsidRPr="0026420A">
              <w:rPr>
                <w:b/>
                <w:bCs/>
              </w:rPr>
              <w:t>perimeter</w:t>
            </w:r>
            <w:proofErr w:type="spellEnd"/>
            <w:r w:rsidRPr="0026420A">
              <w:rPr>
                <w:b/>
                <w:bCs/>
              </w:rPr>
              <w:t xml:space="preserve"> </w:t>
            </w:r>
            <w:proofErr w:type="spellStart"/>
            <w:r w:rsidRPr="0026420A">
              <w:rPr>
                <w:b/>
                <w:bCs/>
              </w:rPr>
              <w:t>issues</w:t>
            </w:r>
            <w:proofErr w:type="spellEnd"/>
          </w:p>
          <w:p w14:paraId="14E02217"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pPr>
            <w:proofErr w:type="spellStart"/>
            <w:r w:rsidRPr="0026420A">
              <w:t>Finalise</w:t>
            </w:r>
            <w:proofErr w:type="spellEnd"/>
            <w:r w:rsidRPr="0026420A">
              <w:t xml:space="preserve"> </w:t>
            </w:r>
            <w:proofErr w:type="spellStart"/>
            <w:r w:rsidRPr="0026420A">
              <w:t>the</w:t>
            </w:r>
            <w:proofErr w:type="spellEnd"/>
            <w:r w:rsidRPr="0026420A">
              <w:t xml:space="preserve"> </w:t>
            </w:r>
            <w:proofErr w:type="spellStart"/>
            <w:r w:rsidRPr="0026420A">
              <w:t>annexed</w:t>
            </w:r>
            <w:proofErr w:type="spellEnd"/>
            <w:r w:rsidRPr="0026420A">
              <w:t xml:space="preserve"> </w:t>
            </w:r>
            <w:proofErr w:type="spellStart"/>
            <w:r w:rsidRPr="0026420A">
              <w:t>amendments</w:t>
            </w:r>
            <w:proofErr w:type="spellEnd"/>
            <w:r w:rsidRPr="0026420A">
              <w:t xml:space="preserve"> </w:t>
            </w:r>
            <w:proofErr w:type="spellStart"/>
            <w:r w:rsidRPr="0026420A">
              <w:t>to</w:t>
            </w:r>
            <w:proofErr w:type="spellEnd"/>
            <w:r w:rsidRPr="0026420A">
              <w:t xml:space="preserve"> Law No. 308/2017 </w:t>
            </w:r>
            <w:proofErr w:type="spellStart"/>
            <w:r w:rsidRPr="0026420A">
              <w:t>so</w:t>
            </w:r>
            <w:proofErr w:type="spellEnd"/>
            <w:r w:rsidRPr="0026420A">
              <w:t xml:space="preserve"> </w:t>
            </w:r>
            <w:proofErr w:type="spellStart"/>
            <w:r w:rsidRPr="0026420A">
              <w:t>that</w:t>
            </w:r>
            <w:proofErr w:type="spellEnd"/>
            <w:r w:rsidRPr="0026420A">
              <w:t xml:space="preserve"> </w:t>
            </w:r>
            <w:proofErr w:type="spellStart"/>
            <w:r w:rsidRPr="0026420A">
              <w:t>CASPs</w:t>
            </w:r>
            <w:proofErr w:type="spellEnd"/>
            <w:r w:rsidRPr="0026420A">
              <w:t xml:space="preserve"> are </w:t>
            </w:r>
            <w:proofErr w:type="spellStart"/>
            <w:r w:rsidRPr="0026420A">
              <w:t>fully</w:t>
            </w:r>
            <w:proofErr w:type="spellEnd"/>
            <w:r w:rsidRPr="0026420A">
              <w:t xml:space="preserve"> </w:t>
            </w:r>
            <w:proofErr w:type="spellStart"/>
            <w:r w:rsidRPr="0026420A">
              <w:t>embedded</w:t>
            </w:r>
            <w:proofErr w:type="spellEnd"/>
            <w:r w:rsidRPr="0026420A">
              <w:t xml:space="preserve"> in </w:t>
            </w:r>
            <w:proofErr w:type="spellStart"/>
            <w:r w:rsidRPr="0026420A">
              <w:t>the</w:t>
            </w:r>
            <w:proofErr w:type="spellEnd"/>
            <w:r w:rsidRPr="0026420A">
              <w:t xml:space="preserve"> Moldovan AML/CFT </w:t>
            </w:r>
            <w:proofErr w:type="spellStart"/>
            <w:r w:rsidRPr="0026420A">
              <w:t>framework</w:t>
            </w:r>
            <w:proofErr w:type="spellEnd"/>
            <w:r w:rsidRPr="0026420A">
              <w:t xml:space="preserve"> </w:t>
            </w:r>
            <w:proofErr w:type="spellStart"/>
            <w:r w:rsidRPr="0026420A">
              <w:t>and</w:t>
            </w:r>
            <w:proofErr w:type="spellEnd"/>
            <w:r w:rsidRPr="0026420A">
              <w:t xml:space="preserve"> </w:t>
            </w:r>
            <w:proofErr w:type="spellStart"/>
            <w:r w:rsidRPr="0026420A">
              <w:t>the</w:t>
            </w:r>
            <w:proofErr w:type="spellEnd"/>
            <w:r w:rsidRPr="0026420A">
              <w:t xml:space="preserve"> </w:t>
            </w:r>
            <w:proofErr w:type="spellStart"/>
            <w:r w:rsidRPr="0026420A">
              <w:t>current</w:t>
            </w:r>
            <w:proofErr w:type="spellEnd"/>
            <w:r w:rsidRPr="0026420A">
              <w:t xml:space="preserve"> </w:t>
            </w:r>
            <w:proofErr w:type="spellStart"/>
            <w:r w:rsidRPr="0026420A">
              <w:t>prohibition-based</w:t>
            </w:r>
            <w:proofErr w:type="spellEnd"/>
            <w:r w:rsidRPr="0026420A">
              <w:t xml:space="preserve"> </w:t>
            </w:r>
            <w:proofErr w:type="spellStart"/>
            <w:r w:rsidRPr="0026420A">
              <w:t>approach</w:t>
            </w:r>
            <w:proofErr w:type="spellEnd"/>
            <w:r w:rsidRPr="0026420A">
              <w:t xml:space="preserve"> </w:t>
            </w:r>
            <w:proofErr w:type="spellStart"/>
            <w:r w:rsidRPr="0026420A">
              <w:t>is</w:t>
            </w:r>
            <w:proofErr w:type="spellEnd"/>
            <w:r w:rsidRPr="0026420A">
              <w:t xml:space="preserve"> </w:t>
            </w:r>
            <w:proofErr w:type="spellStart"/>
            <w:r w:rsidRPr="0026420A">
              <w:t>clearly</w:t>
            </w:r>
            <w:proofErr w:type="spellEnd"/>
            <w:r w:rsidRPr="0026420A">
              <w:t xml:space="preserve"> </w:t>
            </w:r>
            <w:proofErr w:type="spellStart"/>
            <w:r w:rsidRPr="0026420A">
              <w:t>replaced</w:t>
            </w:r>
            <w:proofErr w:type="spellEnd"/>
            <w:r w:rsidRPr="0026420A">
              <w:t xml:space="preserve"> </w:t>
            </w:r>
            <w:proofErr w:type="spellStart"/>
            <w:r w:rsidRPr="0026420A">
              <w:t>by</w:t>
            </w:r>
            <w:proofErr w:type="spellEnd"/>
            <w:r w:rsidRPr="0026420A">
              <w:t xml:space="preserve"> a </w:t>
            </w:r>
            <w:proofErr w:type="spellStart"/>
            <w:r w:rsidRPr="0026420A">
              <w:t>regulated</w:t>
            </w:r>
            <w:proofErr w:type="spellEnd"/>
            <w:r w:rsidRPr="0026420A">
              <w:t xml:space="preserve"> </w:t>
            </w:r>
            <w:proofErr w:type="spellStart"/>
            <w:r w:rsidRPr="0026420A">
              <w:t>and</w:t>
            </w:r>
            <w:proofErr w:type="spellEnd"/>
            <w:r w:rsidRPr="0026420A">
              <w:t xml:space="preserve"> </w:t>
            </w:r>
            <w:proofErr w:type="spellStart"/>
            <w:r w:rsidRPr="0026420A">
              <w:t>risk-based</w:t>
            </w:r>
            <w:proofErr w:type="spellEnd"/>
            <w:r w:rsidRPr="0026420A">
              <w:t xml:space="preserve"> model.</w:t>
            </w:r>
          </w:p>
          <w:p w14:paraId="75889A5B"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pPr>
            <w:r w:rsidRPr="0026420A">
              <w:t xml:space="preserve">Adopt </w:t>
            </w:r>
            <w:proofErr w:type="spellStart"/>
            <w:r w:rsidRPr="0026420A">
              <w:t>detailed</w:t>
            </w:r>
            <w:proofErr w:type="spellEnd"/>
            <w:r w:rsidRPr="0026420A">
              <w:t xml:space="preserve"> </w:t>
            </w:r>
            <w:proofErr w:type="spellStart"/>
            <w:r w:rsidRPr="0026420A">
              <w:t>secondary</w:t>
            </w:r>
            <w:proofErr w:type="spellEnd"/>
            <w:r w:rsidRPr="0026420A">
              <w:t xml:space="preserve"> AML/CFT </w:t>
            </w:r>
            <w:proofErr w:type="spellStart"/>
            <w:r w:rsidRPr="0026420A">
              <w:t>rules</w:t>
            </w:r>
            <w:proofErr w:type="spellEnd"/>
            <w:r w:rsidRPr="0026420A">
              <w:t xml:space="preserve"> on </w:t>
            </w:r>
            <w:proofErr w:type="spellStart"/>
            <w:r w:rsidRPr="0026420A">
              <w:t>travel</w:t>
            </w:r>
            <w:proofErr w:type="spellEnd"/>
            <w:r w:rsidRPr="0026420A">
              <w:t xml:space="preserve"> </w:t>
            </w:r>
            <w:proofErr w:type="spellStart"/>
            <w:r w:rsidRPr="0026420A">
              <w:t>rule</w:t>
            </w:r>
            <w:proofErr w:type="spellEnd"/>
            <w:r w:rsidRPr="0026420A">
              <w:t xml:space="preserve"> </w:t>
            </w:r>
            <w:proofErr w:type="spellStart"/>
            <w:r w:rsidRPr="0026420A">
              <w:t>implementation</w:t>
            </w:r>
            <w:proofErr w:type="spellEnd"/>
            <w:r w:rsidRPr="0026420A">
              <w:t xml:space="preserve">, </w:t>
            </w:r>
            <w:proofErr w:type="spellStart"/>
            <w:r w:rsidRPr="0026420A">
              <w:t>suspicious</w:t>
            </w:r>
            <w:proofErr w:type="spellEnd"/>
            <w:r w:rsidRPr="0026420A">
              <w:t xml:space="preserve"> </w:t>
            </w:r>
            <w:proofErr w:type="spellStart"/>
            <w:r w:rsidRPr="0026420A">
              <w:t>transaction</w:t>
            </w:r>
            <w:proofErr w:type="spellEnd"/>
            <w:r w:rsidRPr="0026420A">
              <w:t xml:space="preserve"> </w:t>
            </w:r>
            <w:proofErr w:type="spellStart"/>
            <w:r w:rsidRPr="0026420A">
              <w:t>reporting</w:t>
            </w:r>
            <w:proofErr w:type="spellEnd"/>
            <w:r w:rsidRPr="0026420A">
              <w:t xml:space="preserve">, </w:t>
            </w:r>
            <w:proofErr w:type="spellStart"/>
            <w:r w:rsidRPr="0026420A">
              <w:t>beneficial</w:t>
            </w:r>
            <w:proofErr w:type="spellEnd"/>
            <w:r w:rsidRPr="0026420A">
              <w:t xml:space="preserve"> </w:t>
            </w:r>
            <w:proofErr w:type="spellStart"/>
            <w:r w:rsidRPr="0026420A">
              <w:t>ownership</w:t>
            </w:r>
            <w:proofErr w:type="spellEnd"/>
            <w:r w:rsidRPr="0026420A">
              <w:t xml:space="preserve">, </w:t>
            </w:r>
            <w:proofErr w:type="spellStart"/>
            <w:r w:rsidRPr="0026420A">
              <w:t>enhanced</w:t>
            </w:r>
            <w:proofErr w:type="spellEnd"/>
            <w:r w:rsidRPr="0026420A">
              <w:t xml:space="preserve"> </w:t>
            </w:r>
            <w:proofErr w:type="spellStart"/>
            <w:r w:rsidRPr="0026420A">
              <w:t>due</w:t>
            </w:r>
            <w:proofErr w:type="spellEnd"/>
            <w:r w:rsidRPr="0026420A">
              <w:t xml:space="preserve"> </w:t>
            </w:r>
            <w:proofErr w:type="spellStart"/>
            <w:r w:rsidRPr="0026420A">
              <w:t>diligence</w:t>
            </w:r>
            <w:proofErr w:type="spellEnd"/>
            <w:r w:rsidRPr="0026420A">
              <w:t xml:space="preserve">, </w:t>
            </w:r>
            <w:proofErr w:type="spellStart"/>
            <w:r w:rsidRPr="0026420A">
              <w:t>high-risk</w:t>
            </w:r>
            <w:proofErr w:type="spellEnd"/>
            <w:r w:rsidRPr="0026420A">
              <w:t xml:space="preserve"> </w:t>
            </w:r>
            <w:proofErr w:type="spellStart"/>
            <w:r w:rsidRPr="0026420A">
              <w:t>jurisdictions</w:t>
            </w:r>
            <w:proofErr w:type="spellEnd"/>
            <w:r w:rsidRPr="0026420A">
              <w:t xml:space="preserve"> </w:t>
            </w:r>
            <w:proofErr w:type="spellStart"/>
            <w:r w:rsidRPr="0026420A">
              <w:t>and</w:t>
            </w:r>
            <w:proofErr w:type="spellEnd"/>
            <w:r w:rsidRPr="0026420A">
              <w:t xml:space="preserve"> </w:t>
            </w:r>
            <w:proofErr w:type="spellStart"/>
            <w:r w:rsidRPr="0026420A">
              <w:t>sanctions</w:t>
            </w:r>
            <w:proofErr w:type="spellEnd"/>
            <w:r w:rsidRPr="0026420A">
              <w:t xml:space="preserve"> for AML/CFT </w:t>
            </w:r>
            <w:proofErr w:type="spellStart"/>
            <w:r w:rsidRPr="0026420A">
              <w:t>failures</w:t>
            </w:r>
            <w:proofErr w:type="spellEnd"/>
            <w:r w:rsidRPr="0026420A">
              <w:t xml:space="preserve"> </w:t>
            </w:r>
            <w:proofErr w:type="spellStart"/>
            <w:r w:rsidRPr="0026420A">
              <w:t>by</w:t>
            </w:r>
            <w:proofErr w:type="spellEnd"/>
            <w:r w:rsidRPr="0026420A">
              <w:t xml:space="preserve"> </w:t>
            </w:r>
            <w:proofErr w:type="spellStart"/>
            <w:r w:rsidRPr="0026420A">
              <w:t>CASPs</w:t>
            </w:r>
            <w:proofErr w:type="spellEnd"/>
            <w:r w:rsidRPr="0026420A">
              <w:t xml:space="preserve"> </w:t>
            </w:r>
            <w:proofErr w:type="spellStart"/>
            <w:r w:rsidRPr="0026420A">
              <w:t>and</w:t>
            </w:r>
            <w:proofErr w:type="spellEnd"/>
            <w:r w:rsidRPr="0026420A">
              <w:t xml:space="preserve"> </w:t>
            </w:r>
            <w:proofErr w:type="spellStart"/>
            <w:r w:rsidRPr="0026420A">
              <w:t>notifying</w:t>
            </w:r>
            <w:proofErr w:type="spellEnd"/>
            <w:r w:rsidRPr="0026420A">
              <w:t xml:space="preserve"> </w:t>
            </w:r>
            <w:proofErr w:type="spellStart"/>
            <w:r w:rsidRPr="0026420A">
              <w:t>entities</w:t>
            </w:r>
            <w:proofErr w:type="spellEnd"/>
            <w:r w:rsidRPr="0026420A">
              <w:t>.</w:t>
            </w:r>
          </w:p>
          <w:p w14:paraId="14968946"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pPr>
            <w:proofErr w:type="spellStart"/>
            <w:r w:rsidRPr="0026420A">
              <w:t>Clarify</w:t>
            </w:r>
            <w:proofErr w:type="spellEnd"/>
            <w:r w:rsidRPr="0026420A">
              <w:t xml:space="preserve"> in </w:t>
            </w:r>
            <w:proofErr w:type="spellStart"/>
            <w:r w:rsidRPr="0026420A">
              <w:t>guidance</w:t>
            </w:r>
            <w:proofErr w:type="spellEnd"/>
            <w:r w:rsidRPr="0026420A">
              <w:t xml:space="preserve"> </w:t>
            </w:r>
            <w:proofErr w:type="spellStart"/>
            <w:r w:rsidRPr="0026420A">
              <w:t>and</w:t>
            </w:r>
            <w:proofErr w:type="spellEnd"/>
            <w:r w:rsidRPr="0026420A">
              <w:t xml:space="preserve"> </w:t>
            </w:r>
            <w:proofErr w:type="spellStart"/>
            <w:r w:rsidRPr="0026420A">
              <w:t>enforcement</w:t>
            </w:r>
            <w:proofErr w:type="spellEnd"/>
            <w:r w:rsidRPr="0026420A">
              <w:t xml:space="preserve"> practice </w:t>
            </w:r>
            <w:proofErr w:type="spellStart"/>
            <w:r w:rsidRPr="0026420A">
              <w:t>that</w:t>
            </w:r>
            <w:proofErr w:type="spellEnd"/>
            <w:r w:rsidRPr="0026420A">
              <w:t xml:space="preserve"> </w:t>
            </w:r>
            <w:proofErr w:type="spellStart"/>
            <w:r w:rsidRPr="0026420A">
              <w:t>the</w:t>
            </w:r>
            <w:proofErr w:type="spellEnd"/>
            <w:r w:rsidRPr="0026420A">
              <w:t xml:space="preserve"> sole-</w:t>
            </w:r>
            <w:proofErr w:type="spellStart"/>
            <w:r w:rsidRPr="0026420A">
              <w:t>initiative</w:t>
            </w:r>
            <w:proofErr w:type="spellEnd"/>
            <w:r w:rsidRPr="0026420A">
              <w:t xml:space="preserve"> / reverse-</w:t>
            </w:r>
            <w:proofErr w:type="spellStart"/>
            <w:r w:rsidRPr="0026420A">
              <w:t>solicitation</w:t>
            </w:r>
            <w:proofErr w:type="spellEnd"/>
            <w:r w:rsidRPr="0026420A">
              <w:t xml:space="preserve"> </w:t>
            </w:r>
            <w:proofErr w:type="spellStart"/>
            <w:r w:rsidRPr="0026420A">
              <w:t>rule</w:t>
            </w:r>
            <w:proofErr w:type="spellEnd"/>
            <w:r w:rsidRPr="0026420A">
              <w:t xml:space="preserve"> </w:t>
            </w:r>
            <w:proofErr w:type="spellStart"/>
            <w:r w:rsidRPr="0026420A">
              <w:t>is</w:t>
            </w:r>
            <w:proofErr w:type="spellEnd"/>
            <w:r w:rsidRPr="0026420A">
              <w:t xml:space="preserve"> </w:t>
            </w:r>
            <w:proofErr w:type="spellStart"/>
            <w:r w:rsidRPr="0026420A">
              <w:t>narrow</w:t>
            </w:r>
            <w:proofErr w:type="spellEnd"/>
            <w:r w:rsidRPr="0026420A">
              <w:t xml:space="preserve"> </w:t>
            </w:r>
            <w:proofErr w:type="spellStart"/>
            <w:r w:rsidRPr="0026420A">
              <w:t>and</w:t>
            </w:r>
            <w:proofErr w:type="spellEnd"/>
            <w:r w:rsidRPr="0026420A">
              <w:t xml:space="preserve"> </w:t>
            </w:r>
            <w:proofErr w:type="spellStart"/>
            <w:r w:rsidRPr="0026420A">
              <w:t>cannot</w:t>
            </w:r>
            <w:proofErr w:type="spellEnd"/>
            <w:r w:rsidRPr="0026420A">
              <w:t xml:space="preserve"> </w:t>
            </w:r>
            <w:proofErr w:type="spellStart"/>
            <w:r w:rsidRPr="0026420A">
              <w:t>be</w:t>
            </w:r>
            <w:proofErr w:type="spellEnd"/>
            <w:r w:rsidRPr="0026420A">
              <w:t xml:space="preserve"> </w:t>
            </w:r>
            <w:proofErr w:type="spellStart"/>
            <w:r w:rsidRPr="0026420A">
              <w:t>circumvented</w:t>
            </w:r>
            <w:proofErr w:type="spellEnd"/>
            <w:r w:rsidRPr="0026420A">
              <w:t xml:space="preserve"> </w:t>
            </w:r>
            <w:proofErr w:type="spellStart"/>
            <w:r w:rsidRPr="0026420A">
              <w:t>through</w:t>
            </w:r>
            <w:proofErr w:type="spellEnd"/>
            <w:r w:rsidRPr="0026420A">
              <w:t xml:space="preserve"> </w:t>
            </w:r>
            <w:proofErr w:type="spellStart"/>
            <w:r w:rsidRPr="0026420A">
              <w:t>disclaimers</w:t>
            </w:r>
            <w:proofErr w:type="spellEnd"/>
            <w:r w:rsidRPr="0026420A">
              <w:t xml:space="preserve"> or indirect marketing.</w:t>
            </w:r>
          </w:p>
          <w:p w14:paraId="6E1D11C7"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pPr>
            <w:proofErr w:type="spellStart"/>
            <w:r w:rsidRPr="0026420A">
              <w:t>Make</w:t>
            </w:r>
            <w:proofErr w:type="spellEnd"/>
            <w:r w:rsidRPr="0026420A">
              <w:t xml:space="preserve"> </w:t>
            </w:r>
            <w:proofErr w:type="spellStart"/>
            <w:r w:rsidRPr="0026420A">
              <w:t>perimeter</w:t>
            </w:r>
            <w:proofErr w:type="spellEnd"/>
            <w:r w:rsidRPr="0026420A">
              <w:t xml:space="preserve"> </w:t>
            </w:r>
            <w:proofErr w:type="spellStart"/>
            <w:r w:rsidRPr="0026420A">
              <w:t>enforcement</w:t>
            </w:r>
            <w:proofErr w:type="spellEnd"/>
            <w:r w:rsidRPr="0026420A">
              <w:t xml:space="preserve"> </w:t>
            </w:r>
            <w:proofErr w:type="spellStart"/>
            <w:r w:rsidRPr="0026420A">
              <w:t>against</w:t>
            </w:r>
            <w:proofErr w:type="spellEnd"/>
            <w:r w:rsidRPr="0026420A">
              <w:t xml:space="preserve"> </w:t>
            </w:r>
            <w:proofErr w:type="spellStart"/>
            <w:r w:rsidRPr="0026420A">
              <w:t>unauthorised</w:t>
            </w:r>
            <w:proofErr w:type="spellEnd"/>
            <w:r w:rsidRPr="0026420A">
              <w:t xml:space="preserve"> domestic </w:t>
            </w:r>
            <w:proofErr w:type="spellStart"/>
            <w:r w:rsidRPr="0026420A">
              <w:t>and</w:t>
            </w:r>
            <w:proofErr w:type="spellEnd"/>
            <w:r w:rsidRPr="0026420A">
              <w:t xml:space="preserve"> </w:t>
            </w:r>
            <w:proofErr w:type="spellStart"/>
            <w:r w:rsidRPr="0026420A">
              <w:t>foreign</w:t>
            </w:r>
            <w:proofErr w:type="spellEnd"/>
            <w:r w:rsidRPr="0026420A">
              <w:t xml:space="preserve"> </w:t>
            </w:r>
            <w:proofErr w:type="spellStart"/>
            <w:r w:rsidRPr="0026420A">
              <w:t>providers</w:t>
            </w:r>
            <w:proofErr w:type="spellEnd"/>
            <w:r w:rsidRPr="0026420A">
              <w:t xml:space="preserve"> an </w:t>
            </w:r>
            <w:proofErr w:type="spellStart"/>
            <w:r w:rsidRPr="0026420A">
              <w:t>early</w:t>
            </w:r>
            <w:proofErr w:type="spellEnd"/>
            <w:r w:rsidRPr="0026420A">
              <w:t xml:space="preserve"> </w:t>
            </w:r>
            <w:proofErr w:type="spellStart"/>
            <w:r w:rsidRPr="0026420A">
              <w:t>supervisory</w:t>
            </w:r>
            <w:proofErr w:type="spellEnd"/>
            <w:r w:rsidRPr="0026420A">
              <w:t xml:space="preserve"> </w:t>
            </w:r>
            <w:proofErr w:type="spellStart"/>
            <w:r w:rsidRPr="0026420A">
              <w:t>priority</w:t>
            </w:r>
            <w:proofErr w:type="spellEnd"/>
            <w:r w:rsidRPr="0026420A">
              <w:t xml:space="preserve">, </w:t>
            </w:r>
            <w:proofErr w:type="spellStart"/>
            <w:r w:rsidRPr="0026420A">
              <w:t>using</w:t>
            </w:r>
            <w:proofErr w:type="spellEnd"/>
            <w:r w:rsidRPr="0026420A">
              <w:t xml:space="preserve"> </w:t>
            </w:r>
            <w:proofErr w:type="spellStart"/>
            <w:r w:rsidRPr="0026420A">
              <w:t>the</w:t>
            </w:r>
            <w:proofErr w:type="spellEnd"/>
            <w:r w:rsidRPr="0026420A">
              <w:t xml:space="preserve"> non-</w:t>
            </w:r>
            <w:proofErr w:type="spellStart"/>
            <w:r w:rsidRPr="0026420A">
              <w:t>compliant</w:t>
            </w:r>
            <w:proofErr w:type="spellEnd"/>
            <w:r w:rsidRPr="0026420A">
              <w:t xml:space="preserve"> </w:t>
            </w:r>
            <w:proofErr w:type="spellStart"/>
            <w:r w:rsidRPr="0026420A">
              <w:t>entities</w:t>
            </w:r>
            <w:proofErr w:type="spellEnd"/>
          </w:p>
          <w:p w14:paraId="6C3FE6D7"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pPr>
            <w:r w:rsidRPr="0026420A">
              <w:t xml:space="preserve"> </w:t>
            </w:r>
            <w:proofErr w:type="spellStart"/>
            <w:r w:rsidRPr="0026420A">
              <w:t>register</w:t>
            </w:r>
            <w:proofErr w:type="spellEnd"/>
            <w:r w:rsidRPr="0026420A">
              <w:t xml:space="preserve"> </w:t>
            </w:r>
            <w:proofErr w:type="spellStart"/>
            <w:r w:rsidRPr="0026420A">
              <w:t>and</w:t>
            </w:r>
            <w:proofErr w:type="spellEnd"/>
            <w:r w:rsidRPr="0026420A">
              <w:t xml:space="preserve"> public </w:t>
            </w:r>
            <w:proofErr w:type="spellStart"/>
            <w:r w:rsidRPr="0026420A">
              <w:t>warnings</w:t>
            </w:r>
            <w:proofErr w:type="spellEnd"/>
            <w:r w:rsidRPr="0026420A">
              <w:t>.</w:t>
            </w:r>
          </w:p>
          <w:p w14:paraId="6A87C781"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pPr>
          </w:p>
          <w:p w14:paraId="75FD9460"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rPr>
                <w:b/>
                <w:bCs/>
                <w:i/>
                <w:iCs/>
              </w:rPr>
            </w:pPr>
            <w:r w:rsidRPr="0026420A">
              <w:rPr>
                <w:i/>
                <w:iCs/>
              </w:rPr>
              <w:t>Traducere neoficială în limba română</w:t>
            </w:r>
            <w:r w:rsidRPr="0026420A">
              <w:rPr>
                <w:b/>
                <w:bCs/>
                <w:i/>
                <w:iCs/>
              </w:rPr>
              <w:t xml:space="preserve"> </w:t>
            </w:r>
          </w:p>
          <w:p w14:paraId="1C321206"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rPr>
                <w:b/>
                <w:bCs/>
                <w:i/>
                <w:iCs/>
              </w:rPr>
            </w:pPr>
            <w:r w:rsidRPr="0026420A">
              <w:rPr>
                <w:b/>
                <w:bCs/>
                <w:i/>
                <w:iCs/>
              </w:rPr>
              <w:t>4.3. FATF și aspecte privind perimetrul de reglementare</w:t>
            </w:r>
          </w:p>
          <w:p w14:paraId="47EA406D"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rPr>
                <w:i/>
                <w:iCs/>
              </w:rPr>
            </w:pPr>
            <w:r w:rsidRPr="0026420A">
              <w:rPr>
                <w:i/>
                <w:iCs/>
              </w:rPr>
              <w:t xml:space="preserve">Finalizarea modificărilor anexate la Legea nr. 308/2017, astfel încât prestatorii de servicii de </w:t>
            </w:r>
            <w:proofErr w:type="spellStart"/>
            <w:r w:rsidRPr="0026420A">
              <w:rPr>
                <w:i/>
                <w:iCs/>
              </w:rPr>
              <w:t>criptoactive</w:t>
            </w:r>
            <w:proofErr w:type="spellEnd"/>
            <w:r w:rsidRPr="0026420A">
              <w:rPr>
                <w:i/>
                <w:iCs/>
              </w:rPr>
              <w:t xml:space="preserve"> — CASP — să fie integrați pe deplin în cadrul AML/CFT al Republicii Moldova, iar abordarea actuală bazată pe interdicție să fie în mod clar înlocuită cu un model reglementat și bazat pe risc.</w:t>
            </w:r>
          </w:p>
          <w:p w14:paraId="00B6840C"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rPr>
                <w:i/>
                <w:iCs/>
              </w:rPr>
            </w:pPr>
            <w:r w:rsidRPr="0026420A">
              <w:rPr>
                <w:i/>
                <w:iCs/>
              </w:rPr>
              <w:lastRenderedPageBreak/>
              <w:t xml:space="preserve">Adoptarea unor norme secundare AML/CFT detaliate privind implementarea regulii de transfer al informațiilor — </w:t>
            </w:r>
            <w:proofErr w:type="spellStart"/>
            <w:r w:rsidRPr="0026420A">
              <w:rPr>
                <w:i/>
                <w:iCs/>
              </w:rPr>
              <w:t>travel</w:t>
            </w:r>
            <w:proofErr w:type="spellEnd"/>
            <w:r w:rsidRPr="0026420A">
              <w:rPr>
                <w:i/>
                <w:iCs/>
              </w:rPr>
              <w:t xml:space="preserve"> </w:t>
            </w:r>
            <w:proofErr w:type="spellStart"/>
            <w:r w:rsidRPr="0026420A">
              <w:rPr>
                <w:i/>
                <w:iCs/>
              </w:rPr>
              <w:t>rule</w:t>
            </w:r>
            <w:proofErr w:type="spellEnd"/>
            <w:r w:rsidRPr="0026420A">
              <w:rPr>
                <w:i/>
                <w:iCs/>
              </w:rPr>
              <w:t xml:space="preserve"> —, raportarea tranzacțiilor suspecte, beneficiarul efectiv, măsurile de precauție sporită, jurisdicțiile cu risc ridicat și sancțiunile pentru încălcările AML/CFT comise de CASP și de entitățile care notifică.</w:t>
            </w:r>
          </w:p>
          <w:p w14:paraId="74F469CB"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rPr>
                <w:i/>
                <w:iCs/>
              </w:rPr>
            </w:pPr>
            <w:r w:rsidRPr="0026420A">
              <w:rPr>
                <w:i/>
                <w:iCs/>
              </w:rPr>
              <w:t xml:space="preserve">Clarificarea, prin ghiduri și practică de aplicare, că regula inițiativei exclusive a clientului / reverse </w:t>
            </w:r>
            <w:proofErr w:type="spellStart"/>
            <w:r w:rsidRPr="0026420A">
              <w:rPr>
                <w:i/>
                <w:iCs/>
              </w:rPr>
              <w:t>solicitation</w:t>
            </w:r>
            <w:proofErr w:type="spellEnd"/>
            <w:r w:rsidRPr="0026420A">
              <w:rPr>
                <w:i/>
                <w:iCs/>
              </w:rPr>
              <w:t xml:space="preserve"> are un caracter restrâns și nu poate fi eludată prin declarații de exonerare sau prin marketing indirect.</w:t>
            </w:r>
          </w:p>
          <w:p w14:paraId="0B8B17CF" w14:textId="5F8B7BBE" w:rsidR="00BC51DD" w:rsidRPr="0026420A" w:rsidRDefault="00BC51DD" w:rsidP="00BC51DD">
            <w:pPr>
              <w:pBdr>
                <w:top w:val="none" w:sz="4" w:space="0" w:color="000000"/>
                <w:left w:val="none" w:sz="4" w:space="0" w:color="000000"/>
                <w:bottom w:val="none" w:sz="4" w:space="0" w:color="000000"/>
                <w:right w:val="none" w:sz="4" w:space="0" w:color="000000"/>
              </w:pBdr>
              <w:ind w:firstLine="0"/>
            </w:pPr>
            <w:r w:rsidRPr="0026420A">
              <w:rPr>
                <w:i/>
                <w:iCs/>
              </w:rPr>
              <w:t>Stabilirea aplicării perimetrului de reglementare față de prestatorii neautorizați, interni și străini, ca prioritate timpurie de supraveghere, prin utilizarea registrului entităților neconforme și a avertismentelor publice.</w:t>
            </w:r>
          </w:p>
        </w:tc>
        <w:tc>
          <w:tcPr>
            <w:tcW w:w="5281" w:type="dxa"/>
            <w:tcMar>
              <w:top w:w="0" w:type="dxa"/>
              <w:left w:w="108" w:type="dxa"/>
              <w:bottom w:w="0" w:type="dxa"/>
              <w:right w:w="108" w:type="dxa"/>
            </w:tcMar>
          </w:tcPr>
          <w:p w14:paraId="629D5FB1"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rPr>
                <w:b/>
                <w:bCs/>
              </w:rPr>
            </w:pPr>
            <w:r w:rsidRPr="0026420A">
              <w:rPr>
                <w:b/>
                <w:bCs/>
              </w:rPr>
              <w:lastRenderedPageBreak/>
              <w:t>Se ia act.</w:t>
            </w:r>
          </w:p>
          <w:p w14:paraId="4A6CF220"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pPr>
            <w:r w:rsidRPr="0026420A">
              <w:t xml:space="preserve">Integrarea deplină a CASP în cadrul AML/CFT urmează să fie realizată prin proiectul de lege separat elaborat de SPCSB, în contextul alinierii cadrului național la cel de-al șaselea pachet legislativ al Uniunii Europene în domeniul prevenirii și combaterii spălării banilor și finanțării terorismului (Directiva (UE) 2024/1640), Regulamentul (UE) 2023/1113 privind informațiile care însoțesc transferurile de fonduri și de anumite </w:t>
            </w:r>
            <w:proofErr w:type="spellStart"/>
            <w:r w:rsidRPr="0026420A">
              <w:t>criptoactive</w:t>
            </w:r>
            <w:proofErr w:type="spellEnd"/>
            <w:r w:rsidRPr="0026420A">
              <w:t xml:space="preserve"> și standardele internaționale FATF/GAFI. </w:t>
            </w:r>
          </w:p>
          <w:p w14:paraId="721D1BB1" w14:textId="509193E2" w:rsidR="00BC51DD" w:rsidRPr="0026420A" w:rsidRDefault="00BC51DD" w:rsidP="00BC51DD">
            <w:pPr>
              <w:pBdr>
                <w:top w:val="none" w:sz="4" w:space="0" w:color="000000"/>
                <w:left w:val="none" w:sz="4" w:space="0" w:color="000000"/>
                <w:bottom w:val="none" w:sz="4" w:space="0" w:color="000000"/>
                <w:right w:val="none" w:sz="4" w:space="0" w:color="000000"/>
              </w:pBdr>
              <w:ind w:firstLine="0"/>
            </w:pPr>
            <w:r w:rsidRPr="0026420A">
              <w:t xml:space="preserve">Pentru evitarea suprapunerilor legislative, modificările aferente Legii nr. 308/2017 nu se includ în anexa proiectului privind piața </w:t>
            </w:r>
            <w:proofErr w:type="spellStart"/>
            <w:r w:rsidRPr="0026420A">
              <w:t>criptoactivelor</w:t>
            </w:r>
            <w:proofErr w:type="spellEnd"/>
            <w:r w:rsidRPr="0026420A">
              <w:t xml:space="preserve">, având în vedere că noul cadru AML/CFT va reglementa distinct </w:t>
            </w:r>
            <w:proofErr w:type="spellStart"/>
            <w:r w:rsidRPr="0026420A">
              <w:t>travel</w:t>
            </w:r>
            <w:proofErr w:type="spellEnd"/>
            <w:r w:rsidRPr="0026420A">
              <w:t xml:space="preserve"> </w:t>
            </w:r>
            <w:proofErr w:type="spellStart"/>
            <w:r w:rsidRPr="0026420A">
              <w:t>rule</w:t>
            </w:r>
            <w:proofErr w:type="spellEnd"/>
            <w:r w:rsidRPr="0026420A">
              <w:t xml:space="preserve">, raportarea tranzacțiilor suspecte, beneficiarul efectiv, precauția sporită, jurisdicțiile cu risc ridicat și sancțiunile AML/CFT aplicabile CASP. Aspectele privind reverse </w:t>
            </w:r>
            <w:proofErr w:type="spellStart"/>
            <w:r w:rsidRPr="0026420A">
              <w:t>solicitation</w:t>
            </w:r>
            <w:proofErr w:type="spellEnd"/>
            <w:r w:rsidRPr="0026420A">
              <w:t>, entitățile neautorizate, registrul entităților neconforme și avertismentele publice vor fi dezvoltate prin acte secundare, ghiduri și practică de supraveghere.</w:t>
            </w:r>
          </w:p>
        </w:tc>
      </w:tr>
      <w:tr w:rsidR="00BC51DD" w:rsidRPr="0026420A" w14:paraId="07ADCAE8" w14:textId="77777777" w:rsidTr="001F4857">
        <w:trPr>
          <w:trHeight w:val="615"/>
        </w:trPr>
        <w:tc>
          <w:tcPr>
            <w:tcW w:w="2206" w:type="dxa"/>
            <w:vMerge/>
            <w:tcMar>
              <w:top w:w="0" w:type="dxa"/>
              <w:left w:w="108" w:type="dxa"/>
              <w:bottom w:w="0" w:type="dxa"/>
              <w:right w:w="108" w:type="dxa"/>
            </w:tcMar>
          </w:tcPr>
          <w:p w14:paraId="12F8252F" w14:textId="77777777" w:rsidR="00BC51DD" w:rsidRPr="0026420A" w:rsidRDefault="00BC51DD" w:rsidP="00BC51DD">
            <w:pPr>
              <w:ind w:firstLine="0"/>
              <w:jc w:val="left"/>
              <w:rPr>
                <w:b/>
                <w:bCs/>
              </w:rPr>
            </w:pPr>
          </w:p>
        </w:tc>
        <w:tc>
          <w:tcPr>
            <w:tcW w:w="579" w:type="dxa"/>
            <w:tcMar>
              <w:top w:w="0" w:type="dxa"/>
              <w:left w:w="108" w:type="dxa"/>
              <w:bottom w:w="0" w:type="dxa"/>
              <w:right w:w="108" w:type="dxa"/>
            </w:tcMar>
          </w:tcPr>
          <w:p w14:paraId="54B738FD" w14:textId="77777777" w:rsidR="00BC51DD" w:rsidRPr="0026420A" w:rsidRDefault="00BC51DD" w:rsidP="00BC51DD">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560C73DB"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rPr>
                <w:b/>
                <w:bCs/>
              </w:rPr>
            </w:pPr>
            <w:r w:rsidRPr="0026420A">
              <w:rPr>
                <w:b/>
                <w:bCs/>
              </w:rPr>
              <w:t xml:space="preserve">4.4. </w:t>
            </w:r>
            <w:proofErr w:type="spellStart"/>
            <w:r w:rsidRPr="0026420A">
              <w:rPr>
                <w:b/>
                <w:bCs/>
              </w:rPr>
              <w:t>Sanctions</w:t>
            </w:r>
            <w:proofErr w:type="spellEnd"/>
            <w:r w:rsidRPr="0026420A">
              <w:rPr>
                <w:b/>
                <w:bCs/>
              </w:rPr>
              <w:t xml:space="preserve"> </w:t>
            </w:r>
            <w:proofErr w:type="spellStart"/>
            <w:r w:rsidRPr="0026420A">
              <w:rPr>
                <w:b/>
                <w:bCs/>
              </w:rPr>
              <w:t>and</w:t>
            </w:r>
            <w:proofErr w:type="spellEnd"/>
            <w:r w:rsidRPr="0026420A">
              <w:rPr>
                <w:b/>
                <w:bCs/>
              </w:rPr>
              <w:t xml:space="preserve"> </w:t>
            </w:r>
            <w:proofErr w:type="spellStart"/>
            <w:r w:rsidRPr="0026420A">
              <w:rPr>
                <w:b/>
                <w:bCs/>
              </w:rPr>
              <w:t>enforcement</w:t>
            </w:r>
            <w:proofErr w:type="spellEnd"/>
          </w:p>
          <w:p w14:paraId="36C57CE3"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pPr>
            <w:proofErr w:type="spellStart"/>
            <w:r w:rsidRPr="0026420A">
              <w:t>Clarify</w:t>
            </w:r>
            <w:proofErr w:type="spellEnd"/>
            <w:r w:rsidRPr="0026420A">
              <w:t xml:space="preserve"> </w:t>
            </w:r>
            <w:proofErr w:type="spellStart"/>
            <w:r w:rsidRPr="0026420A">
              <w:t>expressly</w:t>
            </w:r>
            <w:proofErr w:type="spellEnd"/>
            <w:r w:rsidRPr="0026420A">
              <w:t xml:space="preserve"> </w:t>
            </w:r>
            <w:proofErr w:type="spellStart"/>
            <w:r w:rsidRPr="0026420A">
              <w:t>the</w:t>
            </w:r>
            <w:proofErr w:type="spellEnd"/>
            <w:r w:rsidRPr="0026420A">
              <w:t xml:space="preserve"> </w:t>
            </w:r>
            <w:proofErr w:type="spellStart"/>
            <w:r w:rsidRPr="0026420A">
              <w:t>relationship</w:t>
            </w:r>
            <w:proofErr w:type="spellEnd"/>
            <w:r w:rsidRPr="0026420A">
              <w:t xml:space="preserve"> </w:t>
            </w:r>
            <w:proofErr w:type="spellStart"/>
            <w:r w:rsidRPr="0026420A">
              <w:t>between</w:t>
            </w:r>
            <w:proofErr w:type="spellEnd"/>
            <w:r w:rsidRPr="0026420A">
              <w:t xml:space="preserve"> administrative </w:t>
            </w:r>
            <w:proofErr w:type="spellStart"/>
            <w:r w:rsidRPr="0026420A">
              <w:t>sanctions</w:t>
            </w:r>
            <w:proofErr w:type="spellEnd"/>
            <w:r w:rsidRPr="0026420A">
              <w:t xml:space="preserve"> </w:t>
            </w:r>
            <w:proofErr w:type="spellStart"/>
            <w:r w:rsidRPr="0026420A">
              <w:t>under</w:t>
            </w:r>
            <w:proofErr w:type="spellEnd"/>
            <w:r w:rsidRPr="0026420A">
              <w:t xml:space="preserve"> </w:t>
            </w:r>
            <w:proofErr w:type="spellStart"/>
            <w:r w:rsidRPr="0026420A">
              <w:t>the</w:t>
            </w:r>
            <w:proofErr w:type="spellEnd"/>
            <w:r w:rsidRPr="0026420A">
              <w:t xml:space="preserve"> </w:t>
            </w:r>
            <w:proofErr w:type="spellStart"/>
            <w:r w:rsidRPr="0026420A">
              <w:t>law</w:t>
            </w:r>
            <w:proofErr w:type="spellEnd"/>
            <w:r w:rsidRPr="0026420A">
              <w:t xml:space="preserve">, </w:t>
            </w:r>
            <w:proofErr w:type="spellStart"/>
            <w:r w:rsidRPr="0026420A">
              <w:t>contraventional</w:t>
            </w:r>
            <w:proofErr w:type="spellEnd"/>
            <w:r w:rsidRPr="0026420A">
              <w:t xml:space="preserve"> </w:t>
            </w:r>
            <w:proofErr w:type="spellStart"/>
            <w:r w:rsidRPr="0026420A">
              <w:t>liability</w:t>
            </w:r>
            <w:proofErr w:type="spellEnd"/>
            <w:r w:rsidRPr="0026420A">
              <w:t xml:space="preserve"> </w:t>
            </w:r>
            <w:proofErr w:type="spellStart"/>
            <w:r w:rsidRPr="0026420A">
              <w:t>and</w:t>
            </w:r>
            <w:proofErr w:type="spellEnd"/>
            <w:r w:rsidRPr="0026420A">
              <w:t xml:space="preserve"> </w:t>
            </w:r>
            <w:proofErr w:type="spellStart"/>
            <w:r w:rsidRPr="0026420A">
              <w:t>the</w:t>
            </w:r>
            <w:proofErr w:type="spellEnd"/>
            <w:r w:rsidRPr="0026420A">
              <w:t xml:space="preserve"> </w:t>
            </w:r>
            <w:proofErr w:type="spellStart"/>
            <w:r w:rsidRPr="0026420A">
              <w:t>proposed</w:t>
            </w:r>
            <w:proofErr w:type="spellEnd"/>
            <w:r w:rsidRPr="0026420A">
              <w:t xml:space="preserve"> criminal </w:t>
            </w:r>
            <w:proofErr w:type="spellStart"/>
            <w:r w:rsidRPr="0026420A">
              <w:t>offences</w:t>
            </w:r>
            <w:proofErr w:type="spellEnd"/>
            <w:r w:rsidRPr="0026420A">
              <w:t xml:space="preserve">, </w:t>
            </w:r>
            <w:proofErr w:type="spellStart"/>
            <w:r w:rsidRPr="0026420A">
              <w:t>including</w:t>
            </w:r>
            <w:proofErr w:type="spellEnd"/>
            <w:r w:rsidRPr="0026420A">
              <w:t xml:space="preserve"> case </w:t>
            </w:r>
            <w:proofErr w:type="spellStart"/>
            <w:r w:rsidRPr="0026420A">
              <w:t>allocation</w:t>
            </w:r>
            <w:proofErr w:type="spellEnd"/>
            <w:r w:rsidRPr="0026420A">
              <w:t xml:space="preserve"> </w:t>
            </w:r>
            <w:proofErr w:type="spellStart"/>
            <w:r w:rsidRPr="0026420A">
              <w:t>and</w:t>
            </w:r>
            <w:proofErr w:type="spellEnd"/>
            <w:r w:rsidRPr="0026420A">
              <w:t xml:space="preserve"> </w:t>
            </w:r>
            <w:proofErr w:type="spellStart"/>
            <w:r w:rsidRPr="0026420A">
              <w:t>information-sharing</w:t>
            </w:r>
            <w:proofErr w:type="spellEnd"/>
            <w:r w:rsidRPr="0026420A">
              <w:t xml:space="preserve"> </w:t>
            </w:r>
            <w:proofErr w:type="spellStart"/>
            <w:r w:rsidRPr="0026420A">
              <w:t>with</w:t>
            </w:r>
            <w:proofErr w:type="spellEnd"/>
            <w:r w:rsidRPr="0026420A">
              <w:t xml:space="preserve"> </w:t>
            </w:r>
            <w:proofErr w:type="spellStart"/>
            <w:r w:rsidRPr="0026420A">
              <w:t>prosecutors</w:t>
            </w:r>
            <w:proofErr w:type="spellEnd"/>
            <w:r w:rsidRPr="0026420A">
              <w:t xml:space="preserve">, </w:t>
            </w:r>
            <w:proofErr w:type="spellStart"/>
            <w:r w:rsidRPr="0026420A">
              <w:t>to</w:t>
            </w:r>
            <w:proofErr w:type="spellEnd"/>
            <w:r w:rsidRPr="0026420A">
              <w:t xml:space="preserve"> </w:t>
            </w:r>
            <w:proofErr w:type="spellStart"/>
            <w:r w:rsidRPr="0026420A">
              <w:t>avoid</w:t>
            </w:r>
            <w:proofErr w:type="spellEnd"/>
            <w:r w:rsidRPr="0026420A">
              <w:t xml:space="preserve"> </w:t>
            </w:r>
            <w:proofErr w:type="spellStart"/>
            <w:r w:rsidRPr="0026420A">
              <w:t>uncertainty</w:t>
            </w:r>
            <w:proofErr w:type="spellEnd"/>
            <w:r w:rsidRPr="0026420A">
              <w:t xml:space="preserve"> </w:t>
            </w:r>
            <w:proofErr w:type="spellStart"/>
            <w:r w:rsidRPr="0026420A">
              <w:t>and</w:t>
            </w:r>
            <w:proofErr w:type="spellEnd"/>
            <w:r w:rsidRPr="0026420A">
              <w:t xml:space="preserve"> </w:t>
            </w:r>
            <w:proofErr w:type="spellStart"/>
            <w:r w:rsidRPr="0026420A">
              <w:t>duplication</w:t>
            </w:r>
            <w:proofErr w:type="spellEnd"/>
            <w:r w:rsidRPr="0026420A">
              <w:t>.</w:t>
            </w:r>
          </w:p>
          <w:p w14:paraId="5154F29F"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pPr>
            <w:proofErr w:type="spellStart"/>
            <w:r w:rsidRPr="0026420A">
              <w:t>Ensure</w:t>
            </w:r>
            <w:proofErr w:type="spellEnd"/>
            <w:r w:rsidRPr="0026420A">
              <w:t xml:space="preserve"> </w:t>
            </w:r>
            <w:proofErr w:type="spellStart"/>
            <w:r w:rsidRPr="0026420A">
              <w:t>that</w:t>
            </w:r>
            <w:proofErr w:type="spellEnd"/>
            <w:r w:rsidRPr="0026420A">
              <w:t xml:space="preserve"> </w:t>
            </w:r>
            <w:proofErr w:type="spellStart"/>
            <w:r w:rsidRPr="0026420A">
              <w:t>notifying</w:t>
            </w:r>
            <w:proofErr w:type="spellEnd"/>
            <w:r w:rsidRPr="0026420A">
              <w:t xml:space="preserve"> </w:t>
            </w:r>
            <w:proofErr w:type="spellStart"/>
            <w:r w:rsidRPr="0026420A">
              <w:t>entities</w:t>
            </w:r>
            <w:proofErr w:type="spellEnd"/>
            <w:r w:rsidRPr="0026420A">
              <w:t xml:space="preserve"> </w:t>
            </w:r>
            <w:proofErr w:type="spellStart"/>
            <w:r w:rsidRPr="0026420A">
              <w:t>under</w:t>
            </w:r>
            <w:proofErr w:type="spellEnd"/>
            <w:r w:rsidRPr="0026420A">
              <w:t xml:space="preserve"> </w:t>
            </w:r>
            <w:proofErr w:type="spellStart"/>
            <w:r w:rsidRPr="0026420A">
              <w:t>Article</w:t>
            </w:r>
            <w:proofErr w:type="spellEnd"/>
            <w:r w:rsidRPr="0026420A">
              <w:t xml:space="preserve"> 54, </w:t>
            </w:r>
            <w:proofErr w:type="spellStart"/>
            <w:r w:rsidRPr="0026420A">
              <w:t>unlicensed</w:t>
            </w:r>
            <w:proofErr w:type="spellEnd"/>
            <w:r w:rsidRPr="0026420A">
              <w:t xml:space="preserve"> </w:t>
            </w:r>
            <w:proofErr w:type="spellStart"/>
            <w:r w:rsidRPr="0026420A">
              <w:t>actors</w:t>
            </w:r>
            <w:proofErr w:type="spellEnd"/>
            <w:r w:rsidRPr="0026420A">
              <w:t xml:space="preserve"> </w:t>
            </w:r>
            <w:proofErr w:type="spellStart"/>
            <w:r w:rsidRPr="0026420A">
              <w:t>and</w:t>
            </w:r>
            <w:proofErr w:type="spellEnd"/>
            <w:r w:rsidRPr="0026420A">
              <w:t xml:space="preserve"> </w:t>
            </w:r>
            <w:proofErr w:type="spellStart"/>
            <w:r w:rsidRPr="0026420A">
              <w:t>persons</w:t>
            </w:r>
            <w:proofErr w:type="spellEnd"/>
            <w:r w:rsidRPr="0026420A">
              <w:t xml:space="preserve"> </w:t>
            </w:r>
            <w:proofErr w:type="spellStart"/>
            <w:r w:rsidRPr="0026420A">
              <w:t>breaching</w:t>
            </w:r>
            <w:proofErr w:type="spellEnd"/>
            <w:r w:rsidRPr="0026420A">
              <w:t xml:space="preserve"> market-</w:t>
            </w:r>
            <w:proofErr w:type="spellStart"/>
            <w:r w:rsidRPr="0026420A">
              <w:t>abuse</w:t>
            </w:r>
            <w:proofErr w:type="spellEnd"/>
            <w:r w:rsidRPr="0026420A">
              <w:t xml:space="preserve"> </w:t>
            </w:r>
            <w:proofErr w:type="spellStart"/>
            <w:r w:rsidRPr="0026420A">
              <w:t>reporting</w:t>
            </w:r>
            <w:proofErr w:type="spellEnd"/>
            <w:r w:rsidRPr="0026420A">
              <w:t xml:space="preserve"> </w:t>
            </w:r>
            <w:proofErr w:type="spellStart"/>
            <w:r w:rsidRPr="0026420A">
              <w:t>duties</w:t>
            </w:r>
            <w:proofErr w:type="spellEnd"/>
            <w:r w:rsidRPr="0026420A">
              <w:t xml:space="preserve"> are </w:t>
            </w:r>
            <w:proofErr w:type="spellStart"/>
            <w:r w:rsidRPr="0026420A">
              <w:t>fully</w:t>
            </w:r>
            <w:proofErr w:type="spellEnd"/>
            <w:r w:rsidRPr="0026420A">
              <w:t xml:space="preserve"> </w:t>
            </w:r>
            <w:proofErr w:type="spellStart"/>
            <w:r w:rsidRPr="0026420A">
              <w:t>and</w:t>
            </w:r>
            <w:proofErr w:type="spellEnd"/>
            <w:r w:rsidRPr="0026420A">
              <w:t xml:space="preserve"> </w:t>
            </w:r>
            <w:proofErr w:type="spellStart"/>
            <w:r w:rsidRPr="0026420A">
              <w:t>explicitly</w:t>
            </w:r>
            <w:proofErr w:type="spellEnd"/>
            <w:r w:rsidRPr="0026420A">
              <w:t xml:space="preserve"> </w:t>
            </w:r>
            <w:proofErr w:type="spellStart"/>
            <w:r w:rsidRPr="0026420A">
              <w:t>covered</w:t>
            </w:r>
            <w:proofErr w:type="spellEnd"/>
            <w:r w:rsidRPr="0026420A">
              <w:t xml:space="preserve"> </w:t>
            </w:r>
            <w:proofErr w:type="spellStart"/>
            <w:r w:rsidRPr="0026420A">
              <w:t>by</w:t>
            </w:r>
            <w:proofErr w:type="spellEnd"/>
            <w:r w:rsidRPr="0026420A">
              <w:t xml:space="preserve"> </w:t>
            </w:r>
            <w:proofErr w:type="spellStart"/>
            <w:r w:rsidRPr="0026420A">
              <w:t>the</w:t>
            </w:r>
            <w:proofErr w:type="spellEnd"/>
            <w:r w:rsidRPr="0026420A">
              <w:t xml:space="preserve"> </w:t>
            </w:r>
            <w:proofErr w:type="spellStart"/>
            <w:r w:rsidRPr="0026420A">
              <w:t>sanction’s</w:t>
            </w:r>
            <w:proofErr w:type="spellEnd"/>
            <w:r w:rsidRPr="0026420A">
              <w:t xml:space="preserve"> </w:t>
            </w:r>
            <w:proofErr w:type="spellStart"/>
            <w:r w:rsidRPr="0026420A">
              <w:t>perimeter</w:t>
            </w:r>
            <w:proofErr w:type="spellEnd"/>
            <w:r w:rsidRPr="0026420A">
              <w:t>.</w:t>
            </w:r>
          </w:p>
          <w:p w14:paraId="42EC95A7"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pPr>
            <w:r w:rsidRPr="0026420A">
              <w:t xml:space="preserve">Adopt </w:t>
            </w:r>
            <w:proofErr w:type="spellStart"/>
            <w:r w:rsidRPr="0026420A">
              <w:t>internal</w:t>
            </w:r>
            <w:proofErr w:type="spellEnd"/>
            <w:r w:rsidRPr="0026420A">
              <w:t xml:space="preserve"> or </w:t>
            </w:r>
            <w:proofErr w:type="spellStart"/>
            <w:r w:rsidRPr="0026420A">
              <w:t>joint</w:t>
            </w:r>
            <w:proofErr w:type="spellEnd"/>
            <w:r w:rsidRPr="0026420A">
              <w:t xml:space="preserve"> </w:t>
            </w:r>
            <w:proofErr w:type="spellStart"/>
            <w:r w:rsidRPr="0026420A">
              <w:t>guidance</w:t>
            </w:r>
            <w:proofErr w:type="spellEnd"/>
            <w:r w:rsidRPr="0026420A">
              <w:t xml:space="preserve"> on </w:t>
            </w:r>
            <w:proofErr w:type="spellStart"/>
            <w:r w:rsidRPr="0026420A">
              <w:t>sanction</w:t>
            </w:r>
            <w:proofErr w:type="spellEnd"/>
            <w:r w:rsidRPr="0026420A">
              <w:t xml:space="preserve"> </w:t>
            </w:r>
            <w:proofErr w:type="spellStart"/>
            <w:r w:rsidRPr="0026420A">
              <w:t>publication</w:t>
            </w:r>
            <w:proofErr w:type="spellEnd"/>
            <w:r w:rsidRPr="0026420A">
              <w:t xml:space="preserve">, </w:t>
            </w:r>
            <w:proofErr w:type="spellStart"/>
            <w:r w:rsidRPr="0026420A">
              <w:t>anonymisation</w:t>
            </w:r>
            <w:proofErr w:type="spellEnd"/>
            <w:r w:rsidRPr="0026420A">
              <w:t xml:space="preserve">, </w:t>
            </w:r>
            <w:proofErr w:type="spellStart"/>
            <w:r w:rsidRPr="0026420A">
              <w:t>aggravating</w:t>
            </w:r>
            <w:proofErr w:type="spellEnd"/>
            <w:r w:rsidRPr="0026420A">
              <w:t xml:space="preserve"> </w:t>
            </w:r>
            <w:proofErr w:type="spellStart"/>
            <w:r w:rsidRPr="0026420A">
              <w:t>and</w:t>
            </w:r>
            <w:proofErr w:type="spellEnd"/>
            <w:r w:rsidRPr="0026420A">
              <w:t xml:space="preserve"> </w:t>
            </w:r>
            <w:proofErr w:type="spellStart"/>
            <w:r w:rsidRPr="0026420A">
              <w:t>mitigating</w:t>
            </w:r>
            <w:proofErr w:type="spellEnd"/>
            <w:r w:rsidRPr="0026420A">
              <w:t xml:space="preserve"> </w:t>
            </w:r>
            <w:proofErr w:type="spellStart"/>
            <w:r w:rsidRPr="0026420A">
              <w:t>factors</w:t>
            </w:r>
            <w:proofErr w:type="spellEnd"/>
            <w:r w:rsidRPr="0026420A">
              <w:t xml:space="preserve">, </w:t>
            </w:r>
            <w:proofErr w:type="spellStart"/>
            <w:r w:rsidRPr="0026420A">
              <w:t>and</w:t>
            </w:r>
            <w:proofErr w:type="spellEnd"/>
            <w:r w:rsidRPr="0026420A">
              <w:t xml:space="preserve"> </w:t>
            </w:r>
            <w:proofErr w:type="spellStart"/>
            <w:r w:rsidRPr="0026420A">
              <w:t>coordination</w:t>
            </w:r>
            <w:proofErr w:type="spellEnd"/>
            <w:r w:rsidRPr="0026420A">
              <w:t xml:space="preserve"> </w:t>
            </w:r>
            <w:proofErr w:type="spellStart"/>
            <w:r w:rsidRPr="0026420A">
              <w:t>between</w:t>
            </w:r>
            <w:proofErr w:type="spellEnd"/>
            <w:r w:rsidRPr="0026420A">
              <w:t xml:space="preserve"> </w:t>
            </w:r>
            <w:proofErr w:type="spellStart"/>
            <w:r w:rsidRPr="0026420A">
              <w:t>the</w:t>
            </w:r>
            <w:proofErr w:type="spellEnd"/>
            <w:r w:rsidRPr="0026420A">
              <w:t xml:space="preserve"> National </w:t>
            </w:r>
            <w:proofErr w:type="spellStart"/>
            <w:r w:rsidRPr="0026420A">
              <w:t>Commission</w:t>
            </w:r>
            <w:proofErr w:type="spellEnd"/>
            <w:r w:rsidRPr="0026420A">
              <w:t xml:space="preserve"> </w:t>
            </w:r>
            <w:proofErr w:type="spellStart"/>
            <w:r w:rsidRPr="0026420A">
              <w:t>and</w:t>
            </w:r>
            <w:proofErr w:type="spellEnd"/>
            <w:r w:rsidRPr="0026420A">
              <w:t xml:space="preserve"> </w:t>
            </w:r>
            <w:proofErr w:type="spellStart"/>
            <w:r w:rsidRPr="0026420A">
              <w:t>the</w:t>
            </w:r>
            <w:proofErr w:type="spellEnd"/>
            <w:r w:rsidRPr="0026420A">
              <w:t xml:space="preserve"> National Bank in </w:t>
            </w:r>
            <w:proofErr w:type="spellStart"/>
            <w:r w:rsidRPr="0026420A">
              <w:t>crossover</w:t>
            </w:r>
            <w:proofErr w:type="spellEnd"/>
            <w:r w:rsidRPr="0026420A">
              <w:t xml:space="preserve"> </w:t>
            </w:r>
            <w:proofErr w:type="spellStart"/>
            <w:r w:rsidRPr="0026420A">
              <w:t>cases</w:t>
            </w:r>
            <w:proofErr w:type="spellEnd"/>
            <w:r w:rsidRPr="0026420A">
              <w:t>.</w:t>
            </w:r>
          </w:p>
          <w:p w14:paraId="093603FC"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pPr>
          </w:p>
          <w:p w14:paraId="784385A1"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rPr>
                <w:i/>
                <w:iCs/>
              </w:rPr>
            </w:pPr>
            <w:r w:rsidRPr="0026420A">
              <w:rPr>
                <w:i/>
                <w:iCs/>
              </w:rPr>
              <w:t>Traducere neoficială în limba română:</w:t>
            </w:r>
          </w:p>
          <w:p w14:paraId="516A5C56"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rPr>
                <w:b/>
                <w:bCs/>
                <w:i/>
                <w:iCs/>
              </w:rPr>
            </w:pPr>
            <w:r w:rsidRPr="0026420A">
              <w:rPr>
                <w:b/>
                <w:bCs/>
                <w:i/>
                <w:iCs/>
              </w:rPr>
              <w:t>4.4. Sancțiuni și aplicarea legii</w:t>
            </w:r>
          </w:p>
          <w:p w14:paraId="786529FA"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rPr>
                <w:i/>
                <w:iCs/>
              </w:rPr>
            </w:pPr>
            <w:r w:rsidRPr="0026420A">
              <w:rPr>
                <w:i/>
                <w:iCs/>
              </w:rPr>
              <w:t>Clarificarea expresă a relației dintre sancțiunile administrative prevăzute de lege, răspunderea contravențională și infracțiunile propuse, inclusiv alocarea cazurilor și schimbul de informații cu procurorii, pentru a evita incertitudinea și dublarea procedurilor.</w:t>
            </w:r>
          </w:p>
          <w:p w14:paraId="5C085ABF"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rPr>
                <w:i/>
                <w:iCs/>
              </w:rPr>
            </w:pPr>
            <w:r w:rsidRPr="0026420A">
              <w:rPr>
                <w:i/>
                <w:iCs/>
              </w:rPr>
              <w:t>Asigurarea faptului că entitățile care notifică în temeiul articolului 54, actorii nelicențiați și persoanele care încalcă obligațiile de raportare privind abuzul de piață sunt acoperite pe deplin și explicit de perimetrul sancționator.</w:t>
            </w:r>
          </w:p>
          <w:p w14:paraId="1412359A" w14:textId="478E4633" w:rsidR="00BC51DD" w:rsidRPr="0026420A" w:rsidRDefault="00BC51DD" w:rsidP="00BC51DD">
            <w:pPr>
              <w:pBdr>
                <w:top w:val="none" w:sz="4" w:space="0" w:color="000000"/>
                <w:left w:val="none" w:sz="4" w:space="0" w:color="000000"/>
                <w:bottom w:val="none" w:sz="4" w:space="0" w:color="000000"/>
                <w:right w:val="none" w:sz="4" w:space="0" w:color="000000"/>
              </w:pBdr>
              <w:ind w:firstLine="0"/>
              <w:rPr>
                <w:b/>
                <w:bCs/>
              </w:rPr>
            </w:pPr>
            <w:r w:rsidRPr="0026420A">
              <w:rPr>
                <w:i/>
                <w:iCs/>
              </w:rPr>
              <w:t>Adoptarea unor ghiduri interne sau comune privind publicarea sancțiunilor, anonimizarea, factorii agravanți și atenuanți, precum și coordonarea dintre Comisia Națională și Banca Națională în cazurile de competență mixtă sau suprapusă.</w:t>
            </w:r>
          </w:p>
        </w:tc>
        <w:tc>
          <w:tcPr>
            <w:tcW w:w="5281" w:type="dxa"/>
            <w:tcMar>
              <w:top w:w="0" w:type="dxa"/>
              <w:left w:w="108" w:type="dxa"/>
              <w:bottom w:w="0" w:type="dxa"/>
              <w:right w:w="108" w:type="dxa"/>
            </w:tcMar>
          </w:tcPr>
          <w:p w14:paraId="6FA9380D"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rPr>
                <w:b/>
                <w:bCs/>
              </w:rPr>
            </w:pPr>
            <w:r w:rsidRPr="0026420A">
              <w:rPr>
                <w:b/>
                <w:bCs/>
              </w:rPr>
              <w:t>Se ia act.</w:t>
            </w:r>
          </w:p>
          <w:p w14:paraId="49D82CBB"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pPr>
            <w:r w:rsidRPr="0026420A">
              <w:t xml:space="preserve">Se va asigura coerența dintre regimul măsurilor și sancțiunilor administrative prevăzute de lege, răspunderea contravențională și eventualele infracțiuni conexe. </w:t>
            </w:r>
          </w:p>
          <w:p w14:paraId="199F19CF" w14:textId="0538CBE4" w:rsidR="00BC51DD" w:rsidRPr="0026420A" w:rsidRDefault="00BC51DD" w:rsidP="00BC51DD">
            <w:pPr>
              <w:pBdr>
                <w:top w:val="none" w:sz="4" w:space="0" w:color="000000"/>
                <w:left w:val="none" w:sz="4" w:space="0" w:color="000000"/>
                <w:bottom w:val="none" w:sz="4" w:space="0" w:color="000000"/>
                <w:right w:val="none" w:sz="4" w:space="0" w:color="000000"/>
              </w:pBdr>
              <w:ind w:firstLine="0"/>
            </w:pPr>
            <w:r w:rsidRPr="0026420A">
              <w:t>Aspectele metodologice privind publicarea sancțiunilor, anonimizarea, factorii agravanți și atenuanți și coordonarea dintre Comisia Națională și Banca Națională în cazurile de competență mixtă urmează să fie detaliate prin acte normative subsecvente, proceduri interne sau mecanisme comune de cooperare.</w:t>
            </w:r>
          </w:p>
        </w:tc>
      </w:tr>
      <w:tr w:rsidR="00BC51DD" w:rsidRPr="0026420A" w14:paraId="34030AF5" w14:textId="77777777" w:rsidTr="001F4857">
        <w:trPr>
          <w:trHeight w:val="615"/>
        </w:trPr>
        <w:tc>
          <w:tcPr>
            <w:tcW w:w="2206" w:type="dxa"/>
            <w:vMerge/>
            <w:tcBorders>
              <w:bottom w:val="single" w:sz="4" w:space="0" w:color="auto"/>
            </w:tcBorders>
            <w:tcMar>
              <w:top w:w="0" w:type="dxa"/>
              <w:left w:w="108" w:type="dxa"/>
              <w:bottom w:w="0" w:type="dxa"/>
              <w:right w:w="108" w:type="dxa"/>
            </w:tcMar>
          </w:tcPr>
          <w:p w14:paraId="136EC369" w14:textId="77777777" w:rsidR="00BC51DD" w:rsidRPr="0026420A" w:rsidRDefault="00BC51DD" w:rsidP="00BC51DD">
            <w:pPr>
              <w:ind w:firstLine="0"/>
              <w:jc w:val="left"/>
              <w:rPr>
                <w:b/>
                <w:bCs/>
              </w:rPr>
            </w:pPr>
          </w:p>
        </w:tc>
        <w:tc>
          <w:tcPr>
            <w:tcW w:w="579" w:type="dxa"/>
            <w:tcMar>
              <w:top w:w="0" w:type="dxa"/>
              <w:left w:w="108" w:type="dxa"/>
              <w:bottom w:w="0" w:type="dxa"/>
              <w:right w:w="108" w:type="dxa"/>
            </w:tcMar>
          </w:tcPr>
          <w:p w14:paraId="1B4B3D1B" w14:textId="77777777" w:rsidR="00BC51DD" w:rsidRPr="0026420A" w:rsidRDefault="00BC51DD" w:rsidP="00BC51DD">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6E249883"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rPr>
                <w:b/>
                <w:bCs/>
              </w:rPr>
            </w:pPr>
            <w:r w:rsidRPr="0026420A">
              <w:rPr>
                <w:b/>
                <w:bCs/>
              </w:rPr>
              <w:t xml:space="preserve">4.5. </w:t>
            </w:r>
            <w:proofErr w:type="spellStart"/>
            <w:r w:rsidRPr="0026420A">
              <w:rPr>
                <w:b/>
                <w:bCs/>
              </w:rPr>
              <w:t>Implementation</w:t>
            </w:r>
            <w:proofErr w:type="spellEnd"/>
            <w:r w:rsidRPr="0026420A">
              <w:rPr>
                <w:b/>
                <w:bCs/>
              </w:rPr>
              <w:t xml:space="preserve"> </w:t>
            </w:r>
            <w:proofErr w:type="spellStart"/>
            <w:r w:rsidRPr="0026420A">
              <w:rPr>
                <w:b/>
                <w:bCs/>
              </w:rPr>
              <w:t>and</w:t>
            </w:r>
            <w:proofErr w:type="spellEnd"/>
            <w:r w:rsidRPr="0026420A">
              <w:rPr>
                <w:b/>
                <w:bCs/>
              </w:rPr>
              <w:t xml:space="preserve"> market </w:t>
            </w:r>
            <w:proofErr w:type="spellStart"/>
            <w:r w:rsidRPr="0026420A">
              <w:rPr>
                <w:b/>
                <w:bCs/>
              </w:rPr>
              <w:t>readiness</w:t>
            </w:r>
            <w:proofErr w:type="spellEnd"/>
          </w:p>
          <w:p w14:paraId="0CFBCB8F"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pPr>
            <w:r w:rsidRPr="0026420A">
              <w:t xml:space="preserve">Prepare </w:t>
            </w:r>
            <w:proofErr w:type="spellStart"/>
            <w:r w:rsidRPr="0026420A">
              <w:t>and</w:t>
            </w:r>
            <w:proofErr w:type="spellEnd"/>
            <w:r w:rsidRPr="0026420A">
              <w:t xml:space="preserve"> </w:t>
            </w:r>
            <w:proofErr w:type="spellStart"/>
            <w:r w:rsidRPr="0026420A">
              <w:t>publish</w:t>
            </w:r>
            <w:proofErr w:type="spellEnd"/>
            <w:r w:rsidRPr="0026420A">
              <w:t xml:space="preserve"> </w:t>
            </w:r>
            <w:proofErr w:type="spellStart"/>
            <w:r w:rsidRPr="0026420A">
              <w:t>the</w:t>
            </w:r>
            <w:proofErr w:type="spellEnd"/>
            <w:r w:rsidRPr="0026420A">
              <w:t xml:space="preserve"> </w:t>
            </w:r>
            <w:proofErr w:type="spellStart"/>
            <w:r w:rsidRPr="0026420A">
              <w:t>first</w:t>
            </w:r>
            <w:proofErr w:type="spellEnd"/>
            <w:r w:rsidRPr="0026420A">
              <w:t xml:space="preserve"> </w:t>
            </w:r>
            <w:proofErr w:type="spellStart"/>
            <w:r w:rsidRPr="0026420A">
              <w:t>package</w:t>
            </w:r>
            <w:proofErr w:type="spellEnd"/>
            <w:r w:rsidRPr="0026420A">
              <w:t xml:space="preserve"> of </w:t>
            </w:r>
            <w:proofErr w:type="spellStart"/>
            <w:r w:rsidRPr="0026420A">
              <w:t>implementing</w:t>
            </w:r>
            <w:proofErr w:type="spellEnd"/>
            <w:r w:rsidRPr="0026420A">
              <w:t xml:space="preserve"> </w:t>
            </w:r>
            <w:proofErr w:type="spellStart"/>
            <w:r w:rsidRPr="0026420A">
              <w:t>acts</w:t>
            </w:r>
            <w:proofErr w:type="spellEnd"/>
            <w:r w:rsidRPr="0026420A">
              <w:t xml:space="preserve">, </w:t>
            </w:r>
            <w:proofErr w:type="spellStart"/>
            <w:r w:rsidRPr="0026420A">
              <w:t>forms</w:t>
            </w:r>
            <w:proofErr w:type="spellEnd"/>
            <w:r w:rsidRPr="0026420A">
              <w:t xml:space="preserve">, </w:t>
            </w:r>
            <w:proofErr w:type="spellStart"/>
            <w:r w:rsidRPr="0026420A">
              <w:t>templates</w:t>
            </w:r>
            <w:proofErr w:type="spellEnd"/>
            <w:r w:rsidRPr="0026420A">
              <w:t xml:space="preserve">, </w:t>
            </w:r>
            <w:proofErr w:type="spellStart"/>
            <w:r w:rsidRPr="0026420A">
              <w:t>registers</w:t>
            </w:r>
            <w:proofErr w:type="spellEnd"/>
            <w:r w:rsidRPr="0026420A">
              <w:t xml:space="preserve"> </w:t>
            </w:r>
            <w:proofErr w:type="spellStart"/>
            <w:r w:rsidRPr="0026420A">
              <w:t>and</w:t>
            </w:r>
            <w:proofErr w:type="spellEnd"/>
            <w:r w:rsidRPr="0026420A">
              <w:t xml:space="preserve"> </w:t>
            </w:r>
            <w:proofErr w:type="spellStart"/>
            <w:r w:rsidRPr="0026420A">
              <w:t>complaint</w:t>
            </w:r>
            <w:proofErr w:type="spellEnd"/>
            <w:r w:rsidRPr="0026420A">
              <w:t xml:space="preserve"> </w:t>
            </w:r>
            <w:proofErr w:type="spellStart"/>
            <w:r w:rsidRPr="0026420A">
              <w:t>procedures</w:t>
            </w:r>
            <w:proofErr w:type="spellEnd"/>
            <w:r w:rsidRPr="0026420A">
              <w:t xml:space="preserve"> </w:t>
            </w:r>
            <w:proofErr w:type="spellStart"/>
            <w:r w:rsidRPr="0026420A">
              <w:t>before</w:t>
            </w:r>
            <w:proofErr w:type="spellEnd"/>
            <w:r w:rsidRPr="0026420A">
              <w:t xml:space="preserve"> or at </w:t>
            </w:r>
            <w:proofErr w:type="spellStart"/>
            <w:r w:rsidRPr="0026420A">
              <w:t>the</w:t>
            </w:r>
            <w:proofErr w:type="spellEnd"/>
            <w:r w:rsidRPr="0026420A">
              <w:t xml:space="preserve"> </w:t>
            </w:r>
            <w:proofErr w:type="spellStart"/>
            <w:r w:rsidRPr="0026420A">
              <w:t>very</w:t>
            </w:r>
            <w:proofErr w:type="spellEnd"/>
            <w:r w:rsidRPr="0026420A">
              <w:t xml:space="preserve"> </w:t>
            </w:r>
            <w:proofErr w:type="spellStart"/>
            <w:r w:rsidRPr="0026420A">
              <w:t>beginning</w:t>
            </w:r>
            <w:proofErr w:type="spellEnd"/>
            <w:r w:rsidRPr="0026420A">
              <w:t xml:space="preserve"> of </w:t>
            </w:r>
            <w:proofErr w:type="spellStart"/>
            <w:r w:rsidRPr="0026420A">
              <w:t>the</w:t>
            </w:r>
            <w:proofErr w:type="spellEnd"/>
            <w:r w:rsidRPr="0026420A">
              <w:t xml:space="preserve"> </w:t>
            </w:r>
            <w:proofErr w:type="spellStart"/>
            <w:r w:rsidRPr="0026420A">
              <w:t>transition</w:t>
            </w:r>
            <w:proofErr w:type="spellEnd"/>
            <w:r w:rsidRPr="0026420A">
              <w:t xml:space="preserve"> period.</w:t>
            </w:r>
          </w:p>
          <w:p w14:paraId="32BCEB11"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pPr>
            <w:proofErr w:type="spellStart"/>
            <w:r w:rsidRPr="0026420A">
              <w:t>Use</w:t>
            </w:r>
            <w:proofErr w:type="spellEnd"/>
            <w:r w:rsidRPr="0026420A">
              <w:t xml:space="preserve"> </w:t>
            </w:r>
            <w:proofErr w:type="spellStart"/>
            <w:r w:rsidRPr="0026420A">
              <w:t>the</w:t>
            </w:r>
            <w:proofErr w:type="spellEnd"/>
            <w:r w:rsidRPr="0026420A">
              <w:t xml:space="preserve"> </w:t>
            </w:r>
            <w:proofErr w:type="spellStart"/>
            <w:r w:rsidRPr="0026420A">
              <w:t>six-month</w:t>
            </w:r>
            <w:proofErr w:type="spellEnd"/>
            <w:r w:rsidRPr="0026420A">
              <w:t xml:space="preserve"> </w:t>
            </w:r>
            <w:proofErr w:type="spellStart"/>
            <w:r w:rsidRPr="0026420A">
              <w:t>transition</w:t>
            </w:r>
            <w:proofErr w:type="spellEnd"/>
            <w:r w:rsidRPr="0026420A">
              <w:t xml:space="preserve"> period as a </w:t>
            </w:r>
            <w:proofErr w:type="spellStart"/>
            <w:r w:rsidRPr="0026420A">
              <w:t>structured</w:t>
            </w:r>
            <w:proofErr w:type="spellEnd"/>
            <w:r w:rsidRPr="0026420A">
              <w:t xml:space="preserve"> pre-</w:t>
            </w:r>
            <w:proofErr w:type="spellStart"/>
            <w:r w:rsidRPr="0026420A">
              <w:t>authorization</w:t>
            </w:r>
            <w:proofErr w:type="spellEnd"/>
            <w:r w:rsidRPr="0026420A">
              <w:t xml:space="preserve"> </w:t>
            </w:r>
            <w:proofErr w:type="spellStart"/>
            <w:r w:rsidRPr="0026420A">
              <w:t>window</w:t>
            </w:r>
            <w:proofErr w:type="spellEnd"/>
            <w:r w:rsidRPr="0026420A">
              <w:t xml:space="preserve"> for </w:t>
            </w:r>
            <w:proofErr w:type="spellStart"/>
            <w:r w:rsidRPr="0026420A">
              <w:t>existing</w:t>
            </w:r>
            <w:proofErr w:type="spellEnd"/>
            <w:r w:rsidRPr="0026420A">
              <w:t xml:space="preserve"> </w:t>
            </w:r>
            <w:proofErr w:type="spellStart"/>
            <w:r w:rsidRPr="0026420A">
              <w:t>actors</w:t>
            </w:r>
            <w:proofErr w:type="spellEnd"/>
            <w:r w:rsidRPr="0026420A">
              <w:t xml:space="preserve">, </w:t>
            </w:r>
            <w:proofErr w:type="spellStart"/>
            <w:r w:rsidRPr="0026420A">
              <w:t>supported</w:t>
            </w:r>
            <w:proofErr w:type="spellEnd"/>
            <w:r w:rsidRPr="0026420A">
              <w:t xml:space="preserve"> </w:t>
            </w:r>
            <w:proofErr w:type="spellStart"/>
            <w:r w:rsidRPr="0026420A">
              <w:t>by</w:t>
            </w:r>
            <w:proofErr w:type="spellEnd"/>
            <w:r w:rsidRPr="0026420A">
              <w:t xml:space="preserve"> Q&amp;A, </w:t>
            </w:r>
            <w:proofErr w:type="spellStart"/>
            <w:r w:rsidRPr="0026420A">
              <w:t>industry</w:t>
            </w:r>
            <w:proofErr w:type="spellEnd"/>
            <w:r w:rsidRPr="0026420A">
              <w:t xml:space="preserve"> </w:t>
            </w:r>
            <w:proofErr w:type="spellStart"/>
            <w:r w:rsidRPr="0026420A">
              <w:t>outreach</w:t>
            </w:r>
            <w:proofErr w:type="spellEnd"/>
            <w:r w:rsidRPr="0026420A">
              <w:t xml:space="preserve"> </w:t>
            </w:r>
            <w:proofErr w:type="spellStart"/>
            <w:r w:rsidRPr="0026420A">
              <w:t>and</w:t>
            </w:r>
            <w:proofErr w:type="spellEnd"/>
            <w:r w:rsidRPr="0026420A">
              <w:t xml:space="preserve"> </w:t>
            </w:r>
            <w:proofErr w:type="spellStart"/>
            <w:r w:rsidRPr="0026420A">
              <w:t>clear</w:t>
            </w:r>
            <w:proofErr w:type="spellEnd"/>
            <w:r w:rsidRPr="0026420A">
              <w:t xml:space="preserve"> </w:t>
            </w:r>
            <w:proofErr w:type="spellStart"/>
            <w:r w:rsidRPr="0026420A">
              <w:t>supervisory</w:t>
            </w:r>
            <w:proofErr w:type="spellEnd"/>
            <w:r w:rsidRPr="0026420A">
              <w:t xml:space="preserve"> </w:t>
            </w:r>
            <w:proofErr w:type="spellStart"/>
            <w:r w:rsidRPr="0026420A">
              <w:t>expectations</w:t>
            </w:r>
            <w:proofErr w:type="spellEnd"/>
            <w:r w:rsidRPr="0026420A">
              <w:t>.</w:t>
            </w:r>
          </w:p>
          <w:p w14:paraId="1492B4E8"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pPr>
            <w:proofErr w:type="spellStart"/>
            <w:r w:rsidRPr="0026420A">
              <w:t>Develop</w:t>
            </w:r>
            <w:proofErr w:type="spellEnd"/>
            <w:r w:rsidRPr="0026420A">
              <w:t xml:space="preserve"> a </w:t>
            </w:r>
            <w:proofErr w:type="spellStart"/>
            <w:r w:rsidRPr="0026420A">
              <w:t>joint</w:t>
            </w:r>
            <w:proofErr w:type="spellEnd"/>
            <w:r w:rsidRPr="0026420A">
              <w:t xml:space="preserve"> data </w:t>
            </w:r>
            <w:proofErr w:type="spellStart"/>
            <w:r w:rsidRPr="0026420A">
              <w:t>and</w:t>
            </w:r>
            <w:proofErr w:type="spellEnd"/>
            <w:r w:rsidRPr="0026420A">
              <w:t xml:space="preserve"> </w:t>
            </w:r>
            <w:proofErr w:type="spellStart"/>
            <w:r w:rsidRPr="0026420A">
              <w:t>analytics</w:t>
            </w:r>
            <w:proofErr w:type="spellEnd"/>
            <w:r w:rsidRPr="0026420A">
              <w:t xml:space="preserve"> </w:t>
            </w:r>
            <w:proofErr w:type="spellStart"/>
            <w:r w:rsidRPr="0026420A">
              <w:t>capability</w:t>
            </w:r>
            <w:proofErr w:type="spellEnd"/>
            <w:r w:rsidRPr="0026420A">
              <w:t xml:space="preserve">, </w:t>
            </w:r>
            <w:proofErr w:type="spellStart"/>
            <w:r w:rsidRPr="0026420A">
              <w:t>including</w:t>
            </w:r>
            <w:proofErr w:type="spellEnd"/>
            <w:r w:rsidRPr="0026420A">
              <w:t xml:space="preserve"> </w:t>
            </w:r>
            <w:proofErr w:type="spellStart"/>
            <w:r w:rsidRPr="0026420A">
              <w:t>blockchain</w:t>
            </w:r>
            <w:proofErr w:type="spellEnd"/>
            <w:r w:rsidRPr="0026420A">
              <w:t xml:space="preserve"> </w:t>
            </w:r>
            <w:proofErr w:type="spellStart"/>
            <w:r w:rsidRPr="0026420A">
              <w:t>analytics</w:t>
            </w:r>
            <w:proofErr w:type="spellEnd"/>
            <w:r w:rsidRPr="0026420A">
              <w:t xml:space="preserve">, incident </w:t>
            </w:r>
            <w:proofErr w:type="spellStart"/>
            <w:r w:rsidRPr="0026420A">
              <w:t>reporting</w:t>
            </w:r>
            <w:proofErr w:type="spellEnd"/>
            <w:r w:rsidRPr="0026420A">
              <w:t xml:space="preserve">, </w:t>
            </w:r>
            <w:proofErr w:type="spellStart"/>
            <w:r w:rsidRPr="0026420A">
              <w:t>cross-border</w:t>
            </w:r>
            <w:proofErr w:type="spellEnd"/>
            <w:r w:rsidRPr="0026420A">
              <w:t xml:space="preserve"> intelligence </w:t>
            </w:r>
            <w:proofErr w:type="spellStart"/>
            <w:r w:rsidRPr="0026420A">
              <w:t>and</w:t>
            </w:r>
            <w:proofErr w:type="spellEnd"/>
            <w:r w:rsidRPr="0026420A">
              <w:t xml:space="preserve"> a </w:t>
            </w:r>
            <w:proofErr w:type="spellStart"/>
            <w:r w:rsidRPr="0026420A">
              <w:t>methodology</w:t>
            </w:r>
            <w:proofErr w:type="spellEnd"/>
            <w:r w:rsidRPr="0026420A">
              <w:t xml:space="preserve"> for </w:t>
            </w:r>
            <w:proofErr w:type="spellStart"/>
            <w:r w:rsidRPr="0026420A">
              <w:t>the</w:t>
            </w:r>
            <w:proofErr w:type="spellEnd"/>
            <w:r w:rsidRPr="0026420A">
              <w:t xml:space="preserve"> </w:t>
            </w:r>
            <w:proofErr w:type="spellStart"/>
            <w:r w:rsidRPr="0026420A">
              <w:t>annual</w:t>
            </w:r>
            <w:proofErr w:type="spellEnd"/>
            <w:r w:rsidRPr="0026420A">
              <w:t xml:space="preserve"> market report.</w:t>
            </w:r>
          </w:p>
          <w:p w14:paraId="5B32F7EE"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pPr>
            <w:r w:rsidRPr="0026420A">
              <w:t xml:space="preserve">Prepare </w:t>
            </w:r>
            <w:proofErr w:type="spellStart"/>
            <w:r w:rsidRPr="0026420A">
              <w:t>internal</w:t>
            </w:r>
            <w:proofErr w:type="spellEnd"/>
            <w:r w:rsidRPr="0026420A">
              <w:t xml:space="preserve"> </w:t>
            </w:r>
            <w:proofErr w:type="spellStart"/>
            <w:r w:rsidRPr="0026420A">
              <w:t>manuals</w:t>
            </w:r>
            <w:proofErr w:type="spellEnd"/>
            <w:r w:rsidRPr="0026420A">
              <w:t xml:space="preserve"> </w:t>
            </w:r>
            <w:proofErr w:type="spellStart"/>
            <w:r w:rsidRPr="0026420A">
              <w:t>and</w:t>
            </w:r>
            <w:proofErr w:type="spellEnd"/>
            <w:r w:rsidRPr="0026420A">
              <w:t xml:space="preserve"> training for </w:t>
            </w:r>
            <w:proofErr w:type="spellStart"/>
            <w:r w:rsidRPr="0026420A">
              <w:t>supervisory</w:t>
            </w:r>
            <w:proofErr w:type="spellEnd"/>
            <w:r w:rsidRPr="0026420A">
              <w:t xml:space="preserve"> staff on DLT, </w:t>
            </w:r>
            <w:proofErr w:type="spellStart"/>
            <w:r w:rsidRPr="0026420A">
              <w:t>custody</w:t>
            </w:r>
            <w:proofErr w:type="spellEnd"/>
            <w:r w:rsidRPr="0026420A">
              <w:t xml:space="preserve">, </w:t>
            </w:r>
            <w:proofErr w:type="spellStart"/>
            <w:r w:rsidRPr="0026420A">
              <w:t>reserve</w:t>
            </w:r>
            <w:proofErr w:type="spellEnd"/>
            <w:r w:rsidRPr="0026420A">
              <w:t xml:space="preserve"> management, market </w:t>
            </w:r>
            <w:proofErr w:type="spellStart"/>
            <w:r w:rsidRPr="0026420A">
              <w:t>abuse</w:t>
            </w:r>
            <w:proofErr w:type="spellEnd"/>
            <w:r w:rsidRPr="0026420A">
              <w:t xml:space="preserve">, </w:t>
            </w:r>
            <w:proofErr w:type="spellStart"/>
            <w:r w:rsidRPr="0026420A">
              <w:t>cyber</w:t>
            </w:r>
            <w:proofErr w:type="spellEnd"/>
            <w:r w:rsidRPr="0026420A">
              <w:t xml:space="preserve"> </w:t>
            </w:r>
            <w:proofErr w:type="spellStart"/>
            <w:r w:rsidRPr="0026420A">
              <w:t>risk</w:t>
            </w:r>
            <w:proofErr w:type="spellEnd"/>
            <w:r w:rsidRPr="0026420A">
              <w:t xml:space="preserve"> </w:t>
            </w:r>
            <w:proofErr w:type="spellStart"/>
            <w:r w:rsidRPr="0026420A">
              <w:t>and</w:t>
            </w:r>
            <w:proofErr w:type="spellEnd"/>
            <w:r w:rsidRPr="0026420A">
              <w:t xml:space="preserve"> </w:t>
            </w:r>
            <w:proofErr w:type="spellStart"/>
            <w:r w:rsidRPr="0026420A">
              <w:t>crypto</w:t>
            </w:r>
            <w:proofErr w:type="spellEnd"/>
            <w:r w:rsidRPr="0026420A">
              <w:t>-specific AML/CFT.</w:t>
            </w:r>
          </w:p>
          <w:p w14:paraId="4D5E4285"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pPr>
            <w:r w:rsidRPr="0026420A">
              <w:t xml:space="preserve">Conduct a formal </w:t>
            </w:r>
            <w:proofErr w:type="spellStart"/>
            <w:r w:rsidRPr="0026420A">
              <w:t>implementation</w:t>
            </w:r>
            <w:proofErr w:type="spellEnd"/>
            <w:r w:rsidRPr="0026420A">
              <w:t xml:space="preserve"> </w:t>
            </w:r>
            <w:proofErr w:type="spellStart"/>
            <w:r w:rsidRPr="0026420A">
              <w:t>review</w:t>
            </w:r>
            <w:proofErr w:type="spellEnd"/>
            <w:r w:rsidRPr="0026420A">
              <w:t xml:space="preserve"> </w:t>
            </w:r>
            <w:proofErr w:type="spellStart"/>
            <w:r w:rsidRPr="0026420A">
              <w:t>approximately</w:t>
            </w:r>
            <w:proofErr w:type="spellEnd"/>
            <w:r w:rsidRPr="0026420A">
              <w:t xml:space="preserve"> 12 </w:t>
            </w:r>
            <w:proofErr w:type="spellStart"/>
            <w:r w:rsidRPr="0026420A">
              <w:t>months</w:t>
            </w:r>
            <w:proofErr w:type="spellEnd"/>
            <w:r w:rsidRPr="0026420A">
              <w:t xml:space="preserve"> </w:t>
            </w:r>
            <w:proofErr w:type="spellStart"/>
            <w:r w:rsidRPr="0026420A">
              <w:t>after</w:t>
            </w:r>
            <w:proofErr w:type="spellEnd"/>
            <w:r w:rsidRPr="0026420A">
              <w:t xml:space="preserve"> </w:t>
            </w:r>
            <w:proofErr w:type="spellStart"/>
            <w:r w:rsidRPr="0026420A">
              <w:t>entry</w:t>
            </w:r>
            <w:proofErr w:type="spellEnd"/>
            <w:r w:rsidRPr="0026420A">
              <w:t xml:space="preserve"> </w:t>
            </w:r>
            <w:proofErr w:type="spellStart"/>
            <w:r w:rsidRPr="0026420A">
              <w:t>into</w:t>
            </w:r>
            <w:proofErr w:type="spellEnd"/>
            <w:r w:rsidRPr="0026420A">
              <w:t xml:space="preserve"> </w:t>
            </w:r>
            <w:proofErr w:type="spellStart"/>
            <w:r w:rsidRPr="0026420A">
              <w:t>force</w:t>
            </w:r>
            <w:proofErr w:type="spellEnd"/>
            <w:r w:rsidRPr="0026420A">
              <w:t xml:space="preserve"> </w:t>
            </w:r>
            <w:proofErr w:type="spellStart"/>
            <w:r w:rsidRPr="0026420A">
              <w:t>and</w:t>
            </w:r>
            <w:proofErr w:type="spellEnd"/>
            <w:r w:rsidRPr="0026420A">
              <w:t xml:space="preserve"> update </w:t>
            </w:r>
            <w:proofErr w:type="spellStart"/>
            <w:r w:rsidRPr="0026420A">
              <w:t>secondary</w:t>
            </w:r>
            <w:proofErr w:type="spellEnd"/>
            <w:r w:rsidRPr="0026420A">
              <w:t xml:space="preserve"> </w:t>
            </w:r>
            <w:proofErr w:type="spellStart"/>
            <w:r w:rsidRPr="0026420A">
              <w:t>legislation</w:t>
            </w:r>
            <w:proofErr w:type="spellEnd"/>
            <w:r w:rsidRPr="0026420A">
              <w:t xml:space="preserve"> or </w:t>
            </w:r>
            <w:proofErr w:type="spellStart"/>
            <w:r w:rsidRPr="0026420A">
              <w:t>guidance</w:t>
            </w:r>
            <w:proofErr w:type="spellEnd"/>
            <w:r w:rsidRPr="0026420A">
              <w:t xml:space="preserve"> in </w:t>
            </w:r>
            <w:proofErr w:type="spellStart"/>
            <w:r w:rsidRPr="0026420A">
              <w:t>light</w:t>
            </w:r>
            <w:proofErr w:type="spellEnd"/>
            <w:r w:rsidRPr="0026420A">
              <w:t xml:space="preserve"> of </w:t>
            </w:r>
            <w:proofErr w:type="spellStart"/>
            <w:r w:rsidRPr="0026420A">
              <w:t>early</w:t>
            </w:r>
            <w:proofErr w:type="spellEnd"/>
            <w:r w:rsidRPr="0026420A">
              <w:t xml:space="preserve"> market </w:t>
            </w:r>
            <w:proofErr w:type="spellStart"/>
            <w:r w:rsidRPr="0026420A">
              <w:t>experience</w:t>
            </w:r>
            <w:proofErr w:type="spellEnd"/>
            <w:r w:rsidRPr="0026420A">
              <w:t xml:space="preserve"> </w:t>
            </w:r>
            <w:proofErr w:type="spellStart"/>
            <w:r w:rsidRPr="0026420A">
              <w:t>and</w:t>
            </w:r>
            <w:proofErr w:type="spellEnd"/>
            <w:r w:rsidRPr="0026420A">
              <w:t xml:space="preserve"> </w:t>
            </w:r>
            <w:proofErr w:type="spellStart"/>
            <w:r w:rsidRPr="0026420A">
              <w:t>the</w:t>
            </w:r>
            <w:proofErr w:type="spellEnd"/>
            <w:r w:rsidRPr="0026420A">
              <w:t xml:space="preserve"> final </w:t>
            </w:r>
            <w:proofErr w:type="spellStart"/>
            <w:r w:rsidRPr="0026420A">
              <w:t>sectoral</w:t>
            </w:r>
            <w:proofErr w:type="spellEnd"/>
            <w:r w:rsidRPr="0026420A">
              <w:t xml:space="preserve"> </w:t>
            </w:r>
            <w:proofErr w:type="spellStart"/>
            <w:r w:rsidRPr="0026420A">
              <w:t>risk</w:t>
            </w:r>
            <w:proofErr w:type="spellEnd"/>
            <w:r w:rsidRPr="0026420A">
              <w:t xml:space="preserve"> </w:t>
            </w:r>
            <w:proofErr w:type="spellStart"/>
            <w:r w:rsidRPr="0026420A">
              <w:t>assessment</w:t>
            </w:r>
            <w:proofErr w:type="spellEnd"/>
            <w:r w:rsidRPr="0026420A">
              <w:t>.</w:t>
            </w:r>
          </w:p>
          <w:p w14:paraId="342AD916"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pPr>
          </w:p>
          <w:p w14:paraId="6AD6E2A1"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pPr>
            <w:r w:rsidRPr="0026420A">
              <w:rPr>
                <w:i/>
                <w:iCs/>
              </w:rPr>
              <w:t>Traducere neoficială în limba română:</w:t>
            </w:r>
          </w:p>
          <w:p w14:paraId="50C118D3"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rPr>
                <w:b/>
                <w:bCs/>
                <w:i/>
                <w:iCs/>
              </w:rPr>
            </w:pPr>
            <w:r w:rsidRPr="0026420A">
              <w:rPr>
                <w:b/>
                <w:bCs/>
                <w:i/>
                <w:iCs/>
              </w:rPr>
              <w:t>4.5. Implementare și pregătirea pieței</w:t>
            </w:r>
          </w:p>
          <w:p w14:paraId="1AE22481"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rPr>
                <w:i/>
                <w:iCs/>
              </w:rPr>
            </w:pPr>
            <w:r w:rsidRPr="0026420A">
              <w:rPr>
                <w:i/>
                <w:iCs/>
              </w:rPr>
              <w:t>Pregătirea și publicarea primului pachet de acte de punere în aplicare, formulare, modele, registre și proceduri de soluționare a plângerilor înainte de perioada de tranziție sau chiar la începutul acesteia.</w:t>
            </w:r>
          </w:p>
          <w:p w14:paraId="709F3823"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rPr>
                <w:i/>
                <w:iCs/>
              </w:rPr>
            </w:pPr>
            <w:r w:rsidRPr="0026420A">
              <w:rPr>
                <w:i/>
                <w:iCs/>
              </w:rPr>
              <w:t xml:space="preserve">Utilizarea perioadei de tranziție de șase luni ca fereastră structurată de </w:t>
            </w:r>
            <w:proofErr w:type="spellStart"/>
            <w:r w:rsidRPr="0026420A">
              <w:rPr>
                <w:i/>
                <w:iCs/>
              </w:rPr>
              <w:t>preautorizare</w:t>
            </w:r>
            <w:proofErr w:type="spellEnd"/>
            <w:r w:rsidRPr="0026420A">
              <w:rPr>
                <w:i/>
                <w:iCs/>
              </w:rPr>
              <w:t xml:space="preserve"> pentru actorii existenți, susținută prin sesiuni de întrebări și răspunsuri, dialog cu industria și așteptări clare de supraveghere.</w:t>
            </w:r>
          </w:p>
          <w:p w14:paraId="2739774D"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rPr>
                <w:i/>
                <w:iCs/>
              </w:rPr>
            </w:pPr>
            <w:r w:rsidRPr="0026420A">
              <w:rPr>
                <w:i/>
                <w:iCs/>
              </w:rPr>
              <w:t xml:space="preserve">Dezvoltarea unei capacități comune de date și analiză, inclusiv analiză </w:t>
            </w:r>
            <w:proofErr w:type="spellStart"/>
            <w:r w:rsidRPr="0026420A">
              <w:rPr>
                <w:i/>
                <w:iCs/>
              </w:rPr>
              <w:t>blockchain</w:t>
            </w:r>
            <w:proofErr w:type="spellEnd"/>
            <w:r w:rsidRPr="0026420A">
              <w:rPr>
                <w:i/>
                <w:iCs/>
              </w:rPr>
              <w:t>, raportarea incidentelor, informații transfrontaliere și o metodologie pentru raportul anual privind piața.</w:t>
            </w:r>
          </w:p>
          <w:p w14:paraId="62A27DB1"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rPr>
                <w:i/>
                <w:iCs/>
              </w:rPr>
            </w:pPr>
            <w:r w:rsidRPr="0026420A">
              <w:rPr>
                <w:i/>
                <w:iCs/>
              </w:rPr>
              <w:t xml:space="preserve">Pregătirea manualelor interne și a instruirilor pentru personalul de supraveghere privind DLT, custodia, administrarea rezervelor, abuzul de piață, riscul cibernetic și AML/CFT specific </w:t>
            </w:r>
            <w:proofErr w:type="spellStart"/>
            <w:r w:rsidRPr="0026420A">
              <w:rPr>
                <w:i/>
                <w:iCs/>
              </w:rPr>
              <w:t>criptoactivelor</w:t>
            </w:r>
            <w:proofErr w:type="spellEnd"/>
            <w:r w:rsidRPr="0026420A">
              <w:rPr>
                <w:i/>
                <w:iCs/>
              </w:rPr>
              <w:t>.</w:t>
            </w:r>
          </w:p>
          <w:p w14:paraId="307403DC" w14:textId="0EBCDC66" w:rsidR="00BC51DD" w:rsidRPr="0026420A" w:rsidRDefault="00BC51DD" w:rsidP="00BC51DD">
            <w:pPr>
              <w:pBdr>
                <w:top w:val="none" w:sz="4" w:space="0" w:color="000000"/>
                <w:left w:val="none" w:sz="4" w:space="0" w:color="000000"/>
                <w:bottom w:val="none" w:sz="4" w:space="0" w:color="000000"/>
                <w:right w:val="none" w:sz="4" w:space="0" w:color="000000"/>
              </w:pBdr>
              <w:ind w:firstLine="0"/>
              <w:rPr>
                <w:i/>
                <w:iCs/>
              </w:rPr>
            </w:pPr>
            <w:r w:rsidRPr="0026420A">
              <w:rPr>
                <w:i/>
                <w:iCs/>
              </w:rPr>
              <w:t xml:space="preserve">Efectuarea unei revizuiri formale a implementării la aproximativ 12 luni de la intrarea în vigoare și actualizarea legislației secundare sau a ghidurilor în lumina experienței inițiale de piață și a </w:t>
            </w:r>
            <w:proofErr w:type="spellStart"/>
            <w:r w:rsidRPr="0026420A">
              <w:rPr>
                <w:i/>
                <w:iCs/>
              </w:rPr>
              <w:t>evaluăriisectoriale</w:t>
            </w:r>
            <w:proofErr w:type="spellEnd"/>
            <w:r w:rsidRPr="0026420A">
              <w:rPr>
                <w:i/>
                <w:iCs/>
              </w:rPr>
              <w:t xml:space="preserve"> finale a riscurilor.</w:t>
            </w:r>
          </w:p>
        </w:tc>
        <w:tc>
          <w:tcPr>
            <w:tcW w:w="5281" w:type="dxa"/>
            <w:tcMar>
              <w:top w:w="0" w:type="dxa"/>
              <w:left w:w="108" w:type="dxa"/>
              <w:bottom w:w="0" w:type="dxa"/>
              <w:right w:w="108" w:type="dxa"/>
            </w:tcMar>
          </w:tcPr>
          <w:p w14:paraId="2D5C0D47" w14:textId="77777777" w:rsidR="00ED2CA9" w:rsidRPr="0026420A" w:rsidRDefault="00BC51DD" w:rsidP="00BC51DD">
            <w:pPr>
              <w:pBdr>
                <w:top w:val="none" w:sz="4" w:space="0" w:color="000000"/>
                <w:left w:val="none" w:sz="4" w:space="0" w:color="000000"/>
                <w:bottom w:val="none" w:sz="4" w:space="0" w:color="000000"/>
                <w:right w:val="none" w:sz="4" w:space="0" w:color="000000"/>
              </w:pBdr>
              <w:ind w:firstLine="0"/>
              <w:rPr>
                <w:b/>
                <w:bCs/>
              </w:rPr>
            </w:pPr>
            <w:r w:rsidRPr="0026420A">
              <w:rPr>
                <w:b/>
                <w:bCs/>
              </w:rPr>
              <w:t>Se ia act.</w:t>
            </w:r>
          </w:p>
          <w:p w14:paraId="6DC4DA99" w14:textId="48DE686A" w:rsidR="00BC51DD" w:rsidRPr="0026420A" w:rsidRDefault="00BC51DD" w:rsidP="00BC51DD">
            <w:pPr>
              <w:pBdr>
                <w:top w:val="none" w:sz="4" w:space="0" w:color="000000"/>
                <w:left w:val="none" w:sz="4" w:space="0" w:color="000000"/>
                <w:bottom w:val="none" w:sz="4" w:space="0" w:color="000000"/>
                <w:right w:val="none" w:sz="4" w:space="0" w:color="000000"/>
              </w:pBdr>
              <w:ind w:firstLine="0"/>
            </w:pPr>
            <w:r w:rsidRPr="0026420A">
              <w:t>Actele normative secundare pentru implementarea Legii, formularele, modelele, registrele, procedurile privind plângerile și ghidurile relevante vor fi elaborate și aprobate până la intrarea în vigoare sau în perioada de tranzitorie, în vederea asigurării aplicării coerentă a legii.</w:t>
            </w:r>
          </w:p>
        </w:tc>
      </w:tr>
      <w:tr w:rsidR="00BC51DD" w:rsidRPr="0026420A" w14:paraId="5AA9BE5B" w14:textId="77777777" w:rsidTr="001F4857">
        <w:trPr>
          <w:trHeight w:val="1185"/>
        </w:trPr>
        <w:tc>
          <w:tcPr>
            <w:tcW w:w="2206" w:type="dxa"/>
            <w:tcBorders>
              <w:top w:val="single" w:sz="4" w:space="0" w:color="auto"/>
              <w:bottom w:val="single" w:sz="4" w:space="0" w:color="auto"/>
            </w:tcBorders>
            <w:tcMar>
              <w:top w:w="0" w:type="dxa"/>
              <w:left w:w="108" w:type="dxa"/>
              <w:bottom w:w="0" w:type="dxa"/>
              <w:right w:w="108" w:type="dxa"/>
            </w:tcMar>
          </w:tcPr>
          <w:p w14:paraId="31435CE7" w14:textId="77777777" w:rsidR="00BC51DD" w:rsidRPr="0026420A" w:rsidRDefault="00BC51DD" w:rsidP="00BC51DD">
            <w:pPr>
              <w:ind w:firstLine="0"/>
              <w:rPr>
                <w:b/>
                <w:bCs/>
              </w:rPr>
            </w:pPr>
            <w:r w:rsidRPr="0026420A">
              <w:rPr>
                <w:b/>
                <w:bCs/>
              </w:rPr>
              <w:t xml:space="preserve">Serviciul Fiscal de Stat </w:t>
            </w:r>
          </w:p>
          <w:p w14:paraId="13827F6B" w14:textId="65CEA3FE" w:rsidR="00BC51DD" w:rsidRPr="0026420A" w:rsidRDefault="00BC51DD" w:rsidP="00BC51DD">
            <w:pPr>
              <w:ind w:firstLine="0"/>
              <w:jc w:val="left"/>
              <w:rPr>
                <w:i/>
                <w:iCs/>
              </w:rPr>
            </w:pPr>
            <w:r w:rsidRPr="0026420A">
              <w:rPr>
                <w:i/>
                <w:iCs/>
              </w:rPr>
              <w:t>Nr. 26-12/4-08-71312 din 15.04.2026</w:t>
            </w:r>
          </w:p>
          <w:p w14:paraId="1FE7461A" w14:textId="77777777" w:rsidR="00BC51DD" w:rsidRPr="0026420A" w:rsidRDefault="00BC51DD" w:rsidP="00BC51DD">
            <w:pPr>
              <w:ind w:firstLine="0"/>
              <w:jc w:val="left"/>
              <w:rPr>
                <w:b/>
                <w:bCs/>
              </w:rPr>
            </w:pPr>
          </w:p>
        </w:tc>
        <w:tc>
          <w:tcPr>
            <w:tcW w:w="579" w:type="dxa"/>
            <w:tcMar>
              <w:top w:w="0" w:type="dxa"/>
              <w:left w:w="108" w:type="dxa"/>
              <w:bottom w:w="0" w:type="dxa"/>
              <w:right w:w="108" w:type="dxa"/>
            </w:tcMar>
          </w:tcPr>
          <w:p w14:paraId="06791E9A" w14:textId="77777777" w:rsidR="00BC51DD" w:rsidRPr="0026420A" w:rsidRDefault="00BC51DD" w:rsidP="00BC51DD">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2A6AFEA6"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pPr>
            <w:r w:rsidRPr="0026420A">
              <w:t>Lipsa de obiecții și propuneri.</w:t>
            </w:r>
          </w:p>
          <w:p w14:paraId="7AA14A7A"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pPr>
          </w:p>
          <w:p w14:paraId="2CE9B408"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pPr>
          </w:p>
          <w:p w14:paraId="6F97B489" w14:textId="0AB06A46" w:rsidR="00BC51DD" w:rsidRPr="0026420A" w:rsidRDefault="00BC51DD" w:rsidP="00BC51DD">
            <w:pPr>
              <w:pBdr>
                <w:top w:val="none" w:sz="4" w:space="0" w:color="000000"/>
                <w:left w:val="none" w:sz="4" w:space="0" w:color="000000"/>
                <w:bottom w:val="none" w:sz="4" w:space="0" w:color="000000"/>
                <w:right w:val="none" w:sz="4" w:space="0" w:color="000000"/>
              </w:pBdr>
              <w:ind w:firstLine="0"/>
              <w:rPr>
                <w:b/>
                <w:bCs/>
              </w:rPr>
            </w:pPr>
          </w:p>
        </w:tc>
        <w:tc>
          <w:tcPr>
            <w:tcW w:w="5281" w:type="dxa"/>
            <w:tcMar>
              <w:top w:w="0" w:type="dxa"/>
              <w:left w:w="108" w:type="dxa"/>
              <w:bottom w:w="0" w:type="dxa"/>
              <w:right w:w="108" w:type="dxa"/>
            </w:tcMar>
          </w:tcPr>
          <w:p w14:paraId="29F5ED9F" w14:textId="0B869A13" w:rsidR="00BC51DD" w:rsidRPr="0026420A" w:rsidRDefault="00BC51DD" w:rsidP="00BC51DD">
            <w:pPr>
              <w:pBdr>
                <w:top w:val="none" w:sz="4" w:space="0" w:color="000000"/>
                <w:left w:val="none" w:sz="4" w:space="0" w:color="000000"/>
                <w:bottom w:val="none" w:sz="4" w:space="0" w:color="000000"/>
                <w:right w:val="none" w:sz="4" w:space="0" w:color="000000"/>
              </w:pBdr>
              <w:ind w:firstLine="0"/>
            </w:pPr>
          </w:p>
        </w:tc>
      </w:tr>
      <w:tr w:rsidR="00BC51DD" w:rsidRPr="0026420A" w14:paraId="2ED85C68" w14:textId="77777777" w:rsidTr="001F4857">
        <w:trPr>
          <w:trHeight w:val="615"/>
        </w:trPr>
        <w:tc>
          <w:tcPr>
            <w:tcW w:w="2206" w:type="dxa"/>
            <w:tcBorders>
              <w:top w:val="single" w:sz="4" w:space="0" w:color="auto"/>
              <w:bottom w:val="single" w:sz="4" w:space="0" w:color="auto"/>
            </w:tcBorders>
            <w:tcMar>
              <w:top w:w="0" w:type="dxa"/>
              <w:left w:w="108" w:type="dxa"/>
              <w:bottom w:w="0" w:type="dxa"/>
              <w:right w:w="108" w:type="dxa"/>
            </w:tcMar>
          </w:tcPr>
          <w:p w14:paraId="11129568" w14:textId="77777777" w:rsidR="00BC51DD" w:rsidRPr="0026420A" w:rsidRDefault="00BC51DD" w:rsidP="00BC51DD">
            <w:pPr>
              <w:ind w:firstLine="0"/>
              <w:rPr>
                <w:b/>
                <w:bCs/>
              </w:rPr>
            </w:pPr>
            <w:r w:rsidRPr="0026420A">
              <w:rPr>
                <w:b/>
                <w:bCs/>
              </w:rPr>
              <w:lastRenderedPageBreak/>
              <w:t>Ministerul Sănătății</w:t>
            </w:r>
          </w:p>
          <w:p w14:paraId="10FA6FCE" w14:textId="77777777" w:rsidR="00BC51DD" w:rsidRPr="0026420A" w:rsidRDefault="00BC51DD" w:rsidP="00BC51DD">
            <w:pPr>
              <w:ind w:firstLine="0"/>
              <w:rPr>
                <w:i/>
                <w:iCs/>
              </w:rPr>
            </w:pPr>
            <w:r w:rsidRPr="0026420A">
              <w:rPr>
                <w:i/>
                <w:iCs/>
              </w:rPr>
              <w:t xml:space="preserve">Nr. 27/1377 </w:t>
            </w:r>
          </w:p>
          <w:p w14:paraId="58377956" w14:textId="729FEE13" w:rsidR="00BC51DD" w:rsidRPr="0026420A" w:rsidRDefault="00BC51DD" w:rsidP="00BC51DD">
            <w:pPr>
              <w:ind w:firstLine="0"/>
              <w:jc w:val="left"/>
              <w:rPr>
                <w:b/>
                <w:bCs/>
              </w:rPr>
            </w:pPr>
            <w:r w:rsidRPr="0026420A">
              <w:rPr>
                <w:i/>
                <w:iCs/>
              </w:rPr>
              <w:t>din 21.04.2026</w:t>
            </w:r>
          </w:p>
        </w:tc>
        <w:tc>
          <w:tcPr>
            <w:tcW w:w="579" w:type="dxa"/>
            <w:tcMar>
              <w:top w:w="0" w:type="dxa"/>
              <w:left w:w="108" w:type="dxa"/>
              <w:bottom w:w="0" w:type="dxa"/>
              <w:right w:w="108" w:type="dxa"/>
            </w:tcMar>
          </w:tcPr>
          <w:p w14:paraId="6336B766" w14:textId="77777777" w:rsidR="00BC51DD" w:rsidRPr="0026420A" w:rsidRDefault="00BC51DD" w:rsidP="00BC51DD">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5B2E6FD4"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pPr>
            <w:r w:rsidRPr="0026420A">
              <w:t>Lipsa de obiecții și propuneri.</w:t>
            </w:r>
          </w:p>
          <w:p w14:paraId="66987D6E"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pPr>
          </w:p>
          <w:p w14:paraId="4526B81E" w14:textId="18E14B07" w:rsidR="00BC51DD" w:rsidRPr="0026420A" w:rsidRDefault="00BC51DD" w:rsidP="00BC51DD">
            <w:pPr>
              <w:pBdr>
                <w:top w:val="none" w:sz="4" w:space="0" w:color="000000"/>
                <w:left w:val="none" w:sz="4" w:space="0" w:color="000000"/>
                <w:bottom w:val="none" w:sz="4" w:space="0" w:color="000000"/>
                <w:right w:val="none" w:sz="4" w:space="0" w:color="000000"/>
              </w:pBdr>
              <w:ind w:firstLine="0"/>
              <w:rPr>
                <w:b/>
                <w:bCs/>
              </w:rPr>
            </w:pPr>
          </w:p>
        </w:tc>
        <w:tc>
          <w:tcPr>
            <w:tcW w:w="5281" w:type="dxa"/>
            <w:tcMar>
              <w:top w:w="0" w:type="dxa"/>
              <w:left w:w="108" w:type="dxa"/>
              <w:bottom w:w="0" w:type="dxa"/>
              <w:right w:w="108" w:type="dxa"/>
            </w:tcMar>
          </w:tcPr>
          <w:p w14:paraId="79723E99" w14:textId="3C6F36D6" w:rsidR="00BC51DD" w:rsidRPr="0026420A" w:rsidRDefault="00BC51DD" w:rsidP="00BC51DD">
            <w:pPr>
              <w:pBdr>
                <w:top w:val="none" w:sz="4" w:space="0" w:color="000000"/>
                <w:left w:val="none" w:sz="4" w:space="0" w:color="000000"/>
                <w:bottom w:val="none" w:sz="4" w:space="0" w:color="000000"/>
                <w:right w:val="none" w:sz="4" w:space="0" w:color="000000"/>
              </w:pBdr>
              <w:ind w:firstLine="0"/>
              <w:jc w:val="left"/>
              <w:rPr>
                <w:b/>
                <w:bCs/>
              </w:rPr>
            </w:pPr>
          </w:p>
        </w:tc>
      </w:tr>
      <w:tr w:rsidR="00BC51DD" w:rsidRPr="0026420A" w14:paraId="47A3A425" w14:textId="77777777" w:rsidTr="001F4857">
        <w:trPr>
          <w:trHeight w:val="615"/>
        </w:trPr>
        <w:tc>
          <w:tcPr>
            <w:tcW w:w="2206" w:type="dxa"/>
            <w:tcBorders>
              <w:top w:val="single" w:sz="4" w:space="0" w:color="auto"/>
              <w:bottom w:val="single" w:sz="4" w:space="0" w:color="auto"/>
            </w:tcBorders>
            <w:tcMar>
              <w:top w:w="0" w:type="dxa"/>
              <w:left w:w="108" w:type="dxa"/>
              <w:bottom w:w="0" w:type="dxa"/>
              <w:right w:w="108" w:type="dxa"/>
            </w:tcMar>
          </w:tcPr>
          <w:p w14:paraId="42C85654" w14:textId="77777777" w:rsidR="00BC51DD" w:rsidRPr="0026420A" w:rsidRDefault="00BC51DD" w:rsidP="00BC51DD">
            <w:pPr>
              <w:ind w:firstLine="0"/>
              <w:jc w:val="left"/>
              <w:rPr>
                <w:b/>
                <w:bCs/>
              </w:rPr>
            </w:pPr>
            <w:r w:rsidRPr="0026420A">
              <w:rPr>
                <w:b/>
                <w:bCs/>
              </w:rPr>
              <w:t>Agenția pentru Securitate Cibernetică</w:t>
            </w:r>
          </w:p>
          <w:p w14:paraId="2CF96FD9" w14:textId="1AA4BD45" w:rsidR="00BC51DD" w:rsidRPr="0026420A" w:rsidRDefault="00BC51DD" w:rsidP="00BC51DD">
            <w:pPr>
              <w:ind w:firstLine="0"/>
              <w:jc w:val="left"/>
              <w:rPr>
                <w:b/>
                <w:bCs/>
              </w:rPr>
            </w:pPr>
            <w:r w:rsidRPr="0026420A">
              <w:rPr>
                <w:i/>
                <w:iCs/>
              </w:rPr>
              <w:t>Nr. 08-315 din 07.05.2026</w:t>
            </w:r>
          </w:p>
        </w:tc>
        <w:tc>
          <w:tcPr>
            <w:tcW w:w="579" w:type="dxa"/>
            <w:tcMar>
              <w:top w:w="0" w:type="dxa"/>
              <w:left w:w="108" w:type="dxa"/>
              <w:bottom w:w="0" w:type="dxa"/>
              <w:right w:w="108" w:type="dxa"/>
            </w:tcMar>
          </w:tcPr>
          <w:p w14:paraId="78449425" w14:textId="77777777" w:rsidR="00BC51DD" w:rsidRPr="0026420A" w:rsidRDefault="00BC51DD" w:rsidP="00BC51DD">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27592273"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pPr>
            <w:r w:rsidRPr="0026420A">
              <w:t>Lipsa de obiecții și propuneri.</w:t>
            </w:r>
          </w:p>
          <w:p w14:paraId="67AE0C81"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pPr>
          </w:p>
          <w:p w14:paraId="25012800" w14:textId="77777777" w:rsidR="00BC51DD" w:rsidRPr="0026420A" w:rsidRDefault="00BC51DD" w:rsidP="00BC51DD">
            <w:pPr>
              <w:pBdr>
                <w:top w:val="none" w:sz="4" w:space="0" w:color="000000"/>
                <w:left w:val="none" w:sz="4" w:space="0" w:color="000000"/>
                <w:bottom w:val="none" w:sz="4" w:space="0" w:color="000000"/>
                <w:right w:val="none" w:sz="4" w:space="0" w:color="000000"/>
              </w:pBdr>
              <w:ind w:firstLine="0"/>
            </w:pPr>
          </w:p>
          <w:p w14:paraId="14BAFEEC" w14:textId="49578C4C" w:rsidR="00BC51DD" w:rsidRPr="0026420A" w:rsidRDefault="00BC51DD" w:rsidP="00BC51DD">
            <w:pPr>
              <w:pBdr>
                <w:top w:val="none" w:sz="4" w:space="0" w:color="000000"/>
                <w:left w:val="none" w:sz="4" w:space="0" w:color="000000"/>
                <w:bottom w:val="none" w:sz="4" w:space="0" w:color="000000"/>
                <w:right w:val="none" w:sz="4" w:space="0" w:color="000000"/>
              </w:pBdr>
              <w:ind w:firstLine="0"/>
            </w:pPr>
          </w:p>
          <w:p w14:paraId="79F4581B" w14:textId="065F6539" w:rsidR="00BC51DD" w:rsidRPr="0026420A" w:rsidRDefault="00BC51DD" w:rsidP="00BC51DD">
            <w:pPr>
              <w:pBdr>
                <w:top w:val="none" w:sz="4" w:space="0" w:color="000000"/>
                <w:left w:val="none" w:sz="4" w:space="0" w:color="000000"/>
                <w:bottom w:val="none" w:sz="4" w:space="0" w:color="000000"/>
                <w:right w:val="none" w:sz="4" w:space="0" w:color="000000"/>
              </w:pBdr>
              <w:ind w:firstLine="0"/>
              <w:rPr>
                <w:b/>
                <w:bCs/>
              </w:rPr>
            </w:pPr>
          </w:p>
        </w:tc>
        <w:tc>
          <w:tcPr>
            <w:tcW w:w="5281" w:type="dxa"/>
            <w:tcMar>
              <w:top w:w="0" w:type="dxa"/>
              <w:left w:w="108" w:type="dxa"/>
              <w:bottom w:w="0" w:type="dxa"/>
              <w:right w:w="108" w:type="dxa"/>
            </w:tcMar>
          </w:tcPr>
          <w:p w14:paraId="2DE51000" w14:textId="350AAB07" w:rsidR="00BC51DD" w:rsidRPr="0026420A" w:rsidRDefault="00BC51DD" w:rsidP="00BC51DD">
            <w:pPr>
              <w:pBdr>
                <w:top w:val="none" w:sz="4" w:space="0" w:color="000000"/>
                <w:left w:val="none" w:sz="4" w:space="0" w:color="000000"/>
                <w:bottom w:val="none" w:sz="4" w:space="0" w:color="000000"/>
                <w:right w:val="none" w:sz="4" w:space="0" w:color="000000"/>
              </w:pBdr>
              <w:ind w:firstLine="0"/>
              <w:jc w:val="left"/>
              <w:rPr>
                <w:b/>
                <w:bCs/>
              </w:rPr>
            </w:pPr>
            <w:r w:rsidRPr="0026420A">
              <w:t>.</w:t>
            </w:r>
          </w:p>
        </w:tc>
      </w:tr>
      <w:tr w:rsidR="00A06816" w:rsidRPr="0026420A" w14:paraId="1A8410AB" w14:textId="77777777" w:rsidTr="00A06816">
        <w:trPr>
          <w:trHeight w:val="318"/>
        </w:trPr>
        <w:tc>
          <w:tcPr>
            <w:tcW w:w="13887" w:type="dxa"/>
            <w:gridSpan w:val="4"/>
            <w:shd w:val="clear" w:color="auto" w:fill="D9D9D9" w:themeFill="background1" w:themeFillShade="D9"/>
            <w:tcMar>
              <w:top w:w="0" w:type="dxa"/>
              <w:left w:w="108" w:type="dxa"/>
              <w:bottom w:w="0" w:type="dxa"/>
              <w:right w:w="108" w:type="dxa"/>
            </w:tcMar>
          </w:tcPr>
          <w:p w14:paraId="244C346D" w14:textId="1463523B" w:rsidR="00A06816" w:rsidRPr="0026420A" w:rsidRDefault="00A06816" w:rsidP="00A06816">
            <w:pPr>
              <w:ind w:firstLine="0"/>
              <w:jc w:val="center"/>
              <w:rPr>
                <w:b/>
                <w:bCs/>
                <w:iCs/>
              </w:rPr>
            </w:pPr>
            <w:r>
              <w:rPr>
                <w:b/>
                <w:bCs/>
                <w:iCs/>
              </w:rPr>
              <w:t>Avizare și consultare publică repetată</w:t>
            </w:r>
          </w:p>
        </w:tc>
      </w:tr>
      <w:tr w:rsidR="00A06816" w:rsidRPr="0026420A" w14:paraId="732F5FD7" w14:textId="77777777" w:rsidTr="00080634">
        <w:trPr>
          <w:trHeight w:val="615"/>
        </w:trPr>
        <w:tc>
          <w:tcPr>
            <w:tcW w:w="2206" w:type="dxa"/>
            <w:tcMar>
              <w:top w:w="0" w:type="dxa"/>
              <w:left w:w="108" w:type="dxa"/>
              <w:bottom w:w="0" w:type="dxa"/>
              <w:right w:w="108" w:type="dxa"/>
            </w:tcMar>
          </w:tcPr>
          <w:p w14:paraId="6A08046D" w14:textId="77777777" w:rsidR="00A06816" w:rsidRPr="0026420A" w:rsidRDefault="00A06816" w:rsidP="00A06816">
            <w:pPr>
              <w:ind w:firstLine="0"/>
              <w:jc w:val="left"/>
              <w:rPr>
                <w:b/>
                <w:bCs/>
              </w:rPr>
            </w:pPr>
            <w:r w:rsidRPr="0026420A">
              <w:rPr>
                <w:b/>
                <w:bCs/>
              </w:rPr>
              <w:t>Comisia Națională a Pieței Financiar</w:t>
            </w:r>
          </w:p>
          <w:p w14:paraId="509ECC7F" w14:textId="77777777" w:rsidR="00A06816" w:rsidRPr="0026420A" w:rsidRDefault="00A06816" w:rsidP="00A06816">
            <w:pPr>
              <w:ind w:firstLine="0"/>
              <w:jc w:val="left"/>
              <w:rPr>
                <w:b/>
                <w:bCs/>
              </w:rPr>
            </w:pPr>
          </w:p>
          <w:p w14:paraId="77180A7C" w14:textId="77777777" w:rsidR="00A06816" w:rsidRPr="0026420A" w:rsidRDefault="00A06816" w:rsidP="00A06816">
            <w:pPr>
              <w:ind w:firstLine="0"/>
              <w:jc w:val="left"/>
              <w:rPr>
                <w:i/>
                <w:iCs/>
              </w:rPr>
            </w:pPr>
            <w:r w:rsidRPr="0026420A">
              <w:rPr>
                <w:i/>
                <w:iCs/>
              </w:rPr>
              <w:t xml:space="preserve"> Nr. 06-4/2442 din 17.06.2026</w:t>
            </w:r>
          </w:p>
          <w:p w14:paraId="70573BE4" w14:textId="77777777" w:rsidR="00A06816" w:rsidRPr="0026420A" w:rsidRDefault="00A06816" w:rsidP="00A06816">
            <w:pPr>
              <w:ind w:firstLine="0"/>
              <w:jc w:val="left"/>
              <w:rPr>
                <w:i/>
                <w:iCs/>
              </w:rPr>
            </w:pPr>
            <w:r w:rsidRPr="0026420A">
              <w:rPr>
                <w:i/>
                <w:iCs/>
              </w:rPr>
              <w:t xml:space="preserve">Re: proiectul de lege privind piața </w:t>
            </w:r>
            <w:proofErr w:type="spellStart"/>
            <w:r w:rsidRPr="0026420A">
              <w:rPr>
                <w:i/>
                <w:iCs/>
              </w:rPr>
              <w:t>criptoactivelor</w:t>
            </w:r>
            <w:proofErr w:type="spellEnd"/>
          </w:p>
          <w:p w14:paraId="5F68E241" w14:textId="5DA19BFA" w:rsidR="00A06816" w:rsidRPr="0026420A" w:rsidRDefault="00A06816" w:rsidP="00A06816">
            <w:pPr>
              <w:ind w:firstLine="0"/>
              <w:jc w:val="left"/>
              <w:rPr>
                <w:b/>
                <w:bCs/>
              </w:rPr>
            </w:pPr>
            <w:r w:rsidRPr="0026420A">
              <w:rPr>
                <w:i/>
                <w:iCs/>
              </w:rPr>
              <w:t>(număr unic 338/MF/BNM/2026)</w:t>
            </w:r>
          </w:p>
        </w:tc>
        <w:tc>
          <w:tcPr>
            <w:tcW w:w="579" w:type="dxa"/>
            <w:tcMar>
              <w:top w:w="0" w:type="dxa"/>
              <w:left w:w="108" w:type="dxa"/>
              <w:bottom w:w="0" w:type="dxa"/>
              <w:right w:w="108" w:type="dxa"/>
            </w:tcMar>
          </w:tcPr>
          <w:p w14:paraId="55BCB63F"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1BE9B34B" w14:textId="77777777" w:rsidR="00A06816" w:rsidRPr="0026420A" w:rsidRDefault="00A06816" w:rsidP="00A06816">
            <w:pPr>
              <w:ind w:firstLine="0"/>
            </w:pPr>
            <w:r w:rsidRPr="0026420A">
              <w:t>Prin prezenta, Comisia Națională a Pieței Financiare (CNPF), urmare a</w:t>
            </w:r>
            <w:r>
              <w:t xml:space="preserve"> </w:t>
            </w:r>
            <w:r w:rsidRPr="0026420A">
              <w:t xml:space="preserve">examinării, în limitele competențelor conferite de Legea nr. 192/1998 privind Comisia Națională a Pieței Financiare, a proiectului de lege privind piața </w:t>
            </w:r>
            <w:proofErr w:type="spellStart"/>
            <w:r w:rsidRPr="0026420A">
              <w:t>criptoactivelor</w:t>
            </w:r>
            <w:proofErr w:type="spellEnd"/>
            <w:r w:rsidRPr="0026420A">
              <w:t xml:space="preserve"> (număr unic 338/MF/BNM/2026), autor – Ministerul Finanțelor/Banca </w:t>
            </w:r>
            <w:proofErr w:type="spellStart"/>
            <w:r w:rsidRPr="0026420A">
              <w:t>Naţională</w:t>
            </w:r>
            <w:proofErr w:type="spellEnd"/>
            <w:r w:rsidRPr="0026420A">
              <w:t xml:space="preserve"> a Moldovei, remis spre informare la etapa de expertizare, propune revizuirea prevederilor art. 86, art. 92 și art. 97 din proiect prin delimitarea expresă a măsurilor de sancțiunile aplicabile în temeiul legii. În acest sens, se recomandă reglementarea distinctă a măsurilor cu caracter preventiv/remediere de sancțiunile punitive (ex.: amendă, avertisment), prin enumerarea separată a acestora în cuprinsul articolelor vizate. O asemenea abordare ar asigura claritatea, coerența și previzibilitatea normei, precum și o delimitare clară a naturii intervențiilor de către autoritățile competente.</w:t>
            </w:r>
          </w:p>
          <w:p w14:paraId="6F90062E" w14:textId="77777777" w:rsidR="00A06816" w:rsidRPr="0026420A" w:rsidRDefault="00A06816" w:rsidP="00A06816">
            <w:pPr>
              <w:ind w:firstLine="0"/>
            </w:pPr>
          </w:p>
          <w:p w14:paraId="43A87889" w14:textId="77777777" w:rsidR="00A06816" w:rsidRPr="0026420A" w:rsidRDefault="00A06816" w:rsidP="00A06816">
            <w:pPr>
              <w:pBdr>
                <w:top w:val="none" w:sz="4" w:space="0" w:color="000000"/>
                <w:left w:val="none" w:sz="4" w:space="0" w:color="000000"/>
                <w:bottom w:val="none" w:sz="4" w:space="0" w:color="000000"/>
                <w:right w:val="none" w:sz="4" w:space="0" w:color="000000"/>
              </w:pBdr>
              <w:ind w:firstLine="0"/>
            </w:pPr>
          </w:p>
        </w:tc>
        <w:tc>
          <w:tcPr>
            <w:tcW w:w="5281" w:type="dxa"/>
            <w:tcMar>
              <w:top w:w="0" w:type="dxa"/>
              <w:left w:w="108" w:type="dxa"/>
              <w:bottom w:w="0" w:type="dxa"/>
              <w:right w:w="108" w:type="dxa"/>
            </w:tcMar>
          </w:tcPr>
          <w:p w14:paraId="034A0CEC" w14:textId="77777777" w:rsidR="00A06816" w:rsidRPr="0026420A" w:rsidRDefault="00A06816" w:rsidP="00A06816">
            <w:pPr>
              <w:ind w:firstLine="0"/>
              <w:rPr>
                <w:b/>
                <w:bCs/>
                <w:iCs/>
              </w:rPr>
            </w:pPr>
            <w:r w:rsidRPr="0026420A">
              <w:rPr>
                <w:b/>
                <w:bCs/>
                <w:iCs/>
              </w:rPr>
              <w:t>Se acceptă</w:t>
            </w:r>
            <w:r>
              <w:rPr>
                <w:b/>
                <w:bCs/>
                <w:iCs/>
              </w:rPr>
              <w:t xml:space="preserve"> parțial</w:t>
            </w:r>
            <w:r w:rsidRPr="0026420A">
              <w:rPr>
                <w:b/>
                <w:bCs/>
                <w:iCs/>
              </w:rPr>
              <w:t>.</w:t>
            </w:r>
          </w:p>
          <w:p w14:paraId="3124FDF5" w14:textId="4ADE771A"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pPr>
            <w:r w:rsidRPr="0026420A">
              <w:t xml:space="preserve">Textul </w:t>
            </w:r>
            <w:r w:rsidRPr="00C04374">
              <w:t>prevederilor art. 97 din proiectul de Lege se ajustează corespunzător.</w:t>
            </w:r>
          </w:p>
        </w:tc>
      </w:tr>
      <w:tr w:rsidR="00A06816" w:rsidRPr="0026420A" w14:paraId="67B27079" w14:textId="77777777" w:rsidTr="00080634">
        <w:trPr>
          <w:trHeight w:val="615"/>
        </w:trPr>
        <w:tc>
          <w:tcPr>
            <w:tcW w:w="2206" w:type="dxa"/>
            <w:tcMar>
              <w:top w:w="0" w:type="dxa"/>
              <w:left w:w="108" w:type="dxa"/>
              <w:bottom w:w="0" w:type="dxa"/>
              <w:right w:w="108" w:type="dxa"/>
            </w:tcMar>
          </w:tcPr>
          <w:p w14:paraId="538BF138" w14:textId="77777777" w:rsidR="00A06816" w:rsidRPr="0026420A" w:rsidRDefault="00A06816" w:rsidP="00A06816">
            <w:pPr>
              <w:ind w:firstLine="0"/>
              <w:jc w:val="left"/>
              <w:rPr>
                <w:b/>
                <w:bCs/>
              </w:rPr>
            </w:pPr>
            <w:r w:rsidRPr="0026420A">
              <w:rPr>
                <w:b/>
                <w:bCs/>
              </w:rPr>
              <w:t>Asociația Băncilor din Moldova</w:t>
            </w:r>
          </w:p>
          <w:p w14:paraId="3AB1DAD8" w14:textId="77777777" w:rsidR="00A06816" w:rsidRPr="0026420A" w:rsidRDefault="00A06816" w:rsidP="00A06816">
            <w:pPr>
              <w:ind w:firstLine="0"/>
              <w:jc w:val="left"/>
              <w:rPr>
                <w:b/>
                <w:bCs/>
              </w:rPr>
            </w:pPr>
          </w:p>
          <w:p w14:paraId="542560B7" w14:textId="77777777" w:rsidR="00A06816" w:rsidRPr="0026420A" w:rsidRDefault="00A06816" w:rsidP="00A06816">
            <w:pPr>
              <w:ind w:firstLine="0"/>
              <w:jc w:val="left"/>
              <w:rPr>
                <w:i/>
                <w:iCs/>
              </w:rPr>
            </w:pPr>
            <w:r w:rsidRPr="0026420A">
              <w:rPr>
                <w:i/>
                <w:iCs/>
              </w:rPr>
              <w:t>nr. 02-06/176</w:t>
            </w:r>
          </w:p>
          <w:p w14:paraId="38FC3AED" w14:textId="77777777" w:rsidR="00A06816" w:rsidRPr="0026420A" w:rsidRDefault="00A06816" w:rsidP="00A06816">
            <w:pPr>
              <w:ind w:firstLine="0"/>
              <w:jc w:val="left"/>
              <w:rPr>
                <w:i/>
                <w:iCs/>
              </w:rPr>
            </w:pPr>
            <w:r w:rsidRPr="0026420A">
              <w:rPr>
                <w:i/>
                <w:iCs/>
              </w:rPr>
              <w:t>din 22.06.2026</w:t>
            </w:r>
          </w:p>
          <w:p w14:paraId="08FD1502" w14:textId="3F6D65E6" w:rsidR="00A06816" w:rsidRPr="0026420A" w:rsidRDefault="00A06816" w:rsidP="00A06816">
            <w:pPr>
              <w:ind w:firstLine="0"/>
              <w:jc w:val="left"/>
              <w:rPr>
                <w:b/>
                <w:bCs/>
              </w:rPr>
            </w:pPr>
            <w:r w:rsidRPr="0026420A">
              <w:rPr>
                <w:i/>
                <w:iCs/>
              </w:rPr>
              <w:t xml:space="preserve"> </w:t>
            </w:r>
            <w:proofErr w:type="spellStart"/>
            <w:r w:rsidRPr="0026420A">
              <w:rPr>
                <w:i/>
                <w:iCs/>
              </w:rPr>
              <w:t>Ref</w:t>
            </w:r>
            <w:proofErr w:type="spellEnd"/>
            <w:r w:rsidRPr="0026420A">
              <w:rPr>
                <w:i/>
                <w:iCs/>
              </w:rPr>
              <w:t xml:space="preserve">: Proiectul de lege privind piața </w:t>
            </w:r>
            <w:proofErr w:type="spellStart"/>
            <w:r w:rsidRPr="0026420A">
              <w:rPr>
                <w:i/>
                <w:iCs/>
              </w:rPr>
              <w:t>criptoactivelor</w:t>
            </w:r>
            <w:proofErr w:type="spellEnd"/>
            <w:r w:rsidRPr="0026420A">
              <w:rPr>
                <w:i/>
                <w:iCs/>
              </w:rPr>
              <w:t xml:space="preserve"> (nr. unic338/MF/BNM/2026)</w:t>
            </w:r>
          </w:p>
        </w:tc>
        <w:tc>
          <w:tcPr>
            <w:tcW w:w="579" w:type="dxa"/>
            <w:tcMar>
              <w:top w:w="0" w:type="dxa"/>
              <w:left w:w="108" w:type="dxa"/>
              <w:bottom w:w="0" w:type="dxa"/>
              <w:right w:w="108" w:type="dxa"/>
            </w:tcMar>
          </w:tcPr>
          <w:p w14:paraId="701BB295"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62EAED30" w14:textId="77777777" w:rsidR="00A06816" w:rsidRPr="0026420A" w:rsidRDefault="00A06816" w:rsidP="00A06816">
            <w:pPr>
              <w:ind w:firstLine="0"/>
            </w:pPr>
            <w:r w:rsidRPr="0026420A">
              <w:t xml:space="preserve">În contextul procesului de consultare a Proiectului de Lege privind piața </w:t>
            </w:r>
            <w:proofErr w:type="spellStart"/>
            <w:r w:rsidRPr="0026420A">
              <w:t>criptoactivelor</w:t>
            </w:r>
            <w:proofErr w:type="spellEnd"/>
            <w:r w:rsidRPr="0026420A">
              <w:t xml:space="preserve">, Asociația Băncilor din Moldova a analizat prevederile acestuia prin prisma impactului potențial asupra sectorului bancar și a infrastructurii financiare. Recunoscând importanța instituirii unui cadru de reglementare pentru acest segment al pieței financiare, prezentăm o serie de observații și propuneri (suplimentar la Scrisoarea ANM nr. 02-06/128 din 11.05.2026), orientate spre consolidarea clarității juridice, gestionarea riscurilor și facilitarea implementării eficiente a prevederilor Proiectului. </w:t>
            </w:r>
          </w:p>
          <w:p w14:paraId="719EFB8E" w14:textId="699A32F6" w:rsidR="00A06816" w:rsidRPr="0026420A" w:rsidRDefault="00A06816" w:rsidP="00A06816">
            <w:pPr>
              <w:pBdr>
                <w:top w:val="none" w:sz="4" w:space="0" w:color="000000"/>
                <w:left w:val="none" w:sz="4" w:space="0" w:color="000000"/>
                <w:bottom w:val="none" w:sz="4" w:space="0" w:color="000000"/>
                <w:right w:val="none" w:sz="4" w:space="0" w:color="000000"/>
              </w:pBdr>
              <w:ind w:firstLine="0"/>
            </w:pPr>
            <w:r w:rsidRPr="0026420A">
              <w:t>Totodată, în spirit constructiv și în vederea perfecționării Proiectului, expunem mai jos o serie de propuneri, recomandări și sugestii formulate de ABM.</w:t>
            </w:r>
          </w:p>
        </w:tc>
        <w:tc>
          <w:tcPr>
            <w:tcW w:w="5281" w:type="dxa"/>
            <w:tcMar>
              <w:top w:w="0" w:type="dxa"/>
              <w:left w:w="108" w:type="dxa"/>
              <w:bottom w:w="0" w:type="dxa"/>
              <w:right w:w="108" w:type="dxa"/>
            </w:tcMar>
          </w:tcPr>
          <w:p w14:paraId="7B25797B" w14:textId="5BA1F01E"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pPr>
            <w:r>
              <w:rPr>
                <w:b/>
                <w:bCs/>
                <w:iCs/>
              </w:rPr>
              <w:t>Se ia act.</w:t>
            </w:r>
            <w:r>
              <w:rPr>
                <w:b/>
                <w:bCs/>
                <w:iCs/>
              </w:rPr>
              <w:br/>
            </w:r>
            <w:r>
              <w:rPr>
                <w:iCs/>
              </w:rPr>
              <w:t>Nu necesită intervenții.</w:t>
            </w:r>
          </w:p>
        </w:tc>
      </w:tr>
      <w:tr w:rsidR="00A06816" w:rsidRPr="0026420A" w14:paraId="4DAC98D4" w14:textId="77777777" w:rsidTr="00080634">
        <w:trPr>
          <w:trHeight w:val="615"/>
        </w:trPr>
        <w:tc>
          <w:tcPr>
            <w:tcW w:w="2206" w:type="dxa"/>
            <w:tcMar>
              <w:top w:w="0" w:type="dxa"/>
              <w:left w:w="108" w:type="dxa"/>
              <w:bottom w:w="0" w:type="dxa"/>
              <w:right w:w="108" w:type="dxa"/>
            </w:tcMar>
          </w:tcPr>
          <w:p w14:paraId="0986590B"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0212AABB"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6E858630" w14:textId="77777777" w:rsidR="00A06816" w:rsidRPr="0026420A" w:rsidRDefault="00A06816" w:rsidP="00A06816">
            <w:pPr>
              <w:ind w:firstLine="0"/>
            </w:pPr>
            <w:r w:rsidRPr="0026420A">
              <w:t>General:</w:t>
            </w:r>
          </w:p>
          <w:p w14:paraId="1379D0BB" w14:textId="77777777" w:rsidR="00A06816" w:rsidRPr="0026420A" w:rsidRDefault="00A06816" w:rsidP="00A06816">
            <w:pPr>
              <w:ind w:firstLine="0"/>
            </w:pPr>
            <w:r w:rsidRPr="0026420A">
              <w:t xml:space="preserve">Deși obligația aplicării unei abordări bazate pe risc, inclusiv a măsurilor de precauție, a restricționării anumitor operațiuni sau a refuzului inițierii ori continuării relațiilor de afaceri derivă deja din </w:t>
            </w:r>
            <w:r w:rsidRPr="0026420A">
              <w:lastRenderedPageBreak/>
              <w:t xml:space="preserve">prevederile Legii nr. 308/2017 cu privire la prevenirea și combaterea spălării banilor și finanțării terorismului, considerăm necesară reflectarea expresă a acestor prerogative și în cadrul proiectului de lege privind piața </w:t>
            </w:r>
            <w:proofErr w:type="spellStart"/>
            <w:r w:rsidRPr="0026420A">
              <w:t>criptoactivelor</w:t>
            </w:r>
            <w:proofErr w:type="spellEnd"/>
            <w:r w:rsidRPr="0026420A">
              <w:t>.</w:t>
            </w:r>
          </w:p>
          <w:p w14:paraId="434961FC" w14:textId="77777777" w:rsidR="00A06816" w:rsidRPr="0026420A" w:rsidRDefault="00A06816" w:rsidP="00A06816">
            <w:pPr>
              <w:ind w:firstLine="0"/>
            </w:pPr>
            <w:r w:rsidRPr="0026420A">
              <w:t xml:space="preserve">O asemenea reglementare este justificată inclusiv prin specificul activităților aferente </w:t>
            </w:r>
            <w:proofErr w:type="spellStart"/>
            <w:r w:rsidRPr="0026420A">
              <w:t>criptoactivelor</w:t>
            </w:r>
            <w:proofErr w:type="spellEnd"/>
            <w:r w:rsidRPr="0026420A">
              <w:t xml:space="preserve"> și nivelul sporit de risc pe care anumite categorii de operațiuni le pot genera din perspectiva conformității, trasabilității tranzacțiilor și gestionării riscurilor operaționale și </w:t>
            </w:r>
            <w:proofErr w:type="spellStart"/>
            <w:r w:rsidRPr="0026420A">
              <w:t>reputaționale</w:t>
            </w:r>
            <w:proofErr w:type="spellEnd"/>
            <w:r w:rsidRPr="0026420A">
              <w:t>.</w:t>
            </w:r>
          </w:p>
          <w:p w14:paraId="212C7019" w14:textId="7140E865" w:rsidR="00A06816" w:rsidRPr="0026420A" w:rsidRDefault="00A06816" w:rsidP="00A06816">
            <w:pPr>
              <w:pBdr>
                <w:top w:val="none" w:sz="4" w:space="0" w:color="000000"/>
                <w:left w:val="none" w:sz="4" w:space="0" w:color="000000"/>
                <w:bottom w:val="none" w:sz="4" w:space="0" w:color="000000"/>
                <w:right w:val="none" w:sz="4" w:space="0" w:color="000000"/>
              </w:pBdr>
              <w:ind w:firstLine="0"/>
            </w:pPr>
            <w:r w:rsidRPr="0026420A">
              <w:t xml:space="preserve">Totodată, având în vedere că băncile și prestatorii de servicii de plată vor avea calitatea de entități raportoare, considerăm important ca proiectul să prevadă expres posibilitatea aplicării unor măsuri bazate pe risc în raport cu participanții la piața </w:t>
            </w:r>
            <w:proofErr w:type="spellStart"/>
            <w:r w:rsidRPr="0026420A">
              <w:t>criptoactivelor</w:t>
            </w:r>
            <w:proofErr w:type="spellEnd"/>
            <w:r w:rsidRPr="0026420A">
              <w:t>.</w:t>
            </w:r>
          </w:p>
        </w:tc>
        <w:tc>
          <w:tcPr>
            <w:tcW w:w="5281" w:type="dxa"/>
            <w:tcMar>
              <w:top w:w="0" w:type="dxa"/>
              <w:left w:w="108" w:type="dxa"/>
              <w:bottom w:w="0" w:type="dxa"/>
              <w:right w:w="108" w:type="dxa"/>
            </w:tcMar>
          </w:tcPr>
          <w:p w14:paraId="62206173" w14:textId="77777777" w:rsidR="00A06816" w:rsidRPr="00B76FC4" w:rsidRDefault="00A06816" w:rsidP="00A06816">
            <w:pPr>
              <w:ind w:firstLine="0"/>
              <w:rPr>
                <w:b/>
                <w:bCs/>
                <w:iCs/>
              </w:rPr>
            </w:pPr>
            <w:r w:rsidRPr="00B76FC4">
              <w:rPr>
                <w:b/>
                <w:bCs/>
                <w:iCs/>
              </w:rPr>
              <w:lastRenderedPageBreak/>
              <w:t>Nu se acceptă.</w:t>
            </w:r>
          </w:p>
          <w:p w14:paraId="40D53059" w14:textId="0F47753D"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pPr>
            <w:r w:rsidRPr="00B76FC4">
              <w:rPr>
                <w:iCs/>
              </w:rPr>
              <w:t xml:space="preserve">Obligația aplicării abordării bazate pe risc, inclusiv aplicarea măsurilor de precauție, restricționarea unor operațiuni, refuzul inițierii sau încetarea relațiilor de afaceri, derivă din legislația </w:t>
            </w:r>
            <w:r w:rsidRPr="00B76FC4">
              <w:rPr>
                <w:iCs/>
              </w:rPr>
              <w:lastRenderedPageBreak/>
              <w:t xml:space="preserve">specială în domeniul prevenirii și combaterii spălării banilor și finanțării terorismului, precum și din reglementările prudențiale și interne aplicabile entităților raportoare. Prin urmare, aceste prerogative nu trebuie dublate în proiectul Legii privind piața </w:t>
            </w:r>
            <w:proofErr w:type="spellStart"/>
            <w:r w:rsidRPr="00B76FC4">
              <w:rPr>
                <w:iCs/>
              </w:rPr>
              <w:t>criptoactivelor</w:t>
            </w:r>
            <w:proofErr w:type="spellEnd"/>
            <w:r w:rsidRPr="00B76FC4">
              <w:rPr>
                <w:iCs/>
              </w:rPr>
              <w:t xml:space="preserve">, care are ca obiect principal transpunerea cadrului </w:t>
            </w:r>
            <w:proofErr w:type="spellStart"/>
            <w:r w:rsidRPr="00B76FC4">
              <w:rPr>
                <w:iCs/>
              </w:rPr>
              <w:t>MiCA</w:t>
            </w:r>
            <w:proofErr w:type="spellEnd"/>
            <w:r w:rsidRPr="00B76FC4">
              <w:rPr>
                <w:iCs/>
              </w:rPr>
              <w:t xml:space="preserve"> privind emiterea, oferta, admiterea la tranzacționare, autorizarea și supravegherea furnizorilor de servicii de </w:t>
            </w:r>
            <w:proofErr w:type="spellStart"/>
            <w:r w:rsidRPr="00B76FC4">
              <w:rPr>
                <w:iCs/>
              </w:rPr>
              <w:t>criptoactive</w:t>
            </w:r>
            <w:proofErr w:type="spellEnd"/>
            <w:r w:rsidRPr="00B76FC4">
              <w:rPr>
                <w:iCs/>
              </w:rPr>
              <w:t>.</w:t>
            </w:r>
          </w:p>
        </w:tc>
      </w:tr>
      <w:tr w:rsidR="00A06816" w:rsidRPr="0026420A" w14:paraId="13DB5421" w14:textId="77777777" w:rsidTr="00080634">
        <w:trPr>
          <w:trHeight w:val="615"/>
        </w:trPr>
        <w:tc>
          <w:tcPr>
            <w:tcW w:w="2206" w:type="dxa"/>
            <w:tcMar>
              <w:top w:w="0" w:type="dxa"/>
              <w:left w:w="108" w:type="dxa"/>
              <w:bottom w:w="0" w:type="dxa"/>
              <w:right w:w="108" w:type="dxa"/>
            </w:tcMar>
          </w:tcPr>
          <w:p w14:paraId="134AE0B8"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3A9BA99E"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43694D52" w14:textId="77777777" w:rsidR="00A06816" w:rsidRPr="0026420A" w:rsidRDefault="00A06816" w:rsidP="00A06816">
            <w:pPr>
              <w:ind w:firstLine="0"/>
              <w:rPr>
                <w:b/>
                <w:bCs/>
              </w:rPr>
            </w:pPr>
            <w:r w:rsidRPr="0026420A">
              <w:rPr>
                <w:b/>
                <w:bCs/>
              </w:rPr>
              <w:t>Art. 2 alin. (4) lit. a) interpretat în acord cu prevederile alin. (5) din același articol</w:t>
            </w:r>
          </w:p>
          <w:p w14:paraId="39C82A6A" w14:textId="77777777" w:rsidR="00A06816" w:rsidRPr="0026420A" w:rsidRDefault="00A06816" w:rsidP="00A06816">
            <w:pPr>
              <w:ind w:firstLine="0"/>
            </w:pPr>
            <w:r w:rsidRPr="0026420A">
              <w:t xml:space="preserve">Proiectul exclude din domeniul său de aplicare </w:t>
            </w:r>
            <w:proofErr w:type="spellStart"/>
            <w:r w:rsidRPr="0026420A">
              <w:t>criptoactivele</w:t>
            </w:r>
            <w:proofErr w:type="spellEnd"/>
            <w:r w:rsidRPr="0026420A">
              <w:t xml:space="preserve"> care se califică drept instrumente financiare și deleagă CNPF stabilirea condițiilor și criteriilor pentru calificarea </w:t>
            </w:r>
            <w:proofErr w:type="spellStart"/>
            <w:r w:rsidRPr="0026420A">
              <w:t>criptoactivelor</w:t>
            </w:r>
            <w:proofErr w:type="spellEnd"/>
            <w:r w:rsidRPr="0026420A">
              <w:t xml:space="preserve"> drept instrumente financiare.</w:t>
            </w:r>
          </w:p>
          <w:p w14:paraId="4F10065D" w14:textId="77777777" w:rsidR="00A06816" w:rsidRPr="0026420A" w:rsidRDefault="00A06816" w:rsidP="00A06816">
            <w:pPr>
              <w:ind w:firstLine="0"/>
            </w:pPr>
            <w:r w:rsidRPr="0026420A">
              <w:t xml:space="preserve">Delimitarea dintre </w:t>
            </w:r>
            <w:proofErr w:type="spellStart"/>
            <w:r w:rsidRPr="0026420A">
              <w:t>criptoactivele</w:t>
            </w:r>
            <w:proofErr w:type="spellEnd"/>
            <w:r w:rsidRPr="0026420A">
              <w:t xml:space="preserve"> reglementate de prezenta lege și instrumentele financiare reglementate de legislația privind piețele instrumentelor financiare și activitățile de investiții produce consecințe directe asupra regimului juridic aplicabil (carte albă </w:t>
            </w:r>
            <w:proofErr w:type="spellStart"/>
            <w:r w:rsidRPr="0026420A">
              <w:t>vs</w:t>
            </w:r>
            <w:proofErr w:type="spellEnd"/>
            <w:r w:rsidRPr="0026420A">
              <w:t xml:space="preserve"> prospect, regim de autorizare, cerințe de conduită și de evaluare a adecvării).</w:t>
            </w:r>
          </w:p>
          <w:p w14:paraId="34D1002B" w14:textId="77777777" w:rsidR="00A06816" w:rsidRPr="0026420A" w:rsidRDefault="00A06816" w:rsidP="00A06816">
            <w:pPr>
              <w:ind w:firstLine="0"/>
            </w:pPr>
            <w:r w:rsidRPr="0026420A">
              <w:t xml:space="preserve">Or, delimitarea dintre </w:t>
            </w:r>
            <w:proofErr w:type="spellStart"/>
            <w:r w:rsidRPr="0026420A">
              <w:t>criptoactivele</w:t>
            </w:r>
            <w:proofErr w:type="spellEnd"/>
            <w:r w:rsidRPr="0026420A">
              <w:t xml:space="preserve"> supuse prezentei legi și instrumentele financiare reglementate de legislația privind piețele instrumentelor financiare și activitățile de investiții determină regimul juridic aplicabil, inclusiv sub aspectul obligațiilor de publicare (carte albă </w:t>
            </w:r>
            <w:proofErr w:type="spellStart"/>
            <w:r w:rsidRPr="0026420A">
              <w:t>vs</w:t>
            </w:r>
            <w:proofErr w:type="spellEnd"/>
            <w:r w:rsidRPr="0026420A">
              <w:t xml:space="preserve"> prospect), al cerințelor de autorizare, al regulilor de conduită și al cerințelor privind evaluarea adecvării.</w:t>
            </w:r>
          </w:p>
          <w:p w14:paraId="5100380E" w14:textId="77777777" w:rsidR="00A06816" w:rsidRPr="0026420A" w:rsidRDefault="00A06816" w:rsidP="00A06816">
            <w:pPr>
              <w:ind w:firstLine="0"/>
            </w:pPr>
            <w:r w:rsidRPr="0026420A">
              <w:t>În acest context, considerăm că elementele esențiale care permit delimitarea sferei de aplicare a celor două regimuri juridice ar trebui stabilite la nivel de lege, în conformitate cu principiile previzibilității și securității raporturilor juridice, urmând ca actele normative ale CNPF ulterior să detalieze criteriile tehnice și modalitatea practică de aplicare a acestora. Delegarea integrală a acestor aspecte către reglementarea secundară poate conduce la transferul către autoritatea de supraveghere a unor opțiuni de politică legislativă care, prin natura și efectele lor, ar trebui consacrate prin lege.</w:t>
            </w:r>
          </w:p>
          <w:p w14:paraId="00C6E3C6" w14:textId="1073410A" w:rsidR="00A06816" w:rsidRPr="0026420A" w:rsidRDefault="00A06816" w:rsidP="00A06816">
            <w:pPr>
              <w:pBdr>
                <w:top w:val="none" w:sz="4" w:space="0" w:color="000000"/>
                <w:left w:val="none" w:sz="4" w:space="0" w:color="000000"/>
                <w:bottom w:val="none" w:sz="4" w:space="0" w:color="000000"/>
                <w:right w:val="none" w:sz="4" w:space="0" w:color="000000"/>
              </w:pBdr>
              <w:ind w:firstLine="0"/>
            </w:pPr>
            <w:r w:rsidRPr="0026420A">
              <w:lastRenderedPageBreak/>
              <w:t>La fel, recomandăm elaborarea acestora în mod transparent și aliniat la ghidurile emise de ESMA în temeiul art. 2 alin. (5) din Regulamentul (UE) 2023/1114.</w:t>
            </w:r>
          </w:p>
        </w:tc>
        <w:tc>
          <w:tcPr>
            <w:tcW w:w="5281" w:type="dxa"/>
            <w:tcMar>
              <w:top w:w="0" w:type="dxa"/>
              <w:left w:w="108" w:type="dxa"/>
              <w:bottom w:w="0" w:type="dxa"/>
              <w:right w:w="108" w:type="dxa"/>
            </w:tcMar>
          </w:tcPr>
          <w:p w14:paraId="3092C8D7" w14:textId="77777777" w:rsidR="00A06816" w:rsidRPr="002755D5" w:rsidRDefault="00A06816" w:rsidP="00A06816">
            <w:pPr>
              <w:ind w:firstLine="0"/>
              <w:rPr>
                <w:b/>
                <w:bCs/>
                <w:iCs/>
              </w:rPr>
            </w:pPr>
            <w:r w:rsidRPr="002755D5">
              <w:rPr>
                <w:b/>
                <w:bCs/>
                <w:iCs/>
              </w:rPr>
              <w:lastRenderedPageBreak/>
              <w:t>Se acceptă parțial.</w:t>
            </w:r>
          </w:p>
          <w:p w14:paraId="0A2FC064" w14:textId="77777777" w:rsidR="00A06816" w:rsidRPr="002755D5" w:rsidRDefault="00A06816" w:rsidP="00A06816">
            <w:pPr>
              <w:ind w:firstLine="0"/>
              <w:rPr>
                <w:iCs/>
              </w:rPr>
            </w:pPr>
            <w:r>
              <w:rPr>
                <w:iCs/>
              </w:rPr>
              <w:t>N</w:t>
            </w:r>
            <w:r w:rsidRPr="002755D5">
              <w:rPr>
                <w:iCs/>
              </w:rPr>
              <w:t xml:space="preserve">u se poate reține că proiectul transferă către Comisia Națională o opțiune de politică legislativă. Elementul esențial este deja stabilit la nivel de lege: prezenta lege nu se aplică </w:t>
            </w:r>
            <w:proofErr w:type="spellStart"/>
            <w:r w:rsidRPr="002755D5">
              <w:rPr>
                <w:iCs/>
              </w:rPr>
              <w:t>criptoactivelor</w:t>
            </w:r>
            <w:proofErr w:type="spellEnd"/>
            <w:r w:rsidRPr="002755D5">
              <w:rPr>
                <w:iCs/>
              </w:rPr>
              <w:t xml:space="preserve"> care se califică drept instrumente financiare. Calificarea ca instrument financiar nu este creată autonom de Comisia Națională, ci se face prin raportare la legislația națională privind piața de capital, piețele instrumentelor financiare și activitățile de investiții. Prin urmare, actele Comisiei Naționale nu vor stabili o nouă categorie juridică, ci vor detalia criteriile tehnice și metodologia de aplicare a delimitării existente în lege.</w:t>
            </w:r>
          </w:p>
          <w:p w14:paraId="64F47F76" w14:textId="77777777" w:rsidR="00A06816" w:rsidRDefault="00A06816" w:rsidP="00A06816">
            <w:pPr>
              <w:ind w:firstLine="0"/>
              <w:rPr>
                <w:iCs/>
              </w:rPr>
            </w:pPr>
            <w:r w:rsidRPr="002755D5">
              <w:rPr>
                <w:iCs/>
              </w:rPr>
              <w:t xml:space="preserve">Această abordare corespunde arhitecturii </w:t>
            </w:r>
            <w:proofErr w:type="spellStart"/>
            <w:r w:rsidRPr="002755D5">
              <w:rPr>
                <w:iCs/>
              </w:rPr>
              <w:t>MiCA</w:t>
            </w:r>
            <w:proofErr w:type="spellEnd"/>
            <w:r w:rsidRPr="002755D5">
              <w:rPr>
                <w:iCs/>
              </w:rPr>
              <w:t>.</w:t>
            </w:r>
            <w:r>
              <w:rPr>
                <w:iCs/>
              </w:rPr>
              <w:t xml:space="preserve"> </w:t>
            </w:r>
            <w:r w:rsidRPr="002755D5">
              <w:rPr>
                <w:iCs/>
              </w:rPr>
              <w:t xml:space="preserve">Regulamentul </w:t>
            </w:r>
            <w:proofErr w:type="spellStart"/>
            <w:r w:rsidRPr="002755D5">
              <w:rPr>
                <w:iCs/>
              </w:rPr>
              <w:t>MiCA</w:t>
            </w:r>
            <w:proofErr w:type="spellEnd"/>
            <w:r w:rsidRPr="002755D5">
              <w:rPr>
                <w:iCs/>
              </w:rPr>
              <w:t xml:space="preserve"> exclude din domeniul său de aplicare </w:t>
            </w:r>
            <w:proofErr w:type="spellStart"/>
            <w:r w:rsidRPr="002755D5">
              <w:rPr>
                <w:iCs/>
              </w:rPr>
              <w:t>criptoactivele</w:t>
            </w:r>
            <w:proofErr w:type="spellEnd"/>
            <w:r w:rsidRPr="002755D5">
              <w:rPr>
                <w:iCs/>
              </w:rPr>
              <w:t xml:space="preserve"> care se califică drept instrumente financiare, iar detalierea condițiilor și criteriilor de calificare este realizată la nivel european prin Ghidurile ESMA emise în temeiul art. 2 alin. (5) din </w:t>
            </w:r>
            <w:proofErr w:type="spellStart"/>
            <w:r w:rsidRPr="002755D5">
              <w:rPr>
                <w:iCs/>
              </w:rPr>
              <w:t>MiCA</w:t>
            </w:r>
            <w:proofErr w:type="spellEnd"/>
            <w:r w:rsidRPr="002755D5">
              <w:rPr>
                <w:iCs/>
              </w:rPr>
              <w:t>. Aceste ghiduri au statut de ghiduri și recomandări ESMA, nu de regulament delegat sau standard tehnic obligatoriu, iar autoritățile competente din UE trebuie să depună toate eforturile pentru a se conforma și să le integreze în cadrul național sau de supraveghere, după caz.</w:t>
            </w:r>
          </w:p>
          <w:p w14:paraId="12CAC87B" w14:textId="77777777" w:rsidR="00A06816" w:rsidRDefault="00A06816" w:rsidP="00A06816">
            <w:pPr>
              <w:ind w:firstLine="0"/>
              <w:rPr>
                <w:iCs/>
              </w:rPr>
            </w:pPr>
            <w:r w:rsidRPr="002755D5">
              <w:rPr>
                <w:iCs/>
              </w:rPr>
              <w:t xml:space="preserve">Prin urmare, nu se justifică introducerea în </w:t>
            </w:r>
            <w:r>
              <w:rPr>
                <w:iCs/>
              </w:rPr>
              <w:t>proiectul de Lege</w:t>
            </w:r>
            <w:r w:rsidRPr="002755D5">
              <w:rPr>
                <w:iCs/>
              </w:rPr>
              <w:t xml:space="preserve"> a tuturor criteriilor tehnice de calificar</w:t>
            </w:r>
            <w:r>
              <w:rPr>
                <w:iCs/>
              </w:rPr>
              <w:t xml:space="preserve">e. </w:t>
            </w:r>
            <w:r w:rsidRPr="002755D5">
              <w:rPr>
                <w:iCs/>
              </w:rPr>
              <w:t>Totuși, pentru consolidarea previzibilității, textul poate fi clarificat astfel:</w:t>
            </w:r>
          </w:p>
          <w:p w14:paraId="691CE072" w14:textId="0879DEC5"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pPr>
            <w:r>
              <w:rPr>
                <w:iCs/>
              </w:rPr>
              <w:t>”</w:t>
            </w:r>
            <w:r w:rsidRPr="00C211E1">
              <w:rPr>
                <w:iCs/>
              </w:rPr>
              <w:t>(</w:t>
            </w:r>
            <w:r w:rsidRPr="00C211E1">
              <w:rPr>
                <w:i/>
              </w:rPr>
              <w:t xml:space="preserve">5) În sensul alin. (4) lit. a), Comisia Națională a Pieței Financiare stabilește, prin acte normative, condițiile și criteriile pentru calificarea </w:t>
            </w:r>
            <w:proofErr w:type="spellStart"/>
            <w:r w:rsidRPr="00C211E1">
              <w:rPr>
                <w:i/>
              </w:rPr>
              <w:t>criptoactivelor</w:t>
            </w:r>
            <w:proofErr w:type="spellEnd"/>
            <w:r w:rsidRPr="00C211E1">
              <w:rPr>
                <w:i/>
              </w:rPr>
              <w:t xml:space="preserve"> drept instrumente financiare, în conformitate cu legislația privind piața de </w:t>
            </w:r>
            <w:r w:rsidRPr="00C211E1">
              <w:rPr>
                <w:i/>
              </w:rPr>
              <w:lastRenderedPageBreak/>
              <w:t>capital și legislația privind piețele instrumentelor financiare și activitățile de investiții.”</w:t>
            </w:r>
          </w:p>
        </w:tc>
      </w:tr>
      <w:tr w:rsidR="00A06816" w:rsidRPr="0026420A" w14:paraId="3CAEB84C" w14:textId="77777777" w:rsidTr="00080634">
        <w:trPr>
          <w:trHeight w:val="615"/>
        </w:trPr>
        <w:tc>
          <w:tcPr>
            <w:tcW w:w="2206" w:type="dxa"/>
            <w:tcMar>
              <w:top w:w="0" w:type="dxa"/>
              <w:left w:w="108" w:type="dxa"/>
              <w:bottom w:w="0" w:type="dxa"/>
              <w:right w:w="108" w:type="dxa"/>
            </w:tcMar>
          </w:tcPr>
          <w:p w14:paraId="40E8CAB2"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3DB4F817"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4663D500" w14:textId="77777777" w:rsidR="00A06816" w:rsidRPr="0026420A" w:rsidRDefault="00A06816" w:rsidP="00A06816">
            <w:pPr>
              <w:pStyle w:val="Default"/>
              <w:jc w:val="both"/>
              <w:rPr>
                <w:rFonts w:ascii="Times New Roman" w:hAnsi="Times New Roman" w:cs="Times New Roman"/>
                <w:b/>
                <w:bCs/>
                <w:lang w:val="ro-RO"/>
              </w:rPr>
            </w:pPr>
            <w:r w:rsidRPr="0026420A">
              <w:rPr>
                <w:rFonts w:ascii="Times New Roman" w:hAnsi="Times New Roman" w:cs="Times New Roman"/>
                <w:b/>
                <w:bCs/>
                <w:sz w:val="20"/>
                <w:szCs w:val="20"/>
                <w:lang w:val="ro-RO"/>
              </w:rPr>
              <w:t xml:space="preserve">Art. 3 </w:t>
            </w:r>
          </w:p>
          <w:p w14:paraId="7EEF4BFE" w14:textId="77777777" w:rsidR="00A06816" w:rsidRPr="0026420A" w:rsidRDefault="00A06816" w:rsidP="00A06816">
            <w:pPr>
              <w:ind w:firstLine="0"/>
            </w:pPr>
            <w:r w:rsidRPr="0026420A">
              <w:t xml:space="preserve">Pct. 29) din alin. (1) al art. 3 indică faptul că, instituția de credit reprezintă întreprindere a cărei activitate constă în atragerea de depozite sau de alte fonduri rambursabile de la public și în acordarea de credite în cont propriu, inclusiv banca, astfel cum este definită la art. 3 din Legea nr. 202/2017 privind activitatea băncilor (în continuare – Legea nr. 202/2017) și care dispune de o licență eliberată de Banca </w:t>
            </w:r>
            <w:proofErr w:type="spellStart"/>
            <w:r w:rsidRPr="0026420A">
              <w:t>Naţională</w:t>
            </w:r>
            <w:proofErr w:type="spellEnd"/>
            <w:r w:rsidRPr="0026420A">
              <w:t>, în condițiile stabilite de Legea nr. 202/2017.</w:t>
            </w:r>
          </w:p>
          <w:p w14:paraId="3D435E2A" w14:textId="77777777" w:rsidR="00A06816" w:rsidRPr="0026420A" w:rsidRDefault="00A06816" w:rsidP="00A06816">
            <w:pPr>
              <w:ind w:firstLine="0"/>
            </w:pPr>
            <w:r w:rsidRPr="0026420A">
              <w:t>Menționăm faptul că, această definiție urmează să fie corelată cu cadrul normativ legal invocat or, Legea 202/2017, în particular art. 3, nu operează cu noțiunea de instituție de credit, ci doar cu noțiunea de „entitate din sectorul financiar” sau în general noțiunea de – „bancă” atunci când se referă la persoana juridică (și nu „întreprindere”) a cărei activitate constă în atragerea de depozite sau de alte fonduri rambursabile de la public și în acordarea de credite în cont propriu.</w:t>
            </w:r>
          </w:p>
          <w:p w14:paraId="5C8033B8" w14:textId="77777777" w:rsidR="00A06816" w:rsidRPr="0026420A" w:rsidRDefault="00A06816" w:rsidP="00A06816">
            <w:pPr>
              <w:ind w:firstLine="0"/>
            </w:pPr>
            <w:r w:rsidRPr="0026420A">
              <w:t>Corespunzător, urmează a fi corectată terminologia în tot textul de lege unde se utilizează termenul „instituții de credit”.</w:t>
            </w:r>
          </w:p>
          <w:p w14:paraId="3D4CF81B" w14:textId="77777777" w:rsidR="00A06816" w:rsidRPr="0026420A" w:rsidRDefault="00A06816" w:rsidP="00A06816">
            <w:pPr>
              <w:ind w:firstLine="0"/>
            </w:pPr>
            <w:r w:rsidRPr="0026420A">
              <w:t>Luăm act de argumentul autorului din tabelul de sinteză potrivit căruia terminologia utilizată urmărește alinierea la acquis-</w:t>
            </w:r>
            <w:proofErr w:type="spellStart"/>
            <w:r w:rsidRPr="0026420A">
              <w:t>ul</w:t>
            </w:r>
            <w:proofErr w:type="spellEnd"/>
            <w:r w:rsidRPr="0026420A">
              <w:t xml:space="preserve"> Uniunii Europene. Totuși, proiectul de lege prevede expres că realizează o transpunere parțială a Regulamentului (UE) 2023/1114, iar Regulamentul privind armonizarea legislației Republicii Moldova cu legislația Uniunii Europene, aprobat prin Hotărârea Guvernului nr. 1171/2018, nu impune o reproducere literală a terminologiei europene, ci integrarea acesteia în mod coerent în cadrul normativ național.</w:t>
            </w:r>
          </w:p>
          <w:p w14:paraId="4CD6EA9E" w14:textId="77777777" w:rsidR="00A06816" w:rsidRPr="0026420A" w:rsidRDefault="00A06816" w:rsidP="00A06816">
            <w:pPr>
              <w:ind w:firstLine="0"/>
            </w:pPr>
            <w:r w:rsidRPr="0026420A">
              <w:t>În acest context, utilizarea noțiunii de „instituție de credit”, care nu este consacrată de Legea nr. 202/2017 privind activitatea băncilor, riscă să genereze necorelări terminologice și dificultăți de interpretare.</w:t>
            </w:r>
          </w:p>
          <w:p w14:paraId="6BF37BD3" w14:textId="77777777" w:rsidR="00A06816" w:rsidRPr="0026420A" w:rsidRDefault="00A06816" w:rsidP="00A06816">
            <w:pPr>
              <w:ind w:firstLine="0"/>
            </w:pPr>
            <w:r w:rsidRPr="0026420A">
              <w:t>Subsidiar, art. 3 alin. (2) din textul proiectului de lege prevede că, Autoritățile competente în funcție de aria de competențe stabilită de art. 85 sunt în drept să stabilească în actele lor normative, dispoziții suplimentare prin care să detalieze elementele tehnice ale definițiilor prevăzute la alin. (1) și să adapteze definițiile respective în funcție de evoluțiile pieței și de evoluțiile tehnologice.</w:t>
            </w:r>
          </w:p>
          <w:p w14:paraId="76E231FA" w14:textId="77777777" w:rsidR="00A06816" w:rsidRPr="0026420A" w:rsidRDefault="00A06816" w:rsidP="00A06816">
            <w:pPr>
              <w:ind w:firstLine="0"/>
            </w:pPr>
            <w:r w:rsidRPr="0026420A">
              <w:t xml:space="preserve">Menționăm faptul că, definițiile prevăzute la art. 3 alin. (1) fac parte din conținutul esențial al legii și au aceeași forță juridică cu aceasta. Or, posibilitatea conferită autorităților competente de a „adapta definițiile respective în funcție de evoluțiile pieței și de evoluțiile </w:t>
            </w:r>
            <w:r w:rsidRPr="0026420A">
              <w:lastRenderedPageBreak/>
              <w:t>tehnologice” echivalează, în fapt, cu acordarea competenței de a modifica sau completa noțiunile legale prin acte normative subordonate legii.</w:t>
            </w:r>
          </w:p>
          <w:p w14:paraId="5EA44C6A" w14:textId="77777777" w:rsidR="00A06816" w:rsidRPr="0026420A" w:rsidRDefault="00A06816" w:rsidP="00A06816">
            <w:pPr>
              <w:ind w:firstLine="0"/>
            </w:pPr>
            <w:r w:rsidRPr="0026420A">
              <w:t>Această soluție este problematică, deoarece, în lumina art. 7 alin. (1) și (2) din Legea nr. 100/2017 cu privire la actele normative, forța juridică a actelor normative este determinată de categoria actului și de competența autorității emitente, și doar un act normativ cu forță juridică superioară poate modifica sau abroga unu act normativ cu forță juridică inferioară, și nu invers.</w:t>
            </w:r>
          </w:p>
          <w:p w14:paraId="60145D71" w14:textId="77777777" w:rsidR="00A06816" w:rsidRPr="0026420A" w:rsidRDefault="00A06816" w:rsidP="00A06816">
            <w:pPr>
              <w:ind w:firstLine="0"/>
            </w:pPr>
            <w:r w:rsidRPr="0026420A">
              <w:t>În consecință, definițiile stabilite prin lege nu pot fi adaptate sau redefinite prin acte normative ale autorităților competente, acestea putând cel mult să detalieze aspectele tehnice de aplicare, fără a interveni asupra conținutului noțiunilor consacrate de legiuitor.</w:t>
            </w:r>
          </w:p>
          <w:p w14:paraId="629E53A2" w14:textId="08519737" w:rsidR="00A06816" w:rsidRPr="0026420A" w:rsidRDefault="00A06816" w:rsidP="00A06816">
            <w:pPr>
              <w:pBdr>
                <w:top w:val="none" w:sz="4" w:space="0" w:color="000000"/>
                <w:left w:val="none" w:sz="4" w:space="0" w:color="000000"/>
                <w:bottom w:val="none" w:sz="4" w:space="0" w:color="000000"/>
                <w:right w:val="none" w:sz="4" w:space="0" w:color="000000"/>
              </w:pBdr>
              <w:ind w:firstLine="0"/>
            </w:pPr>
            <w:r w:rsidRPr="0026420A">
              <w:t>Suplimentar, se remarcă faptul că proiectul instituie un regim sancționator deosebit de sever, cu amenzi de până la 5 000 000 EUR sau de până la 12,5% din cifra de afaceri anuală, iar art. 97 alin. (16) prevede posibilitatea angajării răspunderii contravenționale sau penale. În aceste condiții, posibilitatea acordată autorităților competente de a adapta prin acte normative subordonate definițiile prevăzute de lege este susceptibilă să producă efecte directe asupra încadrării juridice a faptelor și, implicit, asupra sferei de aplicare a sancțiunilor, aspect care ridică probleme de previzibilitate și securitate juridică, cu atât mai mult cu cât respectivele sancțiuni pot intra, sub aspectul severității lor, în sfera noțiunii autonome de „acuzație în materie penală” în sensul art. 6 CEDO.</w:t>
            </w:r>
          </w:p>
        </w:tc>
        <w:tc>
          <w:tcPr>
            <w:tcW w:w="5281" w:type="dxa"/>
            <w:tcMar>
              <w:top w:w="0" w:type="dxa"/>
              <w:left w:w="108" w:type="dxa"/>
              <w:bottom w:w="0" w:type="dxa"/>
              <w:right w:w="108" w:type="dxa"/>
            </w:tcMar>
          </w:tcPr>
          <w:p w14:paraId="3D22C051" w14:textId="77777777" w:rsidR="00A06816" w:rsidRPr="001C5863" w:rsidRDefault="00A06816" w:rsidP="00A06816">
            <w:pPr>
              <w:ind w:firstLine="0"/>
              <w:rPr>
                <w:b/>
                <w:bCs/>
                <w:iCs/>
              </w:rPr>
            </w:pPr>
            <w:r w:rsidRPr="001C5863">
              <w:rPr>
                <w:b/>
                <w:bCs/>
                <w:iCs/>
              </w:rPr>
              <w:lastRenderedPageBreak/>
              <w:t>Se acceptă parțial.</w:t>
            </w:r>
          </w:p>
          <w:p w14:paraId="7938CB20" w14:textId="77777777" w:rsidR="00A06816" w:rsidRPr="001C5863" w:rsidRDefault="00A06816" w:rsidP="00A06816">
            <w:pPr>
              <w:ind w:firstLine="0"/>
              <w:rPr>
                <w:iCs/>
              </w:rPr>
            </w:pPr>
            <w:r w:rsidRPr="001C5863">
              <w:rPr>
                <w:iCs/>
              </w:rPr>
              <w:t>În ceea ce privește noțiunea de „</w:t>
            </w:r>
            <w:r w:rsidRPr="001C5863">
              <w:rPr>
                <w:i/>
              </w:rPr>
              <w:t>instituție de credit</w:t>
            </w:r>
            <w:r w:rsidRPr="001C5863">
              <w:rPr>
                <w:iCs/>
              </w:rPr>
              <w:t xml:space="preserve">”, </w:t>
            </w:r>
            <w:proofErr w:type="spellStart"/>
            <w:r>
              <w:rPr>
                <w:iCs/>
              </w:rPr>
              <w:t>aceat</w:t>
            </w:r>
            <w:proofErr w:type="spellEnd"/>
            <w:r>
              <w:rPr>
                <w:iCs/>
              </w:rPr>
              <w:t>[ observație</w:t>
            </w:r>
            <w:r w:rsidRPr="00A10581">
              <w:rPr>
                <w:iCs/>
              </w:rPr>
              <w:t xml:space="preserve">  a fost soluționată la pct.</w:t>
            </w:r>
            <w:r>
              <w:rPr>
                <w:iCs/>
              </w:rPr>
              <w:t>136</w:t>
            </w:r>
            <w:r w:rsidRPr="00A10581">
              <w:rPr>
                <w:iCs/>
              </w:rPr>
              <w:t xml:space="preserve"> din sinteza, textul prevederii</w:t>
            </w:r>
            <w:r>
              <w:rPr>
                <w:iCs/>
              </w:rPr>
              <w:t xml:space="preserve"> se ajustează</w:t>
            </w:r>
            <w:r w:rsidRPr="00A10581">
              <w:rPr>
                <w:iCs/>
              </w:rPr>
              <w:t>.</w:t>
            </w:r>
          </w:p>
          <w:p w14:paraId="12D57374" w14:textId="77777777" w:rsidR="00A06816" w:rsidRPr="001C5863" w:rsidRDefault="00A06816" w:rsidP="00A06816">
            <w:pPr>
              <w:ind w:firstLine="0"/>
              <w:rPr>
                <w:iCs/>
              </w:rPr>
            </w:pPr>
            <w:r w:rsidRPr="001C5863">
              <w:rPr>
                <w:iCs/>
              </w:rPr>
              <w:t xml:space="preserve">În ceea ce privește art. 3 alin. (2), observația  a fost soluționată la pct.120 din sinteza, textul prevederii </w:t>
            </w:r>
            <w:r>
              <w:rPr>
                <w:iCs/>
              </w:rPr>
              <w:t>se ajustează</w:t>
            </w:r>
            <w:r w:rsidRPr="001C5863">
              <w:rPr>
                <w:iCs/>
              </w:rPr>
              <w:t xml:space="preserve"> corespunzător.</w:t>
            </w:r>
          </w:p>
          <w:p w14:paraId="6EFB606A" w14:textId="77777777"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pPr>
          </w:p>
        </w:tc>
      </w:tr>
      <w:tr w:rsidR="00A06816" w:rsidRPr="0026420A" w14:paraId="7B4A63AC" w14:textId="77777777" w:rsidTr="00080634">
        <w:trPr>
          <w:trHeight w:val="615"/>
        </w:trPr>
        <w:tc>
          <w:tcPr>
            <w:tcW w:w="2206" w:type="dxa"/>
            <w:tcMar>
              <w:top w:w="0" w:type="dxa"/>
              <w:left w:w="108" w:type="dxa"/>
              <w:bottom w:w="0" w:type="dxa"/>
              <w:right w:w="108" w:type="dxa"/>
            </w:tcMar>
          </w:tcPr>
          <w:p w14:paraId="11AB7C32"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7AC856BD"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21BAE11D" w14:textId="77777777" w:rsidR="00A06816" w:rsidRPr="0026420A" w:rsidRDefault="00A06816" w:rsidP="00A06816">
            <w:pPr>
              <w:ind w:firstLine="0"/>
              <w:rPr>
                <w:b/>
                <w:bCs/>
              </w:rPr>
            </w:pPr>
            <w:r w:rsidRPr="0026420A">
              <w:rPr>
                <w:b/>
                <w:bCs/>
              </w:rPr>
              <w:t>Art. 6 alin. (2) și art. 19 alin. (2)</w:t>
            </w:r>
          </w:p>
          <w:p w14:paraId="195AE350" w14:textId="77777777" w:rsidR="00A06816" w:rsidRPr="0026420A" w:rsidRDefault="00A06816" w:rsidP="00A06816">
            <w:pPr>
              <w:ind w:firstLine="0"/>
            </w:pPr>
            <w:r w:rsidRPr="0026420A">
              <w:t>Sintagma „omisiuni semnificative” din textele alineatelor (2) din conținutul articolelor 6 și 19, prezintă un grad ridicat de generalitate și nu permite determinarea cu suficientă claritate a criteriilor în funcție de care o informație omisă urmează a fi calificată drept „semnificativă”.</w:t>
            </w:r>
          </w:p>
          <w:p w14:paraId="72B482EC" w14:textId="4ECF3C5E" w:rsidR="00A06816" w:rsidRPr="0026420A" w:rsidRDefault="00A06816" w:rsidP="00A06816">
            <w:pPr>
              <w:pBdr>
                <w:top w:val="none" w:sz="4" w:space="0" w:color="000000"/>
                <w:left w:val="none" w:sz="4" w:space="0" w:color="000000"/>
                <w:bottom w:val="none" w:sz="4" w:space="0" w:color="000000"/>
                <w:right w:val="none" w:sz="4" w:space="0" w:color="000000"/>
              </w:pBdr>
              <w:ind w:firstLine="0"/>
            </w:pPr>
            <w:r w:rsidRPr="0026420A">
              <w:t>În lipsa unor repere obiective sau a unei trimiteri la criterii de materialitate, formularea poate genera interpretări neuniforme și un grad sporit de discreție în procesul de supraveghere și sancționare, afectând previzibilitatea normei și posibilitatea destinatarilor acesteia de a-și conforma conduita.</w:t>
            </w:r>
          </w:p>
        </w:tc>
        <w:tc>
          <w:tcPr>
            <w:tcW w:w="5281" w:type="dxa"/>
            <w:tcMar>
              <w:top w:w="0" w:type="dxa"/>
              <w:left w:w="108" w:type="dxa"/>
              <w:bottom w:w="0" w:type="dxa"/>
              <w:right w:w="108" w:type="dxa"/>
            </w:tcMar>
          </w:tcPr>
          <w:p w14:paraId="7F4BC6D9" w14:textId="77777777" w:rsidR="00A06816" w:rsidRDefault="00A06816" w:rsidP="00A06816">
            <w:pPr>
              <w:ind w:firstLine="0"/>
              <w:rPr>
                <w:b/>
                <w:bCs/>
                <w:iCs/>
              </w:rPr>
            </w:pPr>
            <w:r>
              <w:rPr>
                <w:b/>
                <w:bCs/>
                <w:iCs/>
              </w:rPr>
              <w:t>Nu se acceptă.</w:t>
            </w:r>
          </w:p>
          <w:p w14:paraId="191877D5" w14:textId="77777777" w:rsidR="00A06816" w:rsidRPr="008A0CB9" w:rsidRDefault="00A06816" w:rsidP="00A06816">
            <w:pPr>
              <w:ind w:firstLine="0"/>
              <w:rPr>
                <w:iCs/>
              </w:rPr>
            </w:pPr>
            <w:r w:rsidRPr="008A0CB9">
              <w:rPr>
                <w:iCs/>
              </w:rPr>
              <w:t>Sintagma „</w:t>
            </w:r>
            <w:r w:rsidRPr="008A0CB9">
              <w:rPr>
                <w:i/>
              </w:rPr>
              <w:t>omisiuni semnificative</w:t>
            </w:r>
            <w:r w:rsidRPr="008A0CB9">
              <w:rPr>
                <w:iCs/>
              </w:rPr>
              <w:t xml:space="preserve">” este preluată din Regulamentul </w:t>
            </w:r>
            <w:proofErr w:type="spellStart"/>
            <w:r w:rsidRPr="008A0CB9">
              <w:rPr>
                <w:iCs/>
              </w:rPr>
              <w:t>MiCA</w:t>
            </w:r>
            <w:proofErr w:type="spellEnd"/>
            <w:r w:rsidRPr="008A0CB9">
              <w:rPr>
                <w:iCs/>
              </w:rPr>
              <w:t xml:space="preserve"> și trebuie interpretată în contextul obligației ca informațiile din cartea albă să fie corecte, clare și să nu inducă în eroare.</w:t>
            </w:r>
          </w:p>
          <w:p w14:paraId="5AB9E9BD" w14:textId="77777777" w:rsidR="00A06816" w:rsidRPr="008A0CB9" w:rsidRDefault="00A06816" w:rsidP="00A06816">
            <w:pPr>
              <w:ind w:firstLine="0"/>
              <w:rPr>
                <w:iCs/>
              </w:rPr>
            </w:pPr>
            <w:r w:rsidRPr="008A0CB9">
              <w:rPr>
                <w:iCs/>
              </w:rPr>
              <w:t xml:space="preserve">Caracterul semnificativ al unei omisiuni se apreciază în raport cu informațiile obligatorii prevăzute la art. 6 alin. (1), art. 19 alin. (1) și anexele nr. 1 și nr. 2, precum și cu impactul asupra capacității deținătorilor sau potențialilor deținători de a înțelege </w:t>
            </w:r>
            <w:proofErr w:type="spellStart"/>
            <w:r w:rsidRPr="008A0CB9">
              <w:rPr>
                <w:iCs/>
              </w:rPr>
              <w:t>criptoactivul</w:t>
            </w:r>
            <w:proofErr w:type="spellEnd"/>
            <w:r w:rsidRPr="008A0CB9">
              <w:rPr>
                <w:iCs/>
              </w:rPr>
              <w:t>, riscurile și condițiile ofertei.</w:t>
            </w:r>
          </w:p>
          <w:p w14:paraId="2948DCD1" w14:textId="77777777" w:rsidR="00A06816" w:rsidRPr="008A0CB9" w:rsidRDefault="00A06816" w:rsidP="00A06816">
            <w:pPr>
              <w:ind w:firstLine="0"/>
              <w:rPr>
                <w:iCs/>
              </w:rPr>
            </w:pPr>
            <w:r w:rsidRPr="008A0CB9">
              <w:rPr>
                <w:iCs/>
              </w:rPr>
              <w:t xml:space="preserve">Nu este necesară o definire exhaustivă în lege, deoarece aceasta ar limita flexibilitatea necesară evaluării cazurilor concrete și ar putea crea neconcordanțe cu </w:t>
            </w:r>
            <w:proofErr w:type="spellStart"/>
            <w:r w:rsidRPr="008A0CB9">
              <w:rPr>
                <w:iCs/>
              </w:rPr>
              <w:t>MiCA</w:t>
            </w:r>
            <w:proofErr w:type="spellEnd"/>
            <w:r w:rsidRPr="008A0CB9">
              <w:rPr>
                <w:iCs/>
              </w:rPr>
              <w:t>.</w:t>
            </w:r>
          </w:p>
          <w:p w14:paraId="120F9817" w14:textId="6B4BF9A4"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pPr>
            <w:r w:rsidRPr="008A0CB9">
              <w:rPr>
                <w:iCs/>
              </w:rPr>
              <w:t xml:space="preserve">Aplicarea noțiunii este ghidată de cerințele legii, de conținutul anexelor și de principiile proporționalității și securității </w:t>
            </w:r>
            <w:r w:rsidRPr="008A0CB9">
              <w:rPr>
                <w:iCs/>
              </w:rPr>
              <w:lastRenderedPageBreak/>
              <w:t>juridice, iar eventualele clarificări pot fi stabilite prin reglementări secundare.</w:t>
            </w:r>
          </w:p>
        </w:tc>
      </w:tr>
      <w:tr w:rsidR="00A06816" w:rsidRPr="0026420A" w14:paraId="4FDE0515" w14:textId="77777777" w:rsidTr="00080634">
        <w:trPr>
          <w:trHeight w:val="615"/>
        </w:trPr>
        <w:tc>
          <w:tcPr>
            <w:tcW w:w="2206" w:type="dxa"/>
            <w:tcMar>
              <w:top w:w="0" w:type="dxa"/>
              <w:left w:w="108" w:type="dxa"/>
              <w:bottom w:w="0" w:type="dxa"/>
              <w:right w:w="108" w:type="dxa"/>
            </w:tcMar>
          </w:tcPr>
          <w:p w14:paraId="05AC6B8D"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42A6B353"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5CB4FFDD" w14:textId="77777777" w:rsidR="00A06816" w:rsidRPr="0026420A" w:rsidRDefault="00A06816" w:rsidP="00A06816">
            <w:pPr>
              <w:pStyle w:val="Default"/>
              <w:jc w:val="both"/>
              <w:rPr>
                <w:rFonts w:ascii="Times New Roman" w:hAnsi="Times New Roman" w:cs="Times New Roman"/>
                <w:b/>
                <w:bCs/>
                <w:lang w:val="ro-RO"/>
              </w:rPr>
            </w:pPr>
            <w:r w:rsidRPr="0026420A">
              <w:rPr>
                <w:rFonts w:ascii="Times New Roman" w:hAnsi="Times New Roman" w:cs="Times New Roman"/>
                <w:b/>
                <w:bCs/>
                <w:sz w:val="20"/>
                <w:szCs w:val="20"/>
                <w:lang w:val="ro-RO"/>
              </w:rPr>
              <w:t xml:space="preserve">Art. 10 alin. (3) și (4) </w:t>
            </w:r>
          </w:p>
          <w:p w14:paraId="26C8A1B8" w14:textId="77777777" w:rsidR="00A06816" w:rsidRPr="0026420A" w:rsidRDefault="00A06816" w:rsidP="00A06816">
            <w:pPr>
              <w:ind w:firstLine="0"/>
            </w:pPr>
            <w:r w:rsidRPr="0026420A">
              <w:t xml:space="preserve">Art. 10 alin. (3) și (4) prevede păstrarea fondurilor colectate în cadrul ofertei publice, la instituțiile de credit sau al furnizorilor de servicii de </w:t>
            </w:r>
            <w:proofErr w:type="spellStart"/>
            <w:r w:rsidRPr="0026420A">
              <w:t>criptoactive</w:t>
            </w:r>
            <w:proofErr w:type="spellEnd"/>
            <w:r w:rsidRPr="0026420A">
              <w:t xml:space="preserve"> care asigură custodia și administrarea </w:t>
            </w:r>
            <w:proofErr w:type="spellStart"/>
            <w:r w:rsidRPr="0026420A">
              <w:t>criptoactivelor</w:t>
            </w:r>
            <w:proofErr w:type="spellEnd"/>
            <w:r w:rsidRPr="0026420A">
              <w:t>.</w:t>
            </w:r>
          </w:p>
          <w:p w14:paraId="79F0E0EA" w14:textId="77777777" w:rsidR="00A06816" w:rsidRPr="0026420A" w:rsidRDefault="00A06816" w:rsidP="00A06816">
            <w:pPr>
              <w:ind w:firstLine="0"/>
            </w:pPr>
            <w:r w:rsidRPr="0026420A">
              <w:t xml:space="preserve">În forma actuală, norma nu stabilește regimul juridic al fondurilor respective, delimitarea responsabilităților dintre ofertant și instituția de credit și limitele obligațiilor instituției de credit aferente verificării operațiunilor și proiectului de </w:t>
            </w:r>
            <w:proofErr w:type="spellStart"/>
            <w:r w:rsidRPr="0026420A">
              <w:t>criptoactive</w:t>
            </w:r>
            <w:proofErr w:type="spellEnd"/>
            <w:r w:rsidRPr="0026420A">
              <w:t>.</w:t>
            </w:r>
          </w:p>
          <w:p w14:paraId="28F15F61" w14:textId="77777777" w:rsidR="00A06816" w:rsidRPr="0026420A" w:rsidRDefault="00A06816" w:rsidP="00A06816">
            <w:pPr>
              <w:ind w:firstLine="0"/>
            </w:pPr>
            <w:r w:rsidRPr="0026420A">
              <w:t xml:space="preserve">În lipsa unor clarificări exprese, există riscul interpretării potrivit căreia instituțiile de credit ar deține obligații suplimentare de acceptare, monitorizare, supraveghere sau garantare indirectă a fondurilor sau a </w:t>
            </w:r>
            <w:proofErr w:type="spellStart"/>
            <w:r w:rsidRPr="0026420A">
              <w:t>criptoactivelor</w:t>
            </w:r>
            <w:proofErr w:type="spellEnd"/>
            <w:r w:rsidRPr="0026420A">
              <w:t>.</w:t>
            </w:r>
          </w:p>
          <w:p w14:paraId="4EE4D525" w14:textId="77777777" w:rsidR="00A06816" w:rsidRPr="0026420A" w:rsidRDefault="00A06816" w:rsidP="00A06816">
            <w:pPr>
              <w:ind w:firstLine="0"/>
            </w:pPr>
            <w:r w:rsidRPr="0026420A">
              <w:t>Înțelegem faptul că, aspectele de ordin tehnic urmează a fi dezvoltate prin acte normative subsecvente. Totuși, observațiile formulate în opinia exprimată anterior nu vizează procedurile operaționale de executare, ci delimitarea obligațiilor legale principale și a responsabilităților entităților implicate.</w:t>
            </w:r>
          </w:p>
          <w:p w14:paraId="3BD1BC2A" w14:textId="77777777" w:rsidR="00A06816" w:rsidRPr="0026420A" w:rsidRDefault="00A06816" w:rsidP="00A06816">
            <w:pPr>
              <w:ind w:firstLine="0"/>
            </w:pPr>
            <w:r w:rsidRPr="0026420A">
              <w:t>Astfel, deși proiectul stabilește obligația ofertantului de a asigura păstrarea în siguranță a fondurilor colectate, norma nu clarifică suficient dacă și în ce măsură instituția de credit care asigură custodia fondurilor dobândește obligații proprii de monitorizare, verificare, control sau răspundere în raport cu desfășurarea ofertei publice.</w:t>
            </w:r>
          </w:p>
          <w:p w14:paraId="782C7B49" w14:textId="77777777" w:rsidR="00A06816" w:rsidRPr="0026420A" w:rsidRDefault="00A06816" w:rsidP="00A06816">
            <w:pPr>
              <w:ind w:firstLine="0"/>
            </w:pPr>
            <w:r w:rsidRPr="0026420A">
              <w:t>În acest context, considerăm necesară completarea normei cu prevederi exprese privind:</w:t>
            </w:r>
          </w:p>
          <w:p w14:paraId="5D828C2A" w14:textId="77777777" w:rsidR="00A06816" w:rsidRPr="0026420A" w:rsidRDefault="00A06816" w:rsidP="00A06816">
            <w:pPr>
              <w:ind w:firstLine="0"/>
            </w:pPr>
            <w:r w:rsidRPr="0026420A">
              <w:t>a) delimitarea responsabilităților ofertantului și instituției de credit;</w:t>
            </w:r>
          </w:p>
          <w:p w14:paraId="74480FC8" w14:textId="77777777" w:rsidR="00A06816" w:rsidRPr="0026420A" w:rsidRDefault="00A06816" w:rsidP="00A06816">
            <w:pPr>
              <w:ind w:firstLine="0"/>
            </w:pPr>
            <w:r w:rsidRPr="0026420A">
              <w:t xml:space="preserve">b)lipsa obligației Băncilor de validare a legalității, viabilității sau sustenabilității proiectului de </w:t>
            </w:r>
            <w:proofErr w:type="spellStart"/>
            <w:r w:rsidRPr="0026420A">
              <w:t>criptoactive</w:t>
            </w:r>
            <w:proofErr w:type="spellEnd"/>
            <w:r w:rsidRPr="0026420A">
              <w:t>;</w:t>
            </w:r>
          </w:p>
          <w:p w14:paraId="0B925469" w14:textId="77777777" w:rsidR="00A06816" w:rsidRPr="0026420A" w:rsidRDefault="00A06816" w:rsidP="00A06816">
            <w:pPr>
              <w:ind w:firstLine="0"/>
            </w:pPr>
            <w:r w:rsidRPr="0026420A">
              <w:t>c)regimul juridic și mecanismele de protecție aplicabile fondurilor colectate.</w:t>
            </w:r>
          </w:p>
          <w:p w14:paraId="07BCF13A" w14:textId="77777777" w:rsidR="00A06816" w:rsidRPr="0026420A" w:rsidRDefault="00A06816" w:rsidP="00A06816">
            <w:pPr>
              <w:ind w:firstLine="0"/>
            </w:pPr>
            <w:r w:rsidRPr="0026420A">
              <w:t xml:space="preserve">Lipsa unor clarificări exprese, poate conduce la atragerea instituțiilor de credit în litigii cu investitorii, la apariția unor așteptări nejustificate privind asumarea de către acestea a riscurilor aferente ofertei și la dificultăți privind delimitarea răspunderii între ofertant și instituția de credit, inclusiv în situațiile exercitării dreptului de retragere sau ale eșecului proiectului de </w:t>
            </w:r>
            <w:proofErr w:type="spellStart"/>
            <w:r w:rsidRPr="0026420A">
              <w:t>criptoactive</w:t>
            </w:r>
            <w:proofErr w:type="spellEnd"/>
            <w:r w:rsidRPr="0026420A">
              <w:t>.</w:t>
            </w:r>
          </w:p>
          <w:p w14:paraId="767EF092" w14:textId="77777777" w:rsidR="00A06816" w:rsidRPr="0026420A" w:rsidRDefault="00A06816" w:rsidP="00A06816">
            <w:pPr>
              <w:ind w:firstLine="0"/>
            </w:pPr>
            <w:r w:rsidRPr="0026420A">
              <w:t xml:space="preserve">Totodată, având în vedere că băncile și prestatorii de servicii de plată sunt entități raportoare în sensul Legii nr. 308/2017, menținerea în custodie a fondurilor colectate poate genera obligații continue de monitorizare a relației de afaceri, inclusiv obligației de actualizare a </w:t>
            </w:r>
            <w:r w:rsidRPr="0026420A">
              <w:lastRenderedPageBreak/>
              <w:t>profilului de risc al clientului, de analiză a sursei fondurilor, a scopului și naturii operațiunilor.</w:t>
            </w:r>
          </w:p>
          <w:p w14:paraId="7EDFFB35" w14:textId="77777777" w:rsidR="00A06816" w:rsidRPr="0026420A" w:rsidRDefault="00A06816" w:rsidP="00A06816">
            <w:pPr>
              <w:ind w:firstLine="0"/>
            </w:pPr>
            <w:r w:rsidRPr="0026420A">
              <w:t>Totodată, utilizarea noțiunii de „custodie” fără a fi incluse clarificările solicitate, poate genera incertitudini cu privire la întinderea obligațiilor instituției de credit în raport cu fondurile colectate, inclusiv în situațiile exercitării dreptului de retragere de către investitori, ale indisponibilizării fondurilor, ale insolvenței ofertantului sau ale utilizării fondurilor în alte scopuri decât cele aferente ofertei publice.</w:t>
            </w:r>
          </w:p>
          <w:p w14:paraId="103A4C59" w14:textId="71B52F4A" w:rsidR="00A06816" w:rsidRPr="0026420A" w:rsidRDefault="00A06816" w:rsidP="00A06816">
            <w:pPr>
              <w:pBdr>
                <w:top w:val="none" w:sz="4" w:space="0" w:color="000000"/>
                <w:left w:val="none" w:sz="4" w:space="0" w:color="000000"/>
                <w:bottom w:val="none" w:sz="4" w:space="0" w:color="000000"/>
                <w:right w:val="none" w:sz="4" w:space="0" w:color="000000"/>
              </w:pBdr>
              <w:ind w:firstLine="0"/>
            </w:pPr>
            <w:r w:rsidRPr="0026420A">
              <w:t xml:space="preserve">Precizăm că observația formulată nu urmărește excluderea mecanismului de asigurare a custodiei fondurilor de către instituțiile de credit și nici nu pune în discuție soluția de fond prevăzută de Regulamentul (UE) 2023/1114. Scopul acesteia constă exclusiv în asigurarea unei delimitări clare a rolului și a întinderii obligațiilor instituțiilor de credit implicate, în vederea evitării transferării indirecte asupra acestora a unor responsabilități care </w:t>
            </w:r>
            <w:proofErr w:type="spellStart"/>
            <w:r w:rsidRPr="0026420A">
              <w:t>exced</w:t>
            </w:r>
            <w:proofErr w:type="spellEnd"/>
            <w:r w:rsidRPr="0026420A">
              <w:t xml:space="preserve"> natura serviciilor bancare.</w:t>
            </w:r>
          </w:p>
        </w:tc>
        <w:tc>
          <w:tcPr>
            <w:tcW w:w="5281" w:type="dxa"/>
            <w:tcMar>
              <w:top w:w="0" w:type="dxa"/>
              <w:left w:w="108" w:type="dxa"/>
              <w:bottom w:w="0" w:type="dxa"/>
              <w:right w:w="108" w:type="dxa"/>
            </w:tcMar>
          </w:tcPr>
          <w:p w14:paraId="4EE420A5" w14:textId="77777777" w:rsidR="00A06816" w:rsidRDefault="00A06816" w:rsidP="00A06816">
            <w:pPr>
              <w:ind w:firstLine="0"/>
              <w:rPr>
                <w:b/>
                <w:bCs/>
                <w:iCs/>
              </w:rPr>
            </w:pPr>
            <w:r w:rsidRPr="009201FD">
              <w:rPr>
                <w:b/>
                <w:bCs/>
                <w:iCs/>
              </w:rPr>
              <w:lastRenderedPageBreak/>
              <w:t xml:space="preserve">Nu se acceptă. </w:t>
            </w:r>
          </w:p>
          <w:p w14:paraId="20C53009" w14:textId="77777777" w:rsidR="00A06816" w:rsidRPr="00DA284A" w:rsidRDefault="00A06816" w:rsidP="00A06816">
            <w:pPr>
              <w:ind w:firstLine="0"/>
              <w:rPr>
                <w:iCs/>
              </w:rPr>
            </w:pPr>
            <w:r w:rsidRPr="00DA284A">
              <w:rPr>
                <w:iCs/>
              </w:rPr>
              <w:t>Se reiterează răspunsul formulat anterior la observația privind același articol: proiectul instituie obligația de păstrare în condiții de siguranță a fondurilor colectate în cadrul ofertei publice, iar titularul acestei obligații este ofertantul, nu instituția de credit.</w:t>
            </w:r>
          </w:p>
          <w:p w14:paraId="47D097CB" w14:textId="77777777" w:rsidR="00A06816" w:rsidRPr="00DA284A" w:rsidRDefault="00A06816" w:rsidP="00A06816">
            <w:pPr>
              <w:ind w:firstLine="0"/>
              <w:rPr>
                <w:iCs/>
              </w:rPr>
            </w:pPr>
            <w:r w:rsidRPr="00DA284A">
              <w:rPr>
                <w:iCs/>
              </w:rPr>
              <w:t xml:space="preserve">În concepția art. 10, instituția de credit are rolul de entitate la care sunt plasate fondurile colectate, fără ca această împrejurare să echivaleze cu validarea, aprobarea sau garantarea ofertei publice ori a proiectului de </w:t>
            </w:r>
            <w:proofErr w:type="spellStart"/>
            <w:r w:rsidRPr="00DA284A">
              <w:rPr>
                <w:iCs/>
              </w:rPr>
              <w:t>criptoactive</w:t>
            </w:r>
            <w:proofErr w:type="spellEnd"/>
            <w:r w:rsidRPr="00DA284A">
              <w:rPr>
                <w:iCs/>
              </w:rPr>
              <w:t>. Instituția de credit nu răspunde pentru legalitatea, viabilitatea, sustenabilitatea sau succesul proiectului și nu devine debitor al obligației de rambursare față de deținătorii de retail; această obligație revine ofertantului, potrivit proiectului.</w:t>
            </w:r>
          </w:p>
          <w:p w14:paraId="285C2E60" w14:textId="77777777" w:rsidR="00A06816" w:rsidRPr="00DA284A" w:rsidRDefault="00A06816" w:rsidP="00A06816">
            <w:pPr>
              <w:ind w:firstLine="0"/>
              <w:rPr>
                <w:iCs/>
              </w:rPr>
            </w:pPr>
            <w:r w:rsidRPr="00DA284A">
              <w:rPr>
                <w:iCs/>
              </w:rPr>
              <w:t>Protecția fondurilor este asigurată prin mecanismul de păstrare separată și prin regimul juridic aplicabil fondurilor colectate, iar nu prin instituirea unei garanții bancare implicite. Totodată, obligațiile instituției de credit privind cunoașterea clientelei, monitorizarea relației de afaceri, analiza sursei fondurilor și raportarea activităților suspecte nu derivă din art. 10, ci din Legea nr. 308/2017 și din cadrul normativ aplicabil entităților raportoare. Aceste obligații se aplică în paralel, pe temei propriu, fără a fi create, extinse sau înlăturate prin norma analizată.</w:t>
            </w:r>
          </w:p>
          <w:p w14:paraId="278FB9F7" w14:textId="736BD45E"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pPr>
            <w:r w:rsidRPr="00DA284A">
              <w:rPr>
                <w:iCs/>
              </w:rPr>
              <w:t>Prin urmare, nu este necesară completarea legii primare cu un regim detaliat al raporturilor dintre ofertant și instituția de credit. Eventualele aspecte operaționale privind modalitatea de evidență, segregare, utilizare, restituire sau transfer al fondurilor colectate pot fi dezvoltate, după caz, prin acte normative subsecvente, reglementări sectoriale ori clauze contractuale, fără a modifica principiul stabilit de lege: răspunderea pentru ofertă și pentru utilizarea fondurilor colectate revine ofertantului.</w:t>
            </w:r>
          </w:p>
        </w:tc>
      </w:tr>
      <w:tr w:rsidR="00A06816" w:rsidRPr="0026420A" w14:paraId="3D7C495D" w14:textId="77777777" w:rsidTr="00080634">
        <w:trPr>
          <w:trHeight w:val="615"/>
        </w:trPr>
        <w:tc>
          <w:tcPr>
            <w:tcW w:w="2206" w:type="dxa"/>
            <w:tcMar>
              <w:top w:w="0" w:type="dxa"/>
              <w:left w:w="108" w:type="dxa"/>
              <w:bottom w:w="0" w:type="dxa"/>
              <w:right w:w="108" w:type="dxa"/>
            </w:tcMar>
          </w:tcPr>
          <w:p w14:paraId="39ADFFF5"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634137BD"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0ABEFC88" w14:textId="77777777" w:rsidR="00A06816" w:rsidRPr="0026420A" w:rsidRDefault="00A06816" w:rsidP="00A06816">
            <w:pPr>
              <w:pStyle w:val="Default"/>
              <w:jc w:val="both"/>
              <w:rPr>
                <w:rFonts w:ascii="Times New Roman" w:hAnsi="Times New Roman" w:cs="Times New Roman"/>
                <w:b/>
                <w:bCs/>
                <w:lang w:val="ro-RO"/>
              </w:rPr>
            </w:pPr>
            <w:r w:rsidRPr="0026420A">
              <w:rPr>
                <w:rFonts w:ascii="Times New Roman" w:hAnsi="Times New Roman" w:cs="Times New Roman"/>
                <w:b/>
                <w:bCs/>
                <w:sz w:val="20"/>
                <w:szCs w:val="20"/>
                <w:lang w:val="ro-RO"/>
              </w:rPr>
              <w:t xml:space="preserve">Art. 13 </w:t>
            </w:r>
          </w:p>
          <w:p w14:paraId="5BEAB3EA" w14:textId="77777777" w:rsidR="00A06816" w:rsidRPr="0026420A" w:rsidRDefault="00A06816" w:rsidP="00A06816">
            <w:pPr>
              <w:ind w:firstLine="0"/>
            </w:pPr>
            <w:r w:rsidRPr="0026420A">
              <w:t>Articolul menționat, reglementează dreptul de retragere al deținătorilor de retail (adică al oricărei persoane fizice ce acționează în scopuri care nu sunt legate de activitatea sa comercială, economică, meșteșugărească sau profesională) și obligația rambursării sumelor achitate.</w:t>
            </w:r>
          </w:p>
          <w:p w14:paraId="5604EEEC" w14:textId="77777777" w:rsidR="00A06816" w:rsidRPr="0026420A" w:rsidRDefault="00A06816" w:rsidP="00A06816">
            <w:pPr>
              <w:ind w:firstLine="0"/>
            </w:pPr>
            <w:r w:rsidRPr="0026420A">
              <w:t xml:space="preserve">Totuși, norma nu delimitează suficient responsabilitățile ofertantului sau ale furnizorului de servicii de </w:t>
            </w:r>
            <w:proofErr w:type="spellStart"/>
            <w:r w:rsidRPr="0026420A">
              <w:t>criptoactive</w:t>
            </w:r>
            <w:proofErr w:type="spellEnd"/>
            <w:r w:rsidRPr="0026420A">
              <w:t xml:space="preserve"> față de rolul băncilor și al prestatorilor de servicii de plată implicați exclusiv în executarea transferurilor.</w:t>
            </w:r>
          </w:p>
          <w:p w14:paraId="164EC88D" w14:textId="77777777" w:rsidR="00A06816" w:rsidRPr="0026420A" w:rsidRDefault="00A06816" w:rsidP="00A06816">
            <w:pPr>
              <w:ind w:firstLine="0"/>
            </w:pPr>
            <w:r w:rsidRPr="0026420A">
              <w:t>Astfel, prevederea nu reglementează suficient responsabilitatea operațională pentru efectuarea rambursării, mecanismele de reversare a tranzacțiilor, implicațiile pentru prestatorii de servicii de plată implicați în executarea transferurilor, situațiile în care activele au fost deja convertite, transferate sau tranzacționate, cine suportă toate costurile operaționale, cine suportă după caz riscurile valutare etc.</w:t>
            </w:r>
          </w:p>
          <w:p w14:paraId="67708384" w14:textId="77777777" w:rsidR="00A06816" w:rsidRPr="0026420A" w:rsidRDefault="00A06816" w:rsidP="00A06816">
            <w:pPr>
              <w:ind w:firstLine="0"/>
            </w:pPr>
            <w:r w:rsidRPr="0026420A">
              <w:t xml:space="preserve">În lipsa unor clarificări exprese, există riscul transferării indirecte asupra băncilor și prestatorilor de servicii de plată a unor responsabilități operaționale sau chiar litigioase care </w:t>
            </w:r>
            <w:proofErr w:type="spellStart"/>
            <w:r w:rsidRPr="0026420A">
              <w:t>exced</w:t>
            </w:r>
            <w:proofErr w:type="spellEnd"/>
            <w:r w:rsidRPr="0026420A">
              <w:t xml:space="preserve"> natura serviciilor bancare și/sau de plată prestate.</w:t>
            </w:r>
          </w:p>
          <w:p w14:paraId="627244EE" w14:textId="77777777" w:rsidR="00A06816" w:rsidRPr="0026420A" w:rsidRDefault="00A06816" w:rsidP="00A06816">
            <w:pPr>
              <w:ind w:firstLine="0"/>
            </w:pPr>
            <w:r w:rsidRPr="0026420A">
              <w:t xml:space="preserve">Înțelegem faptul că prevederea constituie o transpunere a art. 13 din Regulamentul </w:t>
            </w:r>
            <w:proofErr w:type="spellStart"/>
            <w:r w:rsidRPr="0026420A">
              <w:t>MiCA</w:t>
            </w:r>
            <w:proofErr w:type="spellEnd"/>
            <w:r w:rsidRPr="0026420A">
              <w:t xml:space="preserve"> dar, nu susținem modificarea substanței dreptului de retragere reglementat potrivit art. 13 </w:t>
            </w:r>
            <w:proofErr w:type="spellStart"/>
            <w:r w:rsidRPr="0026420A">
              <w:t>MiCA</w:t>
            </w:r>
            <w:proofErr w:type="spellEnd"/>
            <w:r w:rsidRPr="0026420A">
              <w:t xml:space="preserve"> și nici diminuarea obligației ofertantului/furnizorului de servicii de </w:t>
            </w:r>
            <w:proofErr w:type="spellStart"/>
            <w:r w:rsidRPr="0026420A">
              <w:t>criptoactive</w:t>
            </w:r>
            <w:proofErr w:type="spellEnd"/>
            <w:r w:rsidRPr="0026420A">
              <w:t xml:space="preserve"> de a rambursa sumele achitate de deținătorii de retail.</w:t>
            </w:r>
          </w:p>
          <w:p w14:paraId="54CB4077" w14:textId="77777777" w:rsidR="00A06816" w:rsidRPr="0026420A" w:rsidRDefault="00A06816" w:rsidP="00A06816">
            <w:pPr>
              <w:ind w:firstLine="0"/>
            </w:pPr>
            <w:r w:rsidRPr="0026420A">
              <w:lastRenderedPageBreak/>
              <w:t>Observația vizează exclusiv necesitatea delimitării exprese a responsabilității operaționale și financiare a terților implicați incidental în executarea transferurilor, în special băncile și prestatorii de servicii de plată.</w:t>
            </w:r>
          </w:p>
          <w:p w14:paraId="1475058D" w14:textId="77777777" w:rsidR="00A06816" w:rsidRPr="0026420A" w:rsidRDefault="00A06816" w:rsidP="00A06816">
            <w:pPr>
              <w:ind w:firstLine="0"/>
            </w:pPr>
            <w:r w:rsidRPr="0026420A">
              <w:t xml:space="preserve">Invocarea faptului că proiectul trebuie să urmeze textul și logica </w:t>
            </w:r>
            <w:proofErr w:type="spellStart"/>
            <w:r w:rsidRPr="0026420A">
              <w:t>MiCA</w:t>
            </w:r>
            <w:proofErr w:type="spellEnd"/>
            <w:r w:rsidRPr="0026420A">
              <w:t xml:space="preserve"> nu exclude posibilitatea introducerii unor clarificări la nivel național care să nu contravină regulamentului european, ci să asigure aplicarea previzibilă a acestuia în infrastructura financiară locală. Dimpotrivă, în lipsa unei asemenea delimitări, pot apărea interpretări potrivit cărora băncile sau prestatorii de servicii de plată, deși nu au calitatea de ofertant sau furnizor de servicii de </w:t>
            </w:r>
            <w:proofErr w:type="spellStart"/>
            <w:r w:rsidRPr="0026420A">
              <w:t>criptoactive</w:t>
            </w:r>
            <w:proofErr w:type="spellEnd"/>
            <w:r w:rsidRPr="0026420A">
              <w:t>, ar putea fi implicați în litigii privind rambursarea, suportarea costurilor operaționale ori a riscurilor valutare/de preț.</w:t>
            </w:r>
          </w:p>
          <w:p w14:paraId="6862B069" w14:textId="77777777" w:rsidR="00A06816" w:rsidRPr="0026420A" w:rsidRDefault="00A06816" w:rsidP="00A06816">
            <w:pPr>
              <w:ind w:firstLine="0"/>
            </w:pPr>
            <w:r w:rsidRPr="0026420A">
              <w:t>Totodată, trimiterea generală că aceste modificări urmează a fi adoptate prin acte normative subsecvente nu o considerăm ca fiind suficientă în măsura în care obligația de fond este instituită prin lege, iar efectele acesteia pot afecta drepturile și obligațiile unor categorii de participanți care nu sunt destinatarii direcți ai normei.</w:t>
            </w:r>
          </w:p>
          <w:p w14:paraId="2D16A335" w14:textId="77777777" w:rsidR="00A06816" w:rsidRPr="0026420A" w:rsidRDefault="00A06816" w:rsidP="00A06816">
            <w:pPr>
              <w:ind w:firstLine="0"/>
            </w:pPr>
            <w:r w:rsidRPr="0026420A">
              <w:t xml:space="preserve">Prin urmare, cadrul primar ar trebui să stabilească cel puțin regula de principiu că obligația de rambursare aparține exclusiv ofertantului sau furnizorului de servicii de </w:t>
            </w:r>
            <w:proofErr w:type="spellStart"/>
            <w:r w:rsidRPr="0026420A">
              <w:t>criptoactive</w:t>
            </w:r>
            <w:proofErr w:type="spellEnd"/>
            <w:r w:rsidRPr="0026420A">
              <w:t>, fără a genera obligații financiare proprii pentru băncile și prestatorii de servicii de plată care acționează exclusiv în calitate de intermediari ai transferurilor.</w:t>
            </w:r>
          </w:p>
          <w:p w14:paraId="5804306A" w14:textId="587FF3C8" w:rsidR="00A06816" w:rsidRPr="0026420A" w:rsidRDefault="00A06816" w:rsidP="00A06816">
            <w:pPr>
              <w:pBdr>
                <w:top w:val="none" w:sz="4" w:space="0" w:color="000000"/>
                <w:left w:val="none" w:sz="4" w:space="0" w:color="000000"/>
                <w:bottom w:val="none" w:sz="4" w:space="0" w:color="000000"/>
                <w:right w:val="none" w:sz="4" w:space="0" w:color="000000"/>
              </w:pBdr>
              <w:ind w:firstLine="0"/>
            </w:pPr>
            <w:r w:rsidRPr="0026420A">
              <w:t xml:space="preserve">O asemenea completare nu ar crea divergențe față de </w:t>
            </w:r>
            <w:proofErr w:type="spellStart"/>
            <w:r w:rsidRPr="0026420A">
              <w:t>MiCA</w:t>
            </w:r>
            <w:proofErr w:type="spellEnd"/>
            <w:r w:rsidRPr="0026420A">
              <w:t xml:space="preserve">, ci ar consolida securitatea juridică și ar preveni extinderea nejustificată a răspunderii către entități care nu participă la oferta publică de </w:t>
            </w:r>
            <w:proofErr w:type="spellStart"/>
            <w:r w:rsidRPr="0026420A">
              <w:t>criptoactive</w:t>
            </w:r>
            <w:proofErr w:type="spellEnd"/>
            <w:r w:rsidRPr="0026420A">
              <w:t xml:space="preserve"> și nu controlează mecanismele de emitere, retragere, conversie sau tranzacționare a acestora.</w:t>
            </w:r>
          </w:p>
        </w:tc>
        <w:tc>
          <w:tcPr>
            <w:tcW w:w="5281" w:type="dxa"/>
            <w:tcMar>
              <w:top w:w="0" w:type="dxa"/>
              <w:left w:w="108" w:type="dxa"/>
              <w:bottom w:w="0" w:type="dxa"/>
              <w:right w:w="108" w:type="dxa"/>
            </w:tcMar>
          </w:tcPr>
          <w:p w14:paraId="3FB81D18" w14:textId="77777777" w:rsidR="00A06816" w:rsidRDefault="00A06816" w:rsidP="00A06816">
            <w:pPr>
              <w:ind w:firstLine="0"/>
              <w:rPr>
                <w:b/>
                <w:bCs/>
                <w:iCs/>
              </w:rPr>
            </w:pPr>
            <w:r w:rsidRPr="00E54D94">
              <w:rPr>
                <w:b/>
                <w:bCs/>
                <w:iCs/>
              </w:rPr>
              <w:lastRenderedPageBreak/>
              <w:t xml:space="preserve">Nu se acceptă. </w:t>
            </w:r>
          </w:p>
          <w:p w14:paraId="1540E89B" w14:textId="77777777" w:rsidR="00A06816" w:rsidRPr="00BF5849" w:rsidRDefault="00A06816" w:rsidP="00A06816">
            <w:pPr>
              <w:ind w:firstLine="0"/>
              <w:rPr>
                <w:iCs/>
              </w:rPr>
            </w:pPr>
            <w:r>
              <w:rPr>
                <w:iCs/>
              </w:rPr>
              <w:t>Aspectele</w:t>
            </w:r>
            <w:r w:rsidRPr="00BF5849">
              <w:rPr>
                <w:iCs/>
              </w:rPr>
              <w:t xml:space="preserve"> semnalat</w:t>
            </w:r>
            <w:r>
              <w:rPr>
                <w:iCs/>
              </w:rPr>
              <w:t>e</w:t>
            </w:r>
            <w:r w:rsidRPr="00BF5849">
              <w:rPr>
                <w:iCs/>
              </w:rPr>
              <w:t xml:space="preserve"> a</w:t>
            </w:r>
            <w:r>
              <w:rPr>
                <w:iCs/>
              </w:rPr>
              <w:t>u</w:t>
            </w:r>
            <w:r w:rsidRPr="00BF5849">
              <w:rPr>
                <w:iCs/>
              </w:rPr>
              <w:t xml:space="preserve"> fost deja epuiz</w:t>
            </w:r>
            <w:r>
              <w:rPr>
                <w:iCs/>
              </w:rPr>
              <w:t>ate</w:t>
            </w:r>
            <w:r w:rsidRPr="00BF5849">
              <w:rPr>
                <w:iCs/>
              </w:rPr>
              <w:t xml:space="preserve"> prin răspunsul deja formulat la pct. 34 din tabelul de sinteză.</w:t>
            </w:r>
          </w:p>
          <w:p w14:paraId="76282F56" w14:textId="77777777" w:rsidR="00A06816" w:rsidRDefault="00A06816" w:rsidP="00A06816">
            <w:pPr>
              <w:ind w:firstLine="0"/>
              <w:rPr>
                <w:iCs/>
              </w:rPr>
            </w:pPr>
            <w:r w:rsidRPr="00BF5849">
              <w:rPr>
                <w:iCs/>
              </w:rPr>
              <w:t xml:space="preserve">Suplimentar, se relevă că dreptul de retragere și obligația de rambursare revin ofertantului sau furnizorului de servicii de </w:t>
            </w:r>
            <w:proofErr w:type="spellStart"/>
            <w:r w:rsidRPr="00BF5849">
              <w:rPr>
                <w:iCs/>
              </w:rPr>
              <w:t>criptoactive</w:t>
            </w:r>
            <w:proofErr w:type="spellEnd"/>
            <w:r w:rsidRPr="00BF5849">
              <w:rPr>
                <w:iCs/>
              </w:rPr>
              <w:t xml:space="preserve">, potrivit proiectului de Lege și art. 13 </w:t>
            </w:r>
            <w:proofErr w:type="spellStart"/>
            <w:r w:rsidRPr="00BF5849">
              <w:rPr>
                <w:iCs/>
              </w:rPr>
              <w:t>MiCA</w:t>
            </w:r>
            <w:proofErr w:type="spellEnd"/>
            <w:r w:rsidRPr="00BF5849">
              <w:rPr>
                <w:iCs/>
              </w:rPr>
              <w:t xml:space="preserve">. </w:t>
            </w:r>
            <w:r w:rsidRPr="00E54D94">
              <w:rPr>
                <w:iCs/>
              </w:rPr>
              <w:t xml:space="preserve">Norma instituie un drept imperativ de retragere, iar obligația corelativă de rambursare este adresată, prin chiar textul alin. (1) și (2), exclusiv ofertantului sau furnizorului de servicii de </w:t>
            </w:r>
            <w:proofErr w:type="spellStart"/>
            <w:r w:rsidRPr="00E54D94">
              <w:rPr>
                <w:iCs/>
              </w:rPr>
              <w:t>criptoactive</w:t>
            </w:r>
            <w:proofErr w:type="spellEnd"/>
            <w:r w:rsidRPr="00E54D94">
              <w:rPr>
                <w:iCs/>
              </w:rPr>
              <w:t xml:space="preserve"> care plasează </w:t>
            </w:r>
            <w:proofErr w:type="spellStart"/>
            <w:r w:rsidRPr="00E54D94">
              <w:rPr>
                <w:iCs/>
              </w:rPr>
              <w:t>criptoactive</w:t>
            </w:r>
            <w:proofErr w:type="spellEnd"/>
            <w:r w:rsidRPr="00E54D94">
              <w:rPr>
                <w:iCs/>
              </w:rPr>
              <w:t xml:space="preserve"> în numele ofertantului</w:t>
            </w:r>
            <w:r>
              <w:rPr>
                <w:iCs/>
              </w:rPr>
              <w:t xml:space="preserve">, </w:t>
            </w:r>
            <w:r w:rsidRPr="00E54D94">
              <w:rPr>
                <w:iCs/>
              </w:rPr>
              <w:t xml:space="preserve"> categorii din care nu fac parte băncile și prestatorii de servicii de plată implicați doar în executarea transferurilor. </w:t>
            </w:r>
            <w:r w:rsidRPr="00BF5849">
              <w:rPr>
                <w:iCs/>
              </w:rPr>
              <w:t xml:space="preserve">Băncile și prestatorii de servicii de plată care intervin exclusiv în executarea transferurilor nu devin, prin efectul acestei norme, debitori ai obligației de rambursare și nu suportă riscurile economice ale ofertei, ale conversiei, ale prețului sau ale proiectului de </w:t>
            </w:r>
            <w:proofErr w:type="spellStart"/>
            <w:r w:rsidRPr="00BF5849">
              <w:rPr>
                <w:iCs/>
              </w:rPr>
              <w:t>criptoactive</w:t>
            </w:r>
            <w:proofErr w:type="spellEnd"/>
            <w:r w:rsidRPr="00BF5849">
              <w:rPr>
                <w:iCs/>
              </w:rPr>
              <w:t xml:space="preserve">. Aspectele privind reversarea tehnică, comisioanele de plată, costurile operaționale sau riscurile valutare țin de legislația privind serviciile de plată, de contractele aplicabile și de cadrul secundar, nu de legea primară privind reglementarea pieței </w:t>
            </w:r>
            <w:proofErr w:type="spellStart"/>
            <w:r w:rsidRPr="00BF5849">
              <w:rPr>
                <w:iCs/>
              </w:rPr>
              <w:t>criptoactivelor</w:t>
            </w:r>
            <w:proofErr w:type="spellEnd"/>
            <w:r w:rsidRPr="00BF5849">
              <w:rPr>
                <w:iCs/>
              </w:rPr>
              <w:t>.</w:t>
            </w:r>
          </w:p>
          <w:p w14:paraId="33C23BC8" w14:textId="77777777"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pPr>
          </w:p>
        </w:tc>
      </w:tr>
      <w:tr w:rsidR="00A06816" w:rsidRPr="0026420A" w14:paraId="125E21EC" w14:textId="77777777" w:rsidTr="00080634">
        <w:trPr>
          <w:trHeight w:val="615"/>
        </w:trPr>
        <w:tc>
          <w:tcPr>
            <w:tcW w:w="2206" w:type="dxa"/>
            <w:tcMar>
              <w:top w:w="0" w:type="dxa"/>
              <w:left w:w="108" w:type="dxa"/>
              <w:bottom w:w="0" w:type="dxa"/>
              <w:right w:w="108" w:type="dxa"/>
            </w:tcMar>
          </w:tcPr>
          <w:p w14:paraId="0AF106B5"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5B9B15FC"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7EACFCCF" w14:textId="77777777" w:rsidR="00A06816" w:rsidRPr="0026420A" w:rsidRDefault="00A06816" w:rsidP="00A06816">
            <w:pPr>
              <w:pStyle w:val="Default"/>
              <w:jc w:val="both"/>
              <w:rPr>
                <w:rFonts w:ascii="Times New Roman" w:hAnsi="Times New Roman" w:cs="Times New Roman"/>
                <w:b/>
                <w:bCs/>
                <w:lang w:val="ro-RO"/>
              </w:rPr>
            </w:pPr>
            <w:r w:rsidRPr="0026420A">
              <w:rPr>
                <w:rFonts w:ascii="Times New Roman" w:hAnsi="Times New Roman" w:cs="Times New Roman"/>
                <w:b/>
                <w:bCs/>
                <w:sz w:val="20"/>
                <w:szCs w:val="20"/>
                <w:lang w:val="ro-RO"/>
              </w:rPr>
              <w:t xml:space="preserve">art. 17 alin. (5) </w:t>
            </w:r>
          </w:p>
          <w:p w14:paraId="4D6B9A18" w14:textId="77777777" w:rsidR="00A06816" w:rsidRPr="0026420A" w:rsidRDefault="00A06816" w:rsidP="00A06816">
            <w:pPr>
              <w:ind w:firstLine="0"/>
            </w:pPr>
            <w:r w:rsidRPr="0026420A">
              <w:t xml:space="preserve">Prevederea în cauză stabilește că instituția de credit adoptă în prealabil actele interne necesare și notifică Comisia Națională, iar aceasta din urmă asigură transmiterea notificării către Banca Națională a Moldovei în vederea obținerii avizului aferent emiterii de către instituția de </w:t>
            </w:r>
            <w:proofErr w:type="spellStart"/>
            <w:r w:rsidRPr="0026420A">
              <w:t>creidt</w:t>
            </w:r>
            <w:proofErr w:type="spellEnd"/>
            <w:r w:rsidRPr="0026420A">
              <w:t xml:space="preserve"> a unui </w:t>
            </w:r>
            <w:proofErr w:type="spellStart"/>
            <w:r w:rsidRPr="0026420A">
              <w:t>token</w:t>
            </w:r>
            <w:proofErr w:type="spellEnd"/>
            <w:r w:rsidRPr="0026420A">
              <w:t xml:space="preserve"> raportat la active.</w:t>
            </w:r>
          </w:p>
          <w:p w14:paraId="34035F2A" w14:textId="77777777" w:rsidR="00A06816" w:rsidRPr="0026420A" w:rsidRDefault="00A06816" w:rsidP="00A06816">
            <w:pPr>
              <w:ind w:firstLine="0"/>
            </w:pPr>
            <w:r w:rsidRPr="0026420A">
              <w:t>Respectiv, fără a pune în discuție soluția de fond consacrată de Regulamentul (UE) 2023/1114 și necesitatea asigurării unei transpuneri conforme a acestuia, propunem reconsiderarea succesiunii etapelor procedurale prevăzute de proiect, din perspectiva eficienței administrative și a proporționalității sarcinilor impuse instituției bancare.</w:t>
            </w:r>
          </w:p>
          <w:p w14:paraId="00669CF0" w14:textId="77777777" w:rsidR="00A06816" w:rsidRPr="0026420A" w:rsidRDefault="00A06816" w:rsidP="00A06816">
            <w:pPr>
              <w:ind w:firstLine="0"/>
            </w:pPr>
            <w:r w:rsidRPr="0026420A">
              <w:lastRenderedPageBreak/>
              <w:t>În acest sens, recomandăm reglementarea obținerii prealabile a avizului Băncii Naționale a Moldovei anterior depunerii notificării la Comisia Națională.</w:t>
            </w:r>
          </w:p>
          <w:p w14:paraId="7B9F4C05" w14:textId="77777777" w:rsidR="00A06816" w:rsidRPr="0026420A" w:rsidRDefault="00A06816" w:rsidP="00A06816">
            <w:pPr>
              <w:ind w:firstLine="0"/>
            </w:pPr>
            <w:r w:rsidRPr="0026420A">
              <w:t>O asemenea succesiune a etapelor procedurale ar permite clarificarea, într-o etapă incipientă, a aspectelor ce țin de competența specifică a Băncii Naționale a Moldovei, inclusiv în situațiile în care aceasta, în calitate de autoritate de supraveghere, identifică riscuri la adresa bunei funcționări a sistemelor de plăți, a mecanismului de transmisie a politicii monetare sau a suveranității monetare.</w:t>
            </w:r>
          </w:p>
          <w:p w14:paraId="29345BCC" w14:textId="77777777" w:rsidR="00A06816" w:rsidRPr="0026420A" w:rsidRDefault="00A06816" w:rsidP="00A06816">
            <w:pPr>
              <w:ind w:firstLine="0"/>
            </w:pPr>
            <w:r w:rsidRPr="0026420A">
              <w:t>Totodată, având în vedere că instituțiile de credit sunt entități aflate sub supravegherea Băncii Naționale a Moldovei, iar avizul acesteia vizează aspecte esențiale privind organizarea internă, administrarea riscurilor și desfășurarea activității, se consideră că examinarea prealabilă a acestor elemente de către Banca Națională a Moldovei ar contribui la eficientizarea procedurii și la evitarea unor cicluri succesive de completare și revizuire a documentației între autoritățile implicate.</w:t>
            </w:r>
          </w:p>
          <w:p w14:paraId="58B26C43" w14:textId="77777777" w:rsidR="00A06816" w:rsidRPr="0026420A" w:rsidRDefault="00A06816" w:rsidP="00A06816">
            <w:pPr>
              <w:ind w:firstLine="0"/>
            </w:pPr>
            <w:r w:rsidRPr="0026420A">
              <w:t xml:space="preserve">O reconsiderare a succesiunii ar determina depunerea la CNPF a unui dosar consolidat și deja validat din perspectiva cerințelor aflate în competența autorității bancare, contribuind astfel la sporirea eficienței </w:t>
            </w:r>
          </w:p>
          <w:p w14:paraId="4FF0274C" w14:textId="77777777" w:rsidR="00A06816" w:rsidRPr="0026420A" w:rsidRDefault="00A06816" w:rsidP="00A06816">
            <w:pPr>
              <w:pStyle w:val="Default"/>
              <w:jc w:val="both"/>
              <w:rPr>
                <w:rFonts w:ascii="Times New Roman" w:hAnsi="Times New Roman" w:cs="Times New Roman"/>
                <w:sz w:val="20"/>
                <w:szCs w:val="20"/>
                <w:lang w:val="ro-RO"/>
              </w:rPr>
            </w:pPr>
            <w:r w:rsidRPr="0026420A">
              <w:rPr>
                <w:rFonts w:ascii="Times New Roman" w:hAnsi="Times New Roman" w:cs="Times New Roman"/>
                <w:sz w:val="20"/>
                <w:szCs w:val="20"/>
                <w:lang w:val="ro-RO"/>
              </w:rPr>
              <w:t xml:space="preserve">procedurii, reducerea sarcinilor administrative și utilizarea mai eficientă a resurselor. Totodată, o asemenea soluție ar elimina necesitatea intermedierii procedurale între autorități pentru obținerea unui aviz care, prin natura sa, este emis exclusiv de Banca Națională a Moldovei. </w:t>
            </w:r>
          </w:p>
          <w:p w14:paraId="4B206A19" w14:textId="77777777" w:rsidR="00A06816" w:rsidRPr="0026420A" w:rsidRDefault="00A06816" w:rsidP="00A06816">
            <w:pPr>
              <w:pStyle w:val="Default"/>
              <w:jc w:val="both"/>
              <w:rPr>
                <w:rFonts w:ascii="Times New Roman" w:hAnsi="Times New Roman" w:cs="Times New Roman"/>
                <w:sz w:val="20"/>
                <w:szCs w:val="20"/>
                <w:lang w:val="ro-RO"/>
              </w:rPr>
            </w:pPr>
            <w:r w:rsidRPr="0026420A">
              <w:rPr>
                <w:rFonts w:ascii="Times New Roman" w:hAnsi="Times New Roman" w:cs="Times New Roman"/>
                <w:sz w:val="20"/>
                <w:szCs w:val="20"/>
                <w:lang w:val="ro-RO"/>
              </w:rPr>
              <w:t xml:space="preserve">O asemenea abordare nu afectează conținutul obligațiilor prevăzute de Regulamentul (UE) 2023/1114, ci vizează exclusiv eficientizarea procedurii la nivel național. </w:t>
            </w:r>
          </w:p>
          <w:p w14:paraId="3593129B" w14:textId="77777777" w:rsidR="00A06816" w:rsidRPr="0026420A" w:rsidRDefault="00A06816" w:rsidP="00A06816">
            <w:pPr>
              <w:pStyle w:val="Default"/>
              <w:jc w:val="both"/>
              <w:rPr>
                <w:rFonts w:ascii="Times New Roman" w:hAnsi="Times New Roman" w:cs="Times New Roman"/>
                <w:sz w:val="20"/>
                <w:szCs w:val="20"/>
                <w:lang w:val="ro-RO"/>
              </w:rPr>
            </w:pPr>
            <w:r w:rsidRPr="0026420A">
              <w:rPr>
                <w:rFonts w:ascii="Times New Roman" w:hAnsi="Times New Roman" w:cs="Times New Roman"/>
                <w:sz w:val="20"/>
                <w:szCs w:val="20"/>
                <w:lang w:val="ro-RO"/>
              </w:rPr>
              <w:t xml:space="preserve">Subsidiar, în considerarea opiniei exprimate anterior, iterăm faptul că, obligațiile prevăzute la art. 17 alin. (1) lit. iii)-ix), dezvoltate la art. 34 aferente prezentării descrierii cadrului de guvernanță, politicilor, mecanismelor de control și auditului extern TIC, riscă să genereze suprapuneri semnificative cu mecanismele deja implementate și supravegheate în cadrul regimului prudențial aplicabil sectorului bancar. </w:t>
            </w:r>
          </w:p>
          <w:p w14:paraId="663D8FC2" w14:textId="77777777" w:rsidR="00A06816" w:rsidRPr="0026420A" w:rsidRDefault="00A06816" w:rsidP="00A06816">
            <w:pPr>
              <w:pStyle w:val="Default"/>
              <w:jc w:val="both"/>
              <w:rPr>
                <w:rFonts w:ascii="Times New Roman" w:hAnsi="Times New Roman" w:cs="Times New Roman"/>
                <w:sz w:val="20"/>
                <w:szCs w:val="20"/>
                <w:lang w:val="ro-RO"/>
              </w:rPr>
            </w:pPr>
            <w:r w:rsidRPr="0026420A">
              <w:rPr>
                <w:rFonts w:ascii="Times New Roman" w:hAnsi="Times New Roman" w:cs="Times New Roman"/>
                <w:sz w:val="20"/>
                <w:szCs w:val="20"/>
                <w:lang w:val="ro-RO"/>
              </w:rPr>
              <w:t xml:space="preserve">Astfel, deși luăm act de argumentul autorului proiectului de lege potrivit căruia cerințele prevăzute la art. 17 alin. (1) lit. iii)-ix) vizează aspecte specifice domeniului </w:t>
            </w:r>
            <w:proofErr w:type="spellStart"/>
            <w:r w:rsidRPr="0026420A">
              <w:rPr>
                <w:rFonts w:ascii="Times New Roman" w:hAnsi="Times New Roman" w:cs="Times New Roman"/>
                <w:sz w:val="20"/>
                <w:szCs w:val="20"/>
                <w:lang w:val="ro-RO"/>
              </w:rPr>
              <w:t>criptoactivelor</w:t>
            </w:r>
            <w:proofErr w:type="spellEnd"/>
            <w:r w:rsidRPr="0026420A">
              <w:rPr>
                <w:rFonts w:ascii="Times New Roman" w:hAnsi="Times New Roman" w:cs="Times New Roman"/>
                <w:sz w:val="20"/>
                <w:szCs w:val="20"/>
                <w:lang w:val="ro-RO"/>
              </w:rPr>
              <w:t xml:space="preserve"> și trebuie transpuse în conformitate cu Regulamentul </w:t>
            </w:r>
            <w:proofErr w:type="spellStart"/>
            <w:r w:rsidRPr="0026420A">
              <w:rPr>
                <w:rFonts w:ascii="Times New Roman" w:hAnsi="Times New Roman" w:cs="Times New Roman"/>
                <w:sz w:val="20"/>
                <w:szCs w:val="20"/>
                <w:lang w:val="ro-RO"/>
              </w:rPr>
              <w:t>MiCA</w:t>
            </w:r>
            <w:proofErr w:type="spellEnd"/>
            <w:r w:rsidRPr="0026420A">
              <w:rPr>
                <w:rFonts w:ascii="Times New Roman" w:hAnsi="Times New Roman" w:cs="Times New Roman"/>
                <w:sz w:val="20"/>
                <w:szCs w:val="20"/>
                <w:lang w:val="ro-RO"/>
              </w:rPr>
              <w:t xml:space="preserve">, observația formulată nu pune în discuție necesitatea acestor cerințe, ci lipsa unor clarificări privind delimitarea competențelor autorităților implicate. </w:t>
            </w:r>
          </w:p>
          <w:p w14:paraId="62C1024E" w14:textId="77777777" w:rsidR="00A06816" w:rsidRPr="00A903D9" w:rsidRDefault="00A06816" w:rsidP="00A06816">
            <w:pPr>
              <w:pStyle w:val="Default"/>
              <w:jc w:val="both"/>
              <w:rPr>
                <w:rFonts w:ascii="Times New Roman" w:hAnsi="Times New Roman" w:cs="Times New Roman"/>
                <w:sz w:val="20"/>
                <w:szCs w:val="20"/>
                <w:lang w:val="ro-RO"/>
              </w:rPr>
            </w:pPr>
            <w:r w:rsidRPr="0026420A">
              <w:rPr>
                <w:rFonts w:ascii="Times New Roman" w:hAnsi="Times New Roman" w:cs="Times New Roman"/>
                <w:sz w:val="20"/>
                <w:szCs w:val="20"/>
                <w:lang w:val="ro-RO"/>
              </w:rPr>
              <w:lastRenderedPageBreak/>
              <w:t xml:space="preserve">Astfel, instituțiile de credit urmează să prezinte Comisiei Naționale informații și documente referitoare la cadrul de guvernanță, mecanismele de control intern, gestionarea riscurilor, continuitatea activității și sistemele TIC, deși aceste elemente fac deja obiectul supravegherii prudențiale exercitate de </w:t>
            </w:r>
            <w:r w:rsidRPr="00A903D9">
              <w:rPr>
                <w:rFonts w:ascii="Times New Roman" w:hAnsi="Times New Roman" w:cs="Times New Roman"/>
                <w:sz w:val="20"/>
                <w:szCs w:val="20"/>
                <w:lang w:val="ro-RO"/>
              </w:rPr>
              <w:t xml:space="preserve">BNM. În acest context, proiectul nu clarifică în ce măsură CNPF va realiza o evaluare autonomă a unor mecanisme și procese deja verificate de BNM și nici nu delimitează suficient competențele autorităților implicate. </w:t>
            </w:r>
          </w:p>
          <w:p w14:paraId="67A74248" w14:textId="21825BB4" w:rsidR="00A06816" w:rsidRPr="0026420A" w:rsidRDefault="00A06816" w:rsidP="00A06816">
            <w:pPr>
              <w:pBdr>
                <w:top w:val="none" w:sz="4" w:space="0" w:color="000000"/>
                <w:left w:val="none" w:sz="4" w:space="0" w:color="000000"/>
                <w:bottom w:val="none" w:sz="4" w:space="0" w:color="000000"/>
                <w:right w:val="none" w:sz="4" w:space="0" w:color="000000"/>
              </w:pBdr>
              <w:ind w:firstLine="0"/>
            </w:pPr>
            <w:r w:rsidRPr="00A903D9">
              <w:t>În lipsa unor asemenea clarificări, există riscul dublării cerințelor</w:t>
            </w:r>
            <w:r w:rsidRPr="0026420A">
              <w:t xml:space="preserve"> de conformitate, audit și raportare, precum și al aplicării unor standarde paralele sau neuniforme față de instituțiile de credit. Prin urmare, se consideră oportună instituirea unor mecanisme exprese de coordonare și delimitare a competențelor, fără a aduce atingere cerințelor materiale prevăzute de Regulamentul (UE) 2023/1114.  </w:t>
            </w:r>
          </w:p>
        </w:tc>
        <w:tc>
          <w:tcPr>
            <w:tcW w:w="5281" w:type="dxa"/>
            <w:tcMar>
              <w:top w:w="0" w:type="dxa"/>
              <w:left w:w="108" w:type="dxa"/>
              <w:bottom w:w="0" w:type="dxa"/>
              <w:right w:w="108" w:type="dxa"/>
            </w:tcMar>
          </w:tcPr>
          <w:p w14:paraId="2104DB6A" w14:textId="77777777" w:rsidR="00A06816" w:rsidRDefault="00A06816" w:rsidP="00A06816">
            <w:pPr>
              <w:ind w:firstLine="0"/>
              <w:rPr>
                <w:b/>
                <w:bCs/>
                <w:iCs/>
              </w:rPr>
            </w:pPr>
            <w:r w:rsidRPr="009B1B04">
              <w:rPr>
                <w:b/>
                <w:bCs/>
                <w:iCs/>
              </w:rPr>
              <w:lastRenderedPageBreak/>
              <w:t>Nu se acceptă</w:t>
            </w:r>
            <w:r>
              <w:rPr>
                <w:b/>
                <w:bCs/>
                <w:iCs/>
              </w:rPr>
              <w:t>.</w:t>
            </w:r>
          </w:p>
          <w:p w14:paraId="52622EE0" w14:textId="77777777" w:rsidR="00A06816" w:rsidRDefault="00A06816" w:rsidP="00A06816">
            <w:pPr>
              <w:ind w:firstLine="0"/>
              <w:rPr>
                <w:iCs/>
              </w:rPr>
            </w:pPr>
            <w:r w:rsidRPr="00077C4A">
              <w:rPr>
                <w:iCs/>
              </w:rPr>
              <w:t xml:space="preserve">Mecanismul stabilit de </w:t>
            </w:r>
            <w:r>
              <w:rPr>
                <w:iCs/>
              </w:rPr>
              <w:t>proiectul de Lege,</w:t>
            </w:r>
            <w:r w:rsidRPr="00077C4A">
              <w:rPr>
                <w:iCs/>
              </w:rPr>
              <w:t xml:space="preserve"> este unul distinct și nu trebuie confundat cu mecanismul de obținere a aprobărilor sau avizelor prealabile din partea Băncii Naționale a Moldovei, care este reglementat de legislația sectorială, în special de Legea nr. 202/2017 privind activitatea băncilor, ce stabilește raporturile de supraveghere prudențială și procedurile aplicabile instituțiilor de credit. Prin urmare, eventualele obligații de </w:t>
            </w:r>
            <w:r>
              <w:rPr>
                <w:iCs/>
              </w:rPr>
              <w:t>aprobare</w:t>
            </w:r>
            <w:r w:rsidRPr="00077C4A">
              <w:rPr>
                <w:iCs/>
              </w:rPr>
              <w:t xml:space="preserve"> prealabilă în raport cu Banca Națională</w:t>
            </w:r>
            <w:r>
              <w:rPr>
                <w:iCs/>
              </w:rPr>
              <w:t xml:space="preserve"> în calitate de autoritate de supraveghere</w:t>
            </w:r>
            <w:r w:rsidRPr="00077C4A">
              <w:rPr>
                <w:iCs/>
              </w:rPr>
              <w:t xml:space="preserve"> se aplică în temeiul acestei legislații speciale și nu necesită a fi replicate sau integrate în procedura de notificare prevăzută de prezentul proiect. </w:t>
            </w:r>
          </w:p>
          <w:p w14:paraId="16A6A6EA" w14:textId="1BAD1826"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pPr>
            <w:r w:rsidRPr="00F9040D">
              <w:rPr>
                <w:iCs/>
              </w:rPr>
              <w:lastRenderedPageBreak/>
              <w:t xml:space="preserve">Art. 17 transpune fidel </w:t>
            </w:r>
            <w:proofErr w:type="spellStart"/>
            <w:r w:rsidRPr="00F9040D">
              <w:rPr>
                <w:iCs/>
              </w:rPr>
              <w:t>MiCA</w:t>
            </w:r>
            <w:proofErr w:type="spellEnd"/>
            <w:r w:rsidRPr="00F9040D">
              <w:rPr>
                <w:iCs/>
              </w:rPr>
              <w:t>, instituind</w:t>
            </w:r>
            <w:r w:rsidRPr="00AE39CC">
              <w:rPr>
                <w:iCs/>
              </w:rPr>
              <w:t xml:space="preserve"> Comisia Națională </w:t>
            </w:r>
            <w:r>
              <w:rPr>
                <w:iCs/>
              </w:rPr>
              <w:t>ca</w:t>
            </w:r>
            <w:r w:rsidRPr="00AE39CC">
              <w:rPr>
                <w:iCs/>
              </w:rPr>
              <w:t xml:space="preserve"> punct unic de intrare pentru procedura de notificare, iar consultarea Băncii Naționale se realizează în interiorul acestei proceduri, în calitatea sa de bancă centrală, având ca scop evaluarea riscurilor pe care emiterea respectivului </w:t>
            </w:r>
            <w:proofErr w:type="spellStart"/>
            <w:r w:rsidRPr="00AE39CC">
              <w:rPr>
                <w:iCs/>
              </w:rPr>
              <w:t>token</w:t>
            </w:r>
            <w:proofErr w:type="spellEnd"/>
            <w:r w:rsidRPr="00AE39CC">
              <w:rPr>
                <w:iCs/>
              </w:rPr>
              <w:t xml:space="preserve"> raportat la active le-ar putea prezenta pentru stabilitatea financiară, buna funcționare a sistemelor de plăți, transmisia politicii monetare și suveranitatea monetară, Banca Națională urmând să transmită avizul său autorității competente în cauză</w:t>
            </w:r>
            <w:r>
              <w:rPr>
                <w:iCs/>
              </w:rPr>
              <w:t>.</w:t>
            </w:r>
          </w:p>
        </w:tc>
      </w:tr>
      <w:tr w:rsidR="00A06816" w:rsidRPr="0026420A" w14:paraId="6565CA28" w14:textId="77777777" w:rsidTr="00080634">
        <w:trPr>
          <w:trHeight w:val="615"/>
        </w:trPr>
        <w:tc>
          <w:tcPr>
            <w:tcW w:w="2206" w:type="dxa"/>
            <w:tcMar>
              <w:top w:w="0" w:type="dxa"/>
              <w:left w:w="108" w:type="dxa"/>
              <w:bottom w:w="0" w:type="dxa"/>
              <w:right w:w="108" w:type="dxa"/>
            </w:tcMar>
          </w:tcPr>
          <w:p w14:paraId="171CE0A8"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49E356AF"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5A843C4D" w14:textId="77777777" w:rsidR="00A06816" w:rsidRPr="0026420A" w:rsidRDefault="00A06816" w:rsidP="00A06816">
            <w:pPr>
              <w:pStyle w:val="Default"/>
              <w:jc w:val="both"/>
              <w:rPr>
                <w:rFonts w:ascii="Times New Roman" w:hAnsi="Times New Roman" w:cs="Times New Roman"/>
                <w:b/>
                <w:bCs/>
                <w:lang w:val="ro-RO"/>
              </w:rPr>
            </w:pPr>
            <w:r w:rsidRPr="0026420A">
              <w:rPr>
                <w:rFonts w:ascii="Times New Roman" w:hAnsi="Times New Roman" w:cs="Times New Roman"/>
                <w:b/>
                <w:bCs/>
                <w:sz w:val="20"/>
                <w:szCs w:val="20"/>
                <w:lang w:val="ro-RO"/>
              </w:rPr>
              <w:t xml:space="preserve">Art. 37 </w:t>
            </w:r>
          </w:p>
          <w:p w14:paraId="1E0A2F4A" w14:textId="77777777" w:rsidR="00A06816" w:rsidRPr="0026420A" w:rsidRDefault="00A06816" w:rsidP="00A06816">
            <w:pPr>
              <w:ind w:firstLine="0"/>
            </w:pPr>
            <w:r w:rsidRPr="0026420A">
              <w:t>Prim, cu privire alin. (1) lit. a), noțiunea de „acces rapid la activele de rezervă” nu este suficient de determinată, nefiind clar standardul de timp și nici modul în care aceasta se corelează cu obligațiile legale ale instituțiilor de credit privind efectuarea verificărilor de conformitate, aplicarea măsurilor restrictive, indisponibilizările sau alte limitări legale. O asemenea formulare poate genera incertitudini privind întinderea obligațiilor custodelui și expunerea acestuia la litigii.</w:t>
            </w:r>
          </w:p>
          <w:p w14:paraId="07C4F125" w14:textId="77777777" w:rsidR="00A06816" w:rsidRPr="0026420A" w:rsidRDefault="00A06816" w:rsidP="00A06816">
            <w:pPr>
              <w:ind w:firstLine="0"/>
            </w:pPr>
            <w:r w:rsidRPr="0026420A">
              <w:t>Secund, considerăm faptul că teza „Custodele trebuie să fie o persoană juridică diferită de emitent” din conținutul alin. (2), necesită a fi revizuită în privința instituțiilor de credit.</w:t>
            </w:r>
          </w:p>
          <w:p w14:paraId="2963C1F4" w14:textId="77777777" w:rsidR="00A06816" w:rsidRPr="0026420A" w:rsidRDefault="00A06816" w:rsidP="00A06816">
            <w:pPr>
              <w:ind w:firstLine="0"/>
            </w:pPr>
            <w:r w:rsidRPr="0026420A">
              <w:t>În condițiile în care instituțiile de credit sunt supuse unui regim prudențial și de supraveghere consolidat, impunerea obligativității desemnării unui custode distinct poate genera dependențe operaționale față de terți, fără a ține seama de particularitățile cadrului bancar.</w:t>
            </w:r>
          </w:p>
          <w:p w14:paraId="7314793E" w14:textId="77777777" w:rsidR="00A06816" w:rsidRPr="0026420A" w:rsidRDefault="00A06816" w:rsidP="00A06816">
            <w:pPr>
              <w:ind w:firstLine="0"/>
            </w:pPr>
            <w:r w:rsidRPr="0026420A">
              <w:t>De altfel, inclusiv în cazul mecanismelor de protecție instituite prin Legea nr. 160/2023 cu privire la garantarea depozitelor în bănci, legiuitorul a optat pentru instituirea, prin art. 7 alin. (1), a Fondului de garantare a depozitelor în sistemul bancar ca persoană juridică de drept public autonomă și independentă, fără a impune transferul activelor sau fondurilor băncilor către o entitate custode distinctă. În acest sens, se propune revizuirea cerinței potrivit căreia custodele trebuie să fie o persoană juridică diferită de emitent, cel puțin în cazul instituțiilor de credit.</w:t>
            </w:r>
          </w:p>
          <w:p w14:paraId="737C23ED" w14:textId="77777777" w:rsidR="00A06816" w:rsidRPr="0026420A" w:rsidRDefault="00A06816" w:rsidP="00A06816">
            <w:pPr>
              <w:ind w:firstLine="0"/>
            </w:pPr>
            <w:proofErr w:type="spellStart"/>
            <w:r w:rsidRPr="0026420A">
              <w:t>Tertio</w:t>
            </w:r>
            <w:proofErr w:type="spellEnd"/>
            <w:r w:rsidRPr="0026420A">
              <w:t xml:space="preserve">, în cazul alin. (6) lit. d) nu este clară întinderea obligației instituției de credit de a „verifica dreptul de proprietate” al emitentului asupra activelor de rezervă și nici standardul de diligență aplicabil </w:t>
            </w:r>
            <w:r w:rsidRPr="0026420A">
              <w:lastRenderedPageBreak/>
              <w:t xml:space="preserve">acestei verificări. Riscurile concrete asociate acestei obligații reprezintă transferul concret asupra băncii a unor obligații de </w:t>
            </w:r>
            <w:proofErr w:type="spellStart"/>
            <w:r w:rsidRPr="0026420A">
              <w:t>due</w:t>
            </w:r>
            <w:proofErr w:type="spellEnd"/>
            <w:r w:rsidRPr="0026420A">
              <w:t xml:space="preserve"> </w:t>
            </w:r>
            <w:proofErr w:type="spellStart"/>
            <w:r w:rsidRPr="0026420A">
              <w:t>diligence</w:t>
            </w:r>
            <w:proofErr w:type="spellEnd"/>
            <w:r w:rsidRPr="0026420A">
              <w:t xml:space="preserve"> juridic care </w:t>
            </w:r>
            <w:proofErr w:type="spellStart"/>
            <w:r w:rsidRPr="0026420A">
              <w:t>exced</w:t>
            </w:r>
            <w:proofErr w:type="spellEnd"/>
            <w:r w:rsidRPr="0026420A">
              <w:t xml:space="preserve"> sfera activității bancare și asumarea răspunderii pentru documente sau informații inexacte furnizate de emitent, inclusiv riscuri de litigii aferente drepturilor de proprietate. Din acest motiv, recomandăm excluderea acestei obligații din sarcina instituțiilor de credit.</w:t>
            </w:r>
          </w:p>
          <w:p w14:paraId="7C7B2438" w14:textId="77777777" w:rsidR="00A06816" w:rsidRPr="0026420A" w:rsidRDefault="00A06816" w:rsidP="00A06816">
            <w:pPr>
              <w:ind w:firstLine="0"/>
            </w:pPr>
            <w:proofErr w:type="spellStart"/>
            <w:r w:rsidRPr="0026420A">
              <w:t>Quarto</w:t>
            </w:r>
            <w:proofErr w:type="spellEnd"/>
            <w:r w:rsidRPr="0026420A">
              <w:t xml:space="preserve">, cu privire la alin. (8), aferent </w:t>
            </w:r>
            <w:proofErr w:type="spellStart"/>
            <w:r w:rsidRPr="0026420A">
              <w:t>obligaței</w:t>
            </w:r>
            <w:proofErr w:type="spellEnd"/>
            <w:r w:rsidRPr="0026420A">
              <w:t xml:space="preserve"> instituțiilor de credit de a acționa în interesul emitentului și al deținătorilor </w:t>
            </w:r>
            <w:proofErr w:type="spellStart"/>
            <w:r w:rsidRPr="0026420A">
              <w:t>tokenurilor</w:t>
            </w:r>
            <w:proofErr w:type="spellEnd"/>
            <w:r w:rsidRPr="0026420A">
              <w:t xml:space="preserve"> raportate la active, menționăm că această obligație poate fi interpretată ca instituind obligații de natură fiduciară față de investitori. Această mențiune poate conduce la extinderea nejustificată a sferei răspunderii instituțiilor de credit, inclusiv prin formularea unor pretenții directe de către investitori sau de către </w:t>
            </w:r>
            <w:proofErr w:type="spellStart"/>
            <w:r w:rsidRPr="0026420A">
              <w:t>emiteții</w:t>
            </w:r>
            <w:proofErr w:type="spellEnd"/>
            <w:r w:rsidRPr="0026420A">
              <w:t xml:space="preserve"> de </w:t>
            </w:r>
            <w:proofErr w:type="spellStart"/>
            <w:r w:rsidRPr="0026420A">
              <w:t>tokenuri</w:t>
            </w:r>
            <w:proofErr w:type="spellEnd"/>
            <w:r w:rsidRPr="0026420A">
              <w:t xml:space="preserve">. În acest context, se propune excluderea sintagmei „și în interesul emitenților de </w:t>
            </w:r>
            <w:proofErr w:type="spellStart"/>
            <w:r w:rsidRPr="0026420A">
              <w:t>tokenuri</w:t>
            </w:r>
            <w:proofErr w:type="spellEnd"/>
            <w:r w:rsidRPr="0026420A">
              <w:t xml:space="preserve"> raportate la active și al deținătorilor respectivelor </w:t>
            </w:r>
            <w:proofErr w:type="spellStart"/>
            <w:r w:rsidRPr="0026420A">
              <w:t>tokenuri</w:t>
            </w:r>
            <w:proofErr w:type="spellEnd"/>
            <w:r w:rsidRPr="0026420A">
              <w:t>.”.</w:t>
            </w:r>
          </w:p>
          <w:p w14:paraId="1B29728E" w14:textId="77777777" w:rsidR="00A06816" w:rsidRPr="0026420A" w:rsidRDefault="00A06816" w:rsidP="00A06816">
            <w:pPr>
              <w:ind w:firstLine="0"/>
            </w:pPr>
            <w:r w:rsidRPr="0026420A">
              <w:t xml:space="preserve">Precizăm că recomandarea formulată nu urmărește diminuarea obligației instituțiilor de credit și a altor entități reglementate de a acționa cu onestitate, echitate, profesionalism și în interesul superior al </w:t>
            </w:r>
            <w:proofErr w:type="spellStart"/>
            <w:r w:rsidRPr="0026420A">
              <w:t>clienţilor</w:t>
            </w:r>
            <w:proofErr w:type="spellEnd"/>
            <w:r w:rsidRPr="0026420A">
              <w:t>. Dar, de cealaltă parte, instituțiile de credit își desfășoară activitatea într-un cadru complex de obligații legale și de conformitate, inclusiv de natură prudențială, operațională și privind prevenirea și combaterea spălării banilor și finanțării terorismului.</w:t>
            </w:r>
          </w:p>
          <w:p w14:paraId="3181669F" w14:textId="201C6EF4" w:rsidR="00A06816" w:rsidRPr="0026420A" w:rsidRDefault="00A06816" w:rsidP="00A06816">
            <w:pPr>
              <w:pBdr>
                <w:top w:val="none" w:sz="4" w:space="0" w:color="000000"/>
                <w:left w:val="none" w:sz="4" w:space="0" w:color="000000"/>
                <w:bottom w:val="none" w:sz="4" w:space="0" w:color="000000"/>
                <w:right w:val="none" w:sz="4" w:space="0" w:color="000000"/>
              </w:pBdr>
              <w:ind w:firstLine="0"/>
            </w:pPr>
            <w:proofErr w:type="spellStart"/>
            <w:r w:rsidRPr="0026420A">
              <w:t>Sexto</w:t>
            </w:r>
            <w:proofErr w:type="spellEnd"/>
            <w:r w:rsidRPr="0026420A">
              <w:t>, alin. (10) stabilește obligația de compensare sau restituire în cazul „pierderii” activelor păstrate în custodie necesită clarificări suplimentare, întrucât noțiunea de „pierdere” nu este definită și nu permite delimitarea suficientă a situațiilor în care răspunderea custodelui poate fi angajată, în special în cazul unor evenimente generate de terți, de infrastructuri externe sau de alte circumstanțe aflate în afara controlului rezonabil al instituției de credit.</w:t>
            </w:r>
          </w:p>
        </w:tc>
        <w:tc>
          <w:tcPr>
            <w:tcW w:w="5281" w:type="dxa"/>
            <w:tcMar>
              <w:top w:w="0" w:type="dxa"/>
              <w:left w:w="108" w:type="dxa"/>
              <w:bottom w:w="0" w:type="dxa"/>
              <w:right w:w="108" w:type="dxa"/>
            </w:tcMar>
          </w:tcPr>
          <w:p w14:paraId="7DD95769" w14:textId="77777777" w:rsidR="00A06816" w:rsidRPr="001F537D" w:rsidRDefault="00A06816" w:rsidP="00A06816">
            <w:pPr>
              <w:ind w:firstLine="0"/>
              <w:rPr>
                <w:b/>
                <w:bCs/>
                <w:iCs/>
                <w:lang w:val="en-US"/>
              </w:rPr>
            </w:pPr>
            <w:r w:rsidRPr="00F9040D">
              <w:rPr>
                <w:b/>
                <w:bCs/>
                <w:iCs/>
                <w:lang w:val="en-US"/>
              </w:rPr>
              <w:lastRenderedPageBreak/>
              <w:t xml:space="preserve">Nu se </w:t>
            </w:r>
            <w:proofErr w:type="spellStart"/>
            <w:r w:rsidRPr="00F9040D">
              <w:rPr>
                <w:b/>
                <w:bCs/>
                <w:iCs/>
                <w:lang w:val="en-US"/>
              </w:rPr>
              <w:t>acceptă</w:t>
            </w:r>
            <w:proofErr w:type="spellEnd"/>
            <w:r w:rsidRPr="00F9040D">
              <w:rPr>
                <w:b/>
                <w:bCs/>
                <w:iCs/>
                <w:lang w:val="en-US"/>
              </w:rPr>
              <w:t>.</w:t>
            </w:r>
          </w:p>
          <w:p w14:paraId="15FB5002" w14:textId="77777777" w:rsidR="00A06816" w:rsidRPr="001F537D" w:rsidRDefault="00A06816" w:rsidP="00A06816">
            <w:pPr>
              <w:ind w:firstLine="0"/>
              <w:rPr>
                <w:iCs/>
              </w:rPr>
            </w:pPr>
            <w:r w:rsidRPr="001F537D">
              <w:rPr>
                <w:iCs/>
              </w:rPr>
              <w:t xml:space="preserve">Art. 37 transpune cerințele </w:t>
            </w:r>
            <w:proofErr w:type="spellStart"/>
            <w:r w:rsidRPr="001F537D">
              <w:rPr>
                <w:iCs/>
              </w:rPr>
              <w:t>MiCA</w:t>
            </w:r>
            <w:proofErr w:type="spellEnd"/>
            <w:r w:rsidRPr="001F537D">
              <w:rPr>
                <w:iCs/>
              </w:rPr>
              <w:t xml:space="preserve"> privind custodia activelor de rezervă, inclusiv segregarea, custodele distinct de emitent, obligația de a acționa cu diligență și răspunderea pentru pierderea activelor. Aceste elemente sunt garanții esențiale pentru protecția deținătorilor de </w:t>
            </w:r>
            <w:proofErr w:type="spellStart"/>
            <w:r w:rsidRPr="001F537D">
              <w:rPr>
                <w:iCs/>
              </w:rPr>
              <w:t>tokenuri</w:t>
            </w:r>
            <w:proofErr w:type="spellEnd"/>
            <w:r w:rsidRPr="001F537D">
              <w:rPr>
                <w:iCs/>
              </w:rPr>
              <w:t xml:space="preserve"> raportate la active.</w:t>
            </w:r>
          </w:p>
          <w:p w14:paraId="65390FC0" w14:textId="77777777" w:rsidR="00A06816" w:rsidRPr="001F537D" w:rsidRDefault="00A06816" w:rsidP="00A06816">
            <w:pPr>
              <w:ind w:firstLine="0"/>
              <w:rPr>
                <w:iCs/>
              </w:rPr>
            </w:pPr>
            <w:r w:rsidRPr="001F537D">
              <w:rPr>
                <w:iCs/>
              </w:rPr>
              <w:t>Pe fond, obiecțiile sunt epuizate de însuși textul articolului. „</w:t>
            </w:r>
            <w:r w:rsidRPr="001F537D">
              <w:rPr>
                <w:i/>
              </w:rPr>
              <w:t>Accesul rapid</w:t>
            </w:r>
            <w:r w:rsidRPr="001F537D">
              <w:rPr>
                <w:iCs/>
              </w:rPr>
              <w:t>” de la alin. (1) lit. c) este calibrat funcțional de normă</w:t>
            </w:r>
            <w:r>
              <w:rPr>
                <w:iCs/>
              </w:rPr>
              <w:t>,</w:t>
            </w:r>
            <w:r w:rsidRPr="001F537D">
              <w:rPr>
                <w:iCs/>
              </w:rPr>
              <w:t xml:space="preserve"> la nivelul necesar onorării cererilor de răscumpărare</w:t>
            </w:r>
            <w:r>
              <w:rPr>
                <w:iCs/>
              </w:rPr>
              <w:t xml:space="preserve">,  </w:t>
            </w:r>
            <w:r w:rsidRPr="001F537D">
              <w:rPr>
                <w:iCs/>
              </w:rPr>
              <w:t>neavând caracter nedeterminat. Cerința de la alin. (4) ca „</w:t>
            </w:r>
            <w:r w:rsidRPr="001F537D">
              <w:rPr>
                <w:i/>
              </w:rPr>
              <w:t>custodele să fie o persoană juridică diferită de emitent</w:t>
            </w:r>
            <w:r w:rsidRPr="001F537D">
              <w:rPr>
                <w:iCs/>
              </w:rPr>
              <w:t xml:space="preserve">” nu exclude instituțiile de credit, care sunt custozi eligibili pentru toate tipurile de active de rezervă potrivit alin. (3) lit. b), ci interzice doar ca emitentul să fie propriul custode; este o garanție anti-conflict de interese și de protecție a activelor de rezervă împotriva creditorilor custodelui (alin. (4) teza finală), indisociabilă de regimul </w:t>
            </w:r>
            <w:proofErr w:type="spellStart"/>
            <w:r w:rsidRPr="001F537D">
              <w:rPr>
                <w:iCs/>
              </w:rPr>
              <w:t>tokenurilor</w:t>
            </w:r>
            <w:proofErr w:type="spellEnd"/>
            <w:r w:rsidRPr="001F537D">
              <w:rPr>
                <w:iCs/>
              </w:rPr>
              <w:t xml:space="preserve"> raportate la active și nederogabilă fără a contraveni</w:t>
            </w:r>
            <w:r>
              <w:rPr>
                <w:iCs/>
              </w:rPr>
              <w:t xml:space="preserve">, inclusiv </w:t>
            </w:r>
            <w:proofErr w:type="spellStart"/>
            <w:r>
              <w:rPr>
                <w:iCs/>
              </w:rPr>
              <w:t>ceințelor</w:t>
            </w:r>
            <w:proofErr w:type="spellEnd"/>
            <w:r>
              <w:rPr>
                <w:iCs/>
              </w:rPr>
              <w:t xml:space="preserve"> MICA</w:t>
            </w:r>
            <w:r w:rsidRPr="001F537D">
              <w:rPr>
                <w:iCs/>
              </w:rPr>
              <w:t>.</w:t>
            </w:r>
          </w:p>
          <w:p w14:paraId="591E2D56" w14:textId="77777777" w:rsidR="00A06816" w:rsidRPr="001F537D" w:rsidRDefault="00A06816" w:rsidP="00A06816">
            <w:pPr>
              <w:ind w:firstLine="0"/>
              <w:rPr>
                <w:iCs/>
              </w:rPr>
            </w:pPr>
            <w:r w:rsidRPr="001F537D">
              <w:rPr>
                <w:iCs/>
              </w:rPr>
              <w:t>Întinderea verificării dreptului de proprietate de la alin. (6) lit. d) este, de asemenea, delimitată de text: evaluarea se întemeiază pe informațiile și documentele furnizate de emitent și, dacă sunt disponibile, pe dovezi externe, fără a institui în sarcina instituției de credit o garanție absolută a titlului. Sintagma „</w:t>
            </w:r>
            <w:r w:rsidRPr="001F537D">
              <w:rPr>
                <w:i/>
              </w:rPr>
              <w:t>în interesul deținătorilor”</w:t>
            </w:r>
            <w:r w:rsidRPr="001F537D">
              <w:rPr>
                <w:iCs/>
              </w:rPr>
              <w:t xml:space="preserve"> de la alin. (8) reprezintă un standard de conduită, iar nu o răspundere fiduciară directă față de investitori: conflictele de interese se gestionează prin separarea funcțională și ierarhică prevăzută la alin. (9), iar răspunderea </w:t>
            </w:r>
            <w:r w:rsidRPr="001F537D">
              <w:rPr>
                <w:iCs/>
              </w:rPr>
              <w:lastRenderedPageBreak/>
              <w:t>pentru pierdere de la alin. (10) este datorată emitentului, nu direct deținătorilor. În fine, „</w:t>
            </w:r>
            <w:r w:rsidRPr="001F537D">
              <w:rPr>
                <w:i/>
              </w:rPr>
              <w:t>pierderea</w:t>
            </w:r>
            <w:r w:rsidRPr="001F537D">
              <w:rPr>
                <w:iCs/>
              </w:rPr>
              <w:t>” de la alin. (10) este însoțită de un regim explicit de compensare/restituire și de o clauză de exonerare pentru evenimentele exterioare, aflate în afara controlului rezonabil al custodelui, ipoteză care acoperă tocmai situațiile generate de terți sau de infrastructuri externe invocate.</w:t>
            </w:r>
          </w:p>
          <w:p w14:paraId="75BE2E5B" w14:textId="77777777" w:rsidR="00A06816" w:rsidRPr="001F537D" w:rsidRDefault="00A06816" w:rsidP="00A06816">
            <w:pPr>
              <w:ind w:firstLine="0"/>
              <w:rPr>
                <w:iCs/>
              </w:rPr>
            </w:pPr>
            <w:r w:rsidRPr="001F537D">
              <w:rPr>
                <w:iCs/>
              </w:rPr>
              <w:t>Prin urmare, garanțiile solicitate sunt deja consacrate la nivel de lege; doar elementele de detaliu pur tehnic urmează a fi precizate prin acte normative subsecvente ale autorităților competente, care transpun standardele tehnice elaborate de ESMA și EBA și aprobate de Comisia Europeană prin regulamente delegate și de punere în aplicare.</w:t>
            </w:r>
          </w:p>
          <w:p w14:paraId="1C054B67" w14:textId="77777777" w:rsidR="00A06816" w:rsidRDefault="00A06816" w:rsidP="00A06816">
            <w:pPr>
              <w:ind w:firstLine="0"/>
              <w:rPr>
                <w:b/>
                <w:bCs/>
                <w:iCs/>
                <w:lang w:val="en-US"/>
              </w:rPr>
            </w:pPr>
          </w:p>
          <w:p w14:paraId="122A6917" w14:textId="77777777" w:rsidR="00A06816" w:rsidRDefault="00A06816" w:rsidP="00A06816">
            <w:pPr>
              <w:ind w:firstLine="0"/>
              <w:rPr>
                <w:b/>
                <w:bCs/>
                <w:iCs/>
                <w:lang w:val="en-US"/>
              </w:rPr>
            </w:pPr>
          </w:p>
          <w:p w14:paraId="4C4A9C94" w14:textId="77777777"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pPr>
          </w:p>
        </w:tc>
      </w:tr>
      <w:tr w:rsidR="00A06816" w:rsidRPr="0026420A" w14:paraId="37AA4D27" w14:textId="77777777" w:rsidTr="00080634">
        <w:trPr>
          <w:trHeight w:val="615"/>
        </w:trPr>
        <w:tc>
          <w:tcPr>
            <w:tcW w:w="2206" w:type="dxa"/>
            <w:tcMar>
              <w:top w:w="0" w:type="dxa"/>
              <w:left w:w="108" w:type="dxa"/>
              <w:bottom w:w="0" w:type="dxa"/>
              <w:right w:w="108" w:type="dxa"/>
            </w:tcMar>
          </w:tcPr>
          <w:p w14:paraId="55017BD1"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34F7D346"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000E5374" w14:textId="77777777" w:rsidR="00A06816" w:rsidRPr="0026420A" w:rsidRDefault="00A06816" w:rsidP="00A06816">
            <w:pPr>
              <w:ind w:firstLine="0"/>
              <w:rPr>
                <w:b/>
                <w:bCs/>
              </w:rPr>
            </w:pPr>
            <w:r w:rsidRPr="0026420A">
              <w:rPr>
                <w:b/>
                <w:bCs/>
              </w:rPr>
              <w:t>Art. 39 alin. (1), alin. (3)</w:t>
            </w:r>
          </w:p>
          <w:p w14:paraId="40A4302E" w14:textId="77777777" w:rsidR="00A06816" w:rsidRPr="0026420A" w:rsidRDefault="00A06816" w:rsidP="00A06816">
            <w:pPr>
              <w:ind w:firstLine="0"/>
            </w:pPr>
            <w:r w:rsidRPr="0026420A">
              <w:t xml:space="preserve">Formularea potrivit căreia deținătorii </w:t>
            </w:r>
            <w:proofErr w:type="spellStart"/>
            <w:r w:rsidRPr="0026420A">
              <w:t>tokenurilor</w:t>
            </w:r>
            <w:proofErr w:type="spellEnd"/>
            <w:r w:rsidRPr="0026420A">
              <w:t xml:space="preserve"> raportate la active au drept de răscumpărare cu privire la activele de rezervă atunci când emitentul nu este în măsură să își îndeplinească obligațiile prevăzute de secțiunea 5 necesită clarificări suplimentare.</w:t>
            </w:r>
          </w:p>
          <w:p w14:paraId="75D92089" w14:textId="77777777" w:rsidR="00A06816" w:rsidRPr="0026420A" w:rsidRDefault="00A06816" w:rsidP="00A06816">
            <w:pPr>
              <w:ind w:firstLine="0"/>
            </w:pPr>
            <w:r w:rsidRPr="0026420A">
              <w:t xml:space="preserve">În particular, norma nu stabilește criteriile și mecanismul de constatare a unei asemenea situații că emitentul nu este în măsură să își îndeplinească </w:t>
            </w:r>
            <w:proofErr w:type="spellStart"/>
            <w:r w:rsidRPr="0026420A">
              <w:t>obligaţiile</w:t>
            </w:r>
            <w:proofErr w:type="spellEnd"/>
            <w:r w:rsidRPr="0026420A">
              <w:t xml:space="preserve"> și nici autoritatea competentă să determine existența acesteia, aspecte care pot genera incertitudini juridice în procesul de exercitare a dreptului de răscumpărare și de executare a obligațiilor aferente activelor de rezervă.</w:t>
            </w:r>
          </w:p>
          <w:p w14:paraId="2270EFCF" w14:textId="25C22EB8" w:rsidR="00A06816" w:rsidRPr="0026420A" w:rsidRDefault="00A06816" w:rsidP="00A06816">
            <w:pPr>
              <w:pBdr>
                <w:top w:val="none" w:sz="4" w:space="0" w:color="000000"/>
                <w:left w:val="none" w:sz="4" w:space="0" w:color="000000"/>
                <w:bottom w:val="none" w:sz="4" w:space="0" w:color="000000"/>
                <w:right w:val="none" w:sz="4" w:space="0" w:color="000000"/>
              </w:pBdr>
              <w:ind w:firstLine="0"/>
            </w:pPr>
            <w:r w:rsidRPr="0026420A">
              <w:lastRenderedPageBreak/>
              <w:t>Totodată, și alin. (3) necesită clarificări suplimentare cu privire la întinderea interdicției privind perceperea taxelor sau comisioanelor. În particular, se consideră oportună clarificarea faptului că interdicția privește comisioanele percepute de emitent pentru exercitarea dreptului de răscumpărare și nu afectează regimul juridic al costurilor aferente serviciilor bancare, de plată sau de schimb valutar prestate de terți. Formularea respective poate genera incertitudini cu privire la riscul transferării asupra emitenților sau terților implicați, inclusiv instituțiilor de credit și prestatorilor de servicii de plată, a costurilor aferente executării operațiunilor de răscumpărare, fără ca proiectul să delimiteze expres sfera de aplicare a acestei interdicții. În esență riscul este unul de alocare neclară a costurilor.</w:t>
            </w:r>
          </w:p>
        </w:tc>
        <w:tc>
          <w:tcPr>
            <w:tcW w:w="5281" w:type="dxa"/>
            <w:tcMar>
              <w:top w:w="0" w:type="dxa"/>
              <w:left w:w="108" w:type="dxa"/>
              <w:bottom w:w="0" w:type="dxa"/>
              <w:right w:w="108" w:type="dxa"/>
            </w:tcMar>
          </w:tcPr>
          <w:p w14:paraId="25870191" w14:textId="77777777" w:rsidR="00A06816" w:rsidRPr="00B76DD0" w:rsidRDefault="00A06816" w:rsidP="00A06816">
            <w:pPr>
              <w:ind w:firstLine="0"/>
              <w:jc w:val="left"/>
              <w:rPr>
                <w:b/>
                <w:bCs/>
                <w:iCs/>
              </w:rPr>
            </w:pPr>
            <w:r w:rsidRPr="00B76DD0">
              <w:rPr>
                <w:b/>
                <w:bCs/>
                <w:iCs/>
              </w:rPr>
              <w:lastRenderedPageBreak/>
              <w:t>Nu se acceptă.</w:t>
            </w:r>
          </w:p>
          <w:p w14:paraId="4753DE68" w14:textId="77777777" w:rsidR="00A06816" w:rsidRPr="00B76DD0" w:rsidRDefault="00A06816" w:rsidP="00A06816">
            <w:pPr>
              <w:ind w:firstLine="0"/>
              <w:rPr>
                <w:iCs/>
              </w:rPr>
            </w:pPr>
            <w:r>
              <w:rPr>
                <w:iCs/>
              </w:rPr>
              <w:t>D</w:t>
            </w:r>
            <w:r w:rsidRPr="00B76DD0">
              <w:rPr>
                <w:iCs/>
              </w:rPr>
              <w:t xml:space="preserve">reptul de răscumpărare nu este condiționat de constatarea prealabilă a faptului că emitentul „nu este în măsură să își îndeplinească obligațiile”: potrivit alin. (1) coroborat cu alin. (2), el este permanent și se exercită în orice moment, la simpla cerere a deținătorului, direct împotriva emitentului, care răscumpără la valoarea de piață a activelor de referință. Sintagma vizată marchează doar momentul de la care creanța se îndreaptă direct asupra activelor de rezervă — o protecție suplimentară ce operează împreună cu planul de redresare (art. 43) și răscumpărarea ordonată (art. 44) — iar nu declanșatorul </w:t>
            </w:r>
            <w:r w:rsidRPr="00B76DD0">
              <w:rPr>
                <w:iCs/>
              </w:rPr>
              <w:lastRenderedPageBreak/>
              <w:t>răscumpărării. Nu se impune, așadar, instituirea unor criterii sau a unei competențe distincte de constatare, întrucât condițiile, pragurile, perioadele, evaluarea și decontarea sunt deja stabilite, la nivel de lege, prin politica de răscumpărare a emitentului prevăzută la alin. (2) lit. a)–e), supusă autorizării și supravegherii.</w:t>
            </w:r>
          </w:p>
          <w:p w14:paraId="61ACA7B2" w14:textId="7788279A"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pPr>
            <w:r w:rsidRPr="00B76DD0">
              <w:rPr>
                <w:iCs/>
              </w:rPr>
              <w:t xml:space="preserve">Cu privire la alin. (3), interdicția este suficient determinată și transpune fidel </w:t>
            </w:r>
            <w:proofErr w:type="spellStart"/>
            <w:r w:rsidRPr="00B76DD0">
              <w:rPr>
                <w:iCs/>
              </w:rPr>
              <w:t>MiCA</w:t>
            </w:r>
            <w:proofErr w:type="spellEnd"/>
            <w:r w:rsidRPr="00B76DD0">
              <w:rPr>
                <w:iCs/>
              </w:rPr>
              <w:t>. Întinderea ei rezultă din coroborarea cu alin. (2): deținătorul primește integral valoarea de piață, fără nicio deducere. Costurile serviciilor bancare, de plată sau de schimb valutar angajate pentru executarea răscumpărării țin de relația emitentului cu acești prestatori și rămân în sarcina sa, neputând fi transferate deținătorului. În schimb, costurile din raporturile proprii ale deținătorului cu terți (de exemplu, banca prin care primește fondurile) sunt reglementate separat</w:t>
            </w:r>
            <w:r>
              <w:rPr>
                <w:iCs/>
              </w:rPr>
              <w:t xml:space="preserve"> și </w:t>
            </w:r>
            <w:r w:rsidRPr="00B76DD0">
              <w:rPr>
                <w:iCs/>
              </w:rPr>
              <w:t xml:space="preserve">nu pot fi imputate emitentului. Nu există, prin urmare, un risc de alocare neclară a costurilor: norma exclude orice diminuare a sumei cuvenite deținătorului, în linie cu obiectivul de protecție a investitorilor consacrat de </w:t>
            </w:r>
            <w:proofErr w:type="spellStart"/>
            <w:r w:rsidRPr="00B76DD0">
              <w:rPr>
                <w:iCs/>
              </w:rPr>
              <w:t>MiCA</w:t>
            </w:r>
            <w:proofErr w:type="spellEnd"/>
            <w:r w:rsidRPr="00B76DD0">
              <w:rPr>
                <w:iCs/>
              </w:rPr>
              <w:t>.</w:t>
            </w:r>
          </w:p>
        </w:tc>
      </w:tr>
      <w:tr w:rsidR="00A06816" w:rsidRPr="0026420A" w14:paraId="67075709" w14:textId="77777777" w:rsidTr="00080634">
        <w:trPr>
          <w:trHeight w:val="615"/>
        </w:trPr>
        <w:tc>
          <w:tcPr>
            <w:tcW w:w="2206" w:type="dxa"/>
            <w:tcMar>
              <w:top w:w="0" w:type="dxa"/>
              <w:left w:w="108" w:type="dxa"/>
              <w:bottom w:w="0" w:type="dxa"/>
              <w:right w:w="108" w:type="dxa"/>
            </w:tcMar>
          </w:tcPr>
          <w:p w14:paraId="28BCA40D"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67EE462F"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3D642765" w14:textId="77777777" w:rsidR="00A06816" w:rsidRPr="0026420A" w:rsidRDefault="00A06816" w:rsidP="00A06816">
            <w:pPr>
              <w:pStyle w:val="Default"/>
              <w:jc w:val="both"/>
              <w:rPr>
                <w:rFonts w:ascii="Times New Roman" w:hAnsi="Times New Roman" w:cs="Times New Roman"/>
                <w:b/>
                <w:bCs/>
                <w:lang w:val="ro-RO"/>
              </w:rPr>
            </w:pPr>
            <w:r w:rsidRPr="0026420A">
              <w:rPr>
                <w:rFonts w:ascii="Times New Roman" w:hAnsi="Times New Roman" w:cs="Times New Roman"/>
                <w:b/>
                <w:bCs/>
                <w:sz w:val="20"/>
                <w:szCs w:val="20"/>
                <w:lang w:val="ro-RO"/>
              </w:rPr>
              <w:t xml:space="preserve">Art. 45 alin. (8) </w:t>
            </w:r>
          </w:p>
          <w:p w14:paraId="46482F9F" w14:textId="77777777" w:rsidR="00A06816" w:rsidRPr="0026420A" w:rsidRDefault="00A06816" w:rsidP="00A06816">
            <w:pPr>
              <w:ind w:firstLine="0"/>
            </w:pPr>
            <w:r w:rsidRPr="0026420A">
              <w:t>Prevederea necesită completări suplimentare, întrucât posibilitatea impunerii prin decizie motivată de către Banca Națională a unor cerințe suplimentare privind fondurile proprii, lichiditatea, guvernanța, administrarea riscurilor, auditul sau planurile de redresare și răscumpărare presupune existența unui temei legal suficient de clar și previzibil cu privire la condițiile și limitele exercitării unei asemenea competențe.</w:t>
            </w:r>
          </w:p>
          <w:p w14:paraId="5A57D01C" w14:textId="77777777" w:rsidR="00A06816" w:rsidRPr="0026420A" w:rsidRDefault="00A06816" w:rsidP="00A06816">
            <w:pPr>
              <w:ind w:firstLine="0"/>
            </w:pPr>
            <w:r w:rsidRPr="0026420A">
              <w:t>Or, în forma actuală, norma se limitează la enumerarea unor categorii generale de riscuri, fără a stabili criterii obiective și elementele esențiale care pot justifica instituirea unor măsuri cu impact semnificativ asupra activității și costurilor de conformitate ale entităților vizate.</w:t>
            </w:r>
          </w:p>
          <w:p w14:paraId="75D7AAD8" w14:textId="77777777" w:rsidR="00A06816" w:rsidRPr="0026420A" w:rsidRDefault="00A06816" w:rsidP="00A06816">
            <w:pPr>
              <w:ind w:firstLine="0"/>
            </w:pPr>
            <w:r w:rsidRPr="0026420A">
              <w:t xml:space="preserve">În acest context, considerăm necesară consolidarea cadrului legal primar, astfel încât deciziile individuale ale BNM să se întemeieze pe criterii și limite expres prevăzute de lege, iar nu exclusiv pe o formulare generală referitoare la existența unor riscuri. Subsidiar, având în vedere impactul semnificativ pe care asemenea măsuri îl pot avea asupra activității instituțiilor de credit, nu apreciem ca fiind suficientă reglementarea criteriilor și condițiilor de aplicare exclusiv prin acte normative subordonate legii (e.g. Hotărâri BNM), acestea </w:t>
            </w:r>
            <w:r w:rsidRPr="0026420A">
              <w:lastRenderedPageBreak/>
              <w:t>urmând a fi prevăzute, în elementele lor esențiale, la nivelul reglementării primare.</w:t>
            </w:r>
          </w:p>
          <w:p w14:paraId="3B077382" w14:textId="77777777" w:rsidR="00A06816" w:rsidRPr="0026420A" w:rsidRDefault="00A06816" w:rsidP="00A06816">
            <w:pPr>
              <w:pBdr>
                <w:top w:val="none" w:sz="4" w:space="0" w:color="000000"/>
                <w:left w:val="none" w:sz="4" w:space="0" w:color="000000"/>
                <w:bottom w:val="none" w:sz="4" w:space="0" w:color="000000"/>
                <w:right w:val="none" w:sz="4" w:space="0" w:color="000000"/>
              </w:pBdr>
              <w:ind w:firstLine="0"/>
            </w:pPr>
          </w:p>
        </w:tc>
        <w:tc>
          <w:tcPr>
            <w:tcW w:w="5281" w:type="dxa"/>
            <w:tcMar>
              <w:top w:w="0" w:type="dxa"/>
              <w:left w:w="108" w:type="dxa"/>
              <w:bottom w:w="0" w:type="dxa"/>
              <w:right w:w="108" w:type="dxa"/>
            </w:tcMar>
          </w:tcPr>
          <w:p w14:paraId="6DC21727" w14:textId="77777777" w:rsidR="00A06816" w:rsidRPr="00931D83" w:rsidRDefault="00A06816" w:rsidP="00A06816">
            <w:pPr>
              <w:ind w:firstLine="0"/>
              <w:rPr>
                <w:b/>
                <w:bCs/>
                <w:iCs/>
              </w:rPr>
            </w:pPr>
            <w:r w:rsidRPr="00931D83">
              <w:rPr>
                <w:b/>
                <w:bCs/>
                <w:iCs/>
              </w:rPr>
              <w:lastRenderedPageBreak/>
              <w:t>Nu se acceptă.</w:t>
            </w:r>
          </w:p>
          <w:p w14:paraId="49FF2895" w14:textId="77777777" w:rsidR="00A06816" w:rsidRPr="00931D83" w:rsidRDefault="00A06816" w:rsidP="00A06816">
            <w:pPr>
              <w:ind w:firstLine="0"/>
              <w:rPr>
                <w:iCs/>
              </w:rPr>
            </w:pPr>
            <w:r w:rsidRPr="00931D83">
              <w:rPr>
                <w:iCs/>
              </w:rPr>
              <w:t xml:space="preserve">Norma reflectă o competență de supraveghere bazată pe risc, necesară în materia </w:t>
            </w:r>
            <w:proofErr w:type="spellStart"/>
            <w:r w:rsidRPr="00931D83">
              <w:rPr>
                <w:iCs/>
              </w:rPr>
              <w:t>tokenurilor</w:t>
            </w:r>
            <w:proofErr w:type="spellEnd"/>
            <w:r w:rsidRPr="00931D83">
              <w:rPr>
                <w:iCs/>
              </w:rPr>
              <w:t xml:space="preserve"> de monedă electronică și este aliniată cadrului stabilit de Regulamentul </w:t>
            </w:r>
            <w:proofErr w:type="spellStart"/>
            <w:r w:rsidRPr="00931D83">
              <w:rPr>
                <w:iCs/>
              </w:rPr>
              <w:t>MiCA</w:t>
            </w:r>
            <w:proofErr w:type="spellEnd"/>
            <w:r w:rsidRPr="00931D83">
              <w:rPr>
                <w:iCs/>
              </w:rPr>
              <w:t xml:space="preserve">, în special art. 58. Acesta prevede expres posibilitatea autorităților competente de a impune cerințe suplimentare emitenților de </w:t>
            </w:r>
            <w:proofErr w:type="spellStart"/>
            <w:r w:rsidRPr="00931D83">
              <w:rPr>
                <w:iCs/>
              </w:rPr>
              <w:t>tokenuri</w:t>
            </w:r>
            <w:proofErr w:type="spellEnd"/>
            <w:r w:rsidRPr="00931D83">
              <w:rPr>
                <w:iCs/>
              </w:rPr>
              <w:t xml:space="preserve"> de monedă electronică, inclusiv celor care nu sunt clasificate drept semnificative, atunci când acest lucru este necesar pentru a aborda riscuri precum cele de lichiditate, operaționale sau cele legate de administrarea rezervei de active.</w:t>
            </w:r>
            <w:r>
              <w:rPr>
                <w:iCs/>
              </w:rPr>
              <w:br/>
            </w:r>
            <w:r w:rsidRPr="00931D83">
              <w:rPr>
                <w:iCs/>
              </w:rPr>
              <w:t xml:space="preserve">Spre deosebire de norma europeană, care enumeră aceste riscuri doar cu titlu exemplificativ („cum ar fi” riscurile de lichiditate, operaționale sau cele decurgând din administrarea rezervei de active), proiectul național le detaliază mai precis — riscuri de lichiditate, operaționale, prudențiale, aferente administrării fondurilor sau activelor care susțin </w:t>
            </w:r>
            <w:proofErr w:type="spellStart"/>
            <w:r w:rsidRPr="00931D83">
              <w:rPr>
                <w:iCs/>
              </w:rPr>
              <w:t>tokenurile</w:t>
            </w:r>
            <w:proofErr w:type="spellEnd"/>
            <w:r w:rsidRPr="00931D83">
              <w:rPr>
                <w:iCs/>
              </w:rPr>
              <w:t>, precum și riscuri pentru stabilitatea financiară, buna funcționare a sistemelor de plăți, transmisia politicii monetare sau suveranitatea monetară</w:t>
            </w:r>
            <w:r>
              <w:rPr>
                <w:iCs/>
              </w:rPr>
              <w:t xml:space="preserve">, </w:t>
            </w:r>
            <w:r w:rsidRPr="00931D83">
              <w:rPr>
                <w:iCs/>
              </w:rPr>
              <w:t xml:space="preserve"> și delimitează totodată domeniile în care pot fi impuse cerințe suplimentare. </w:t>
            </w:r>
            <w:r>
              <w:rPr>
                <w:iCs/>
              </w:rPr>
              <w:t>Respectiv</w:t>
            </w:r>
            <w:r w:rsidRPr="00931D83">
              <w:rPr>
                <w:iCs/>
              </w:rPr>
              <w:t>, departe de a institui o formulare generală, proiectul oferă un grad de previzibilitate superior celui al normei sursă.</w:t>
            </w:r>
          </w:p>
          <w:p w14:paraId="27E7146D" w14:textId="5CC4A7E1"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pPr>
            <w:r w:rsidRPr="00931D83">
              <w:rPr>
                <w:iCs/>
              </w:rPr>
              <w:lastRenderedPageBreak/>
              <w:t>Prin urmare, competența prevăzută în proiect nu are caracter arbitrar, ci derivă dintr-un standard european clar de supraveghere prudențială și bazată pe risc. Exercitarea acesteia se realizează prin decizie individuală motivată, cu respectarea Codului administrativ, a principiilor proporționalității, scopului legitim și tratamentului egal, precum și sub control judecătoresc. Criteriile operaționale de aplicare pot fi dezvoltate prin acte normative secundare și ghiduri relevante, fără a fi necesară supraîncărcarea legii primare.</w:t>
            </w:r>
          </w:p>
        </w:tc>
      </w:tr>
      <w:tr w:rsidR="00A06816" w:rsidRPr="0026420A" w14:paraId="7A662EE5" w14:textId="77777777" w:rsidTr="00080634">
        <w:trPr>
          <w:trHeight w:val="615"/>
        </w:trPr>
        <w:tc>
          <w:tcPr>
            <w:tcW w:w="2206" w:type="dxa"/>
            <w:tcMar>
              <w:top w:w="0" w:type="dxa"/>
              <w:left w:w="108" w:type="dxa"/>
              <w:bottom w:w="0" w:type="dxa"/>
              <w:right w:w="108" w:type="dxa"/>
            </w:tcMar>
          </w:tcPr>
          <w:p w14:paraId="5AE6DE52"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65EBCDBF"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7F695513" w14:textId="77777777" w:rsidR="00A06816" w:rsidRPr="0026420A" w:rsidRDefault="00A06816" w:rsidP="00A06816">
            <w:pPr>
              <w:pStyle w:val="Default"/>
              <w:jc w:val="both"/>
              <w:rPr>
                <w:rFonts w:ascii="Times New Roman" w:hAnsi="Times New Roman" w:cs="Times New Roman"/>
                <w:b/>
                <w:bCs/>
                <w:sz w:val="20"/>
                <w:szCs w:val="20"/>
                <w:lang w:val="ro-RO"/>
              </w:rPr>
            </w:pPr>
            <w:r w:rsidRPr="0026420A">
              <w:rPr>
                <w:rFonts w:ascii="Times New Roman" w:hAnsi="Times New Roman" w:cs="Times New Roman"/>
                <w:b/>
                <w:bCs/>
                <w:sz w:val="20"/>
                <w:szCs w:val="20"/>
                <w:lang w:val="ro-RO"/>
              </w:rPr>
              <w:t>Art. 46 alin. (6)</w:t>
            </w:r>
          </w:p>
          <w:p w14:paraId="06F1C127" w14:textId="77777777" w:rsidR="00A06816" w:rsidRPr="0026420A" w:rsidRDefault="00A06816" w:rsidP="00A06816">
            <w:pPr>
              <w:pStyle w:val="Default"/>
              <w:jc w:val="both"/>
              <w:rPr>
                <w:rFonts w:ascii="Times New Roman" w:hAnsi="Times New Roman" w:cs="Times New Roman"/>
                <w:sz w:val="20"/>
                <w:szCs w:val="20"/>
                <w:lang w:val="ro-RO"/>
              </w:rPr>
            </w:pPr>
            <w:r w:rsidRPr="0026420A">
              <w:rPr>
                <w:rFonts w:ascii="Times New Roman" w:hAnsi="Times New Roman" w:cs="Times New Roman"/>
                <w:sz w:val="20"/>
                <w:szCs w:val="20"/>
                <w:lang w:val="ro-RO"/>
              </w:rPr>
              <w:t xml:space="preserve">Prin derogarea de la art. 77 din Legea nr. 114/2012, proiectul exclude posibilitatea perceperii oricăror taxe sau comisioane aferente răscumpărării </w:t>
            </w:r>
            <w:proofErr w:type="spellStart"/>
            <w:r w:rsidRPr="0026420A">
              <w:rPr>
                <w:rFonts w:ascii="Times New Roman" w:hAnsi="Times New Roman" w:cs="Times New Roman"/>
                <w:sz w:val="20"/>
                <w:szCs w:val="20"/>
                <w:lang w:val="ro-RO"/>
              </w:rPr>
              <w:t>tokenurilor</w:t>
            </w:r>
            <w:proofErr w:type="spellEnd"/>
            <w:r w:rsidRPr="0026420A">
              <w:rPr>
                <w:rFonts w:ascii="Times New Roman" w:hAnsi="Times New Roman" w:cs="Times New Roman"/>
                <w:sz w:val="20"/>
                <w:szCs w:val="20"/>
                <w:lang w:val="ro-RO"/>
              </w:rPr>
              <w:t xml:space="preserve"> de monedă electronică, inclusiv în situații în care asemenea costuri sunt generate efectiv de procesarea operațiunii. În acest context, se consideră oportună reevaluarea soluției normative sau, cel puțin, clarificarea sferei de aplicare a interdicției, având în vedere că regimul general al monedei electronice permite perceperea unor comisioane proporționale cu costurile reale suportate de emitent.</w:t>
            </w:r>
          </w:p>
          <w:p w14:paraId="2241100D" w14:textId="038BA367" w:rsidR="00A06816" w:rsidRPr="0026420A" w:rsidRDefault="00A06816" w:rsidP="00A06816">
            <w:pPr>
              <w:pBdr>
                <w:top w:val="none" w:sz="4" w:space="0" w:color="000000"/>
                <w:left w:val="none" w:sz="4" w:space="0" w:color="000000"/>
                <w:bottom w:val="none" w:sz="4" w:space="0" w:color="000000"/>
                <w:right w:val="none" w:sz="4" w:space="0" w:color="000000"/>
              </w:pBdr>
              <w:ind w:firstLine="0"/>
            </w:pPr>
            <w:r w:rsidRPr="0026420A">
              <w:t>Cu titlu de exemplu, art. 77 alin. (4) și (5) din Legea nr. 114/2012 prevăd că perceperea unui comision pentru răscumpărare este admisibilă numai în situații expres și limitativ prevăzute de lege și doar în măsura în care acesta este proporțional și stabilit în raport cu costurile reale suportate de emitentul de monedă electronică.</w:t>
            </w:r>
          </w:p>
        </w:tc>
        <w:tc>
          <w:tcPr>
            <w:tcW w:w="5281" w:type="dxa"/>
            <w:tcMar>
              <w:top w:w="0" w:type="dxa"/>
              <w:left w:w="108" w:type="dxa"/>
              <w:bottom w:w="0" w:type="dxa"/>
              <w:right w:w="108" w:type="dxa"/>
            </w:tcMar>
          </w:tcPr>
          <w:p w14:paraId="1F085CAB" w14:textId="77777777" w:rsidR="00A06816" w:rsidRPr="007926B4" w:rsidRDefault="00A06816" w:rsidP="00A06816">
            <w:pPr>
              <w:ind w:firstLine="0"/>
              <w:rPr>
                <w:b/>
                <w:bCs/>
                <w:iCs/>
              </w:rPr>
            </w:pPr>
            <w:r w:rsidRPr="007926B4">
              <w:rPr>
                <w:b/>
                <w:bCs/>
                <w:iCs/>
              </w:rPr>
              <w:t>Nu se acceptă.</w:t>
            </w:r>
          </w:p>
          <w:p w14:paraId="1ED7D315" w14:textId="77777777" w:rsidR="00A06816" w:rsidRPr="007926B4" w:rsidRDefault="00A06816" w:rsidP="00A06816">
            <w:pPr>
              <w:ind w:firstLine="0"/>
              <w:rPr>
                <w:iCs/>
              </w:rPr>
            </w:pPr>
            <w:r w:rsidRPr="007926B4">
              <w:rPr>
                <w:iCs/>
              </w:rPr>
              <w:t xml:space="preserve">Art. 46 alin. (1) instituie, prin derogare expresă de la art. 77 din Legea nr. 114/2012, un regim special și autonom pentru emiterea și răscumpărarea </w:t>
            </w:r>
            <w:proofErr w:type="spellStart"/>
            <w:r w:rsidRPr="007926B4">
              <w:rPr>
                <w:iCs/>
              </w:rPr>
              <w:t>tokenurilor</w:t>
            </w:r>
            <w:proofErr w:type="spellEnd"/>
            <w:r w:rsidRPr="007926B4">
              <w:rPr>
                <w:iCs/>
              </w:rPr>
              <w:t xml:space="preserve"> de monedă electronică, în cadrul căruia se aplică numai cerințele prevăzute la acest articol. Interdicția de la alin. (6) nu este, așadar, o excepție izolată, ci o componentă a acestui regim integral, care transpune fidel standardul </w:t>
            </w:r>
            <w:proofErr w:type="spellStart"/>
            <w:r w:rsidRPr="007926B4">
              <w:rPr>
                <w:iCs/>
              </w:rPr>
              <w:t>MiCA</w:t>
            </w:r>
            <w:proofErr w:type="spellEnd"/>
            <w:r w:rsidRPr="007926B4">
              <w:rPr>
                <w:iCs/>
              </w:rPr>
              <w:t xml:space="preserve"> privind răscumpărarea EMT la valoare nominală</w:t>
            </w:r>
            <w:r>
              <w:rPr>
                <w:iCs/>
              </w:rPr>
              <w:t>,</w:t>
            </w:r>
            <w:r w:rsidRPr="007926B4">
              <w:rPr>
                <w:iCs/>
              </w:rPr>
              <w:t xml:space="preserve"> deliberat mai strict decât cel al monedei electronice, tocmai pentru că </w:t>
            </w:r>
            <w:proofErr w:type="spellStart"/>
            <w:r w:rsidRPr="007926B4">
              <w:rPr>
                <w:iCs/>
              </w:rPr>
              <w:t>tokenurile</w:t>
            </w:r>
            <w:proofErr w:type="spellEnd"/>
            <w:r w:rsidRPr="007926B4">
              <w:rPr>
                <w:iCs/>
              </w:rPr>
              <w:t xml:space="preserve"> de monedă electronică sunt </w:t>
            </w:r>
            <w:proofErr w:type="spellStart"/>
            <w:r w:rsidRPr="007926B4">
              <w:rPr>
                <w:iCs/>
              </w:rPr>
              <w:t>criptoactive</w:t>
            </w:r>
            <w:proofErr w:type="spellEnd"/>
            <w:r w:rsidRPr="007926B4">
              <w:rPr>
                <w:iCs/>
              </w:rPr>
              <w:t>. Regimul general al monedei electronice, inclusiv comisioanele proporționale cu costurile permise de art. 77 alin. (4) și (5) din Legea nr. 114/2012, nu se aplică prin voința expresă a legiuitorului, astfel încât invocarea acestuia ca termen de comparație nu poate justifica relaxarea interdicției.</w:t>
            </w:r>
          </w:p>
          <w:p w14:paraId="35117945" w14:textId="58C980A1"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pPr>
            <w:r w:rsidRPr="007926B4">
              <w:rPr>
                <w:iCs/>
              </w:rPr>
              <w:t xml:space="preserve">Cât privește întinderea interdicției, ea se interpretează unitar cu soluția reținută la art. 39 alin. (3) pentru </w:t>
            </w:r>
            <w:proofErr w:type="spellStart"/>
            <w:r w:rsidRPr="007926B4">
              <w:rPr>
                <w:iCs/>
              </w:rPr>
              <w:t>tokenurile</w:t>
            </w:r>
            <w:proofErr w:type="spellEnd"/>
            <w:r w:rsidRPr="007926B4">
              <w:rPr>
                <w:iCs/>
              </w:rPr>
              <w:t xml:space="preserve"> raportate la active: deținătorul primește integral valoarea nominală, fără nicio deducere. Costurile executării răscumpărării angajate de emitent rămân în sarcina sa și nu pot fi transferate deținătorului, în timp ce eventualele costuri din raporturile proprii ale deținătorului cu terți, ulterioare și distincte de răscumpărare, sunt reglementate separat și nu pot fi imputate emitentului. Nu se justifică, prin urmare, nici reevaluarea soluției, nici o clarificare suplimentară, regimul fiind suficient determinat și aliniat </w:t>
            </w:r>
            <w:proofErr w:type="spellStart"/>
            <w:r w:rsidRPr="007926B4">
              <w:rPr>
                <w:iCs/>
              </w:rPr>
              <w:t>MiCA</w:t>
            </w:r>
            <w:proofErr w:type="spellEnd"/>
            <w:r w:rsidRPr="007926B4">
              <w:rPr>
                <w:iCs/>
              </w:rPr>
              <w:t>.</w:t>
            </w:r>
          </w:p>
        </w:tc>
      </w:tr>
      <w:tr w:rsidR="00A06816" w:rsidRPr="0026420A" w14:paraId="138D2444" w14:textId="77777777" w:rsidTr="00080634">
        <w:trPr>
          <w:trHeight w:val="615"/>
        </w:trPr>
        <w:tc>
          <w:tcPr>
            <w:tcW w:w="2206" w:type="dxa"/>
            <w:tcMar>
              <w:top w:w="0" w:type="dxa"/>
              <w:left w:w="108" w:type="dxa"/>
              <w:bottom w:w="0" w:type="dxa"/>
              <w:right w:w="108" w:type="dxa"/>
            </w:tcMar>
          </w:tcPr>
          <w:p w14:paraId="3CCA7046"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3D41FA15"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45587C93" w14:textId="77777777" w:rsidR="00A06816" w:rsidRPr="0026420A" w:rsidRDefault="00A06816" w:rsidP="00A06816">
            <w:pPr>
              <w:pStyle w:val="Default"/>
              <w:jc w:val="both"/>
              <w:rPr>
                <w:rFonts w:ascii="Times New Roman" w:hAnsi="Times New Roman" w:cs="Times New Roman"/>
                <w:b/>
                <w:bCs/>
                <w:lang w:val="ro-RO"/>
              </w:rPr>
            </w:pPr>
            <w:r w:rsidRPr="0026420A">
              <w:rPr>
                <w:rFonts w:ascii="Times New Roman" w:hAnsi="Times New Roman" w:cs="Times New Roman"/>
                <w:b/>
                <w:bCs/>
                <w:sz w:val="20"/>
                <w:szCs w:val="20"/>
                <w:lang w:val="ro-RO"/>
              </w:rPr>
              <w:t xml:space="preserve">Art. 48 alin. (13) </w:t>
            </w:r>
          </w:p>
          <w:p w14:paraId="6EAFF64E" w14:textId="77777777" w:rsidR="00A06816" w:rsidRPr="0026420A" w:rsidRDefault="00A06816" w:rsidP="00A06816">
            <w:pPr>
              <w:pStyle w:val="Default"/>
              <w:rPr>
                <w:rFonts w:ascii="Times New Roman" w:hAnsi="Times New Roman" w:cs="Times New Roman"/>
                <w:sz w:val="20"/>
                <w:szCs w:val="20"/>
                <w:lang w:val="ro-RO"/>
              </w:rPr>
            </w:pPr>
            <w:r w:rsidRPr="0026420A">
              <w:rPr>
                <w:rFonts w:ascii="Times New Roman" w:hAnsi="Times New Roman" w:cs="Times New Roman"/>
                <w:sz w:val="20"/>
                <w:szCs w:val="20"/>
                <w:lang w:val="ro-RO"/>
              </w:rPr>
              <w:t>Formularea potrivit căreia orice „factor nou semnificativ”, „eroare substanțială” sau „inexactitate substanțială” impune elaborarea unei cărți albe modificate necesită clarificări suplimentare.</w:t>
            </w:r>
          </w:p>
          <w:p w14:paraId="2723CA80" w14:textId="6F89058B" w:rsidR="00A06816" w:rsidRPr="0026420A" w:rsidRDefault="00A06816" w:rsidP="00A06816">
            <w:pPr>
              <w:pBdr>
                <w:top w:val="none" w:sz="4" w:space="0" w:color="000000"/>
                <w:left w:val="none" w:sz="4" w:space="0" w:color="000000"/>
                <w:bottom w:val="none" w:sz="4" w:space="0" w:color="000000"/>
                <w:right w:val="none" w:sz="4" w:space="0" w:color="000000"/>
              </w:pBdr>
              <w:ind w:firstLine="0"/>
            </w:pPr>
            <w:r w:rsidRPr="0026420A">
              <w:t xml:space="preserve">În forma actuală, proiectul nu stabilește criterii obiective care să permită delimitarea acestor noțiuni și nici pragurile de materialitate </w:t>
            </w:r>
            <w:r w:rsidRPr="0026420A">
              <w:lastRenderedPageBreak/>
              <w:t>relevante, ceea ce poate genera incertitudini în aplicare și obligații continue de reevaluare și notificare. Având în vedere consecințele juridice și operaționale asociate modificării și republicării cărții albe, se consideră oportună stabilirea unor criterii suficient de clare pentru aprecierea caracterului semnificativ sau substanțial al unor asemenea circumstanțe.</w:t>
            </w:r>
          </w:p>
        </w:tc>
        <w:tc>
          <w:tcPr>
            <w:tcW w:w="5281" w:type="dxa"/>
            <w:tcMar>
              <w:top w:w="0" w:type="dxa"/>
              <w:left w:w="108" w:type="dxa"/>
              <w:bottom w:w="0" w:type="dxa"/>
              <w:right w:w="108" w:type="dxa"/>
            </w:tcMar>
          </w:tcPr>
          <w:p w14:paraId="76A6A565" w14:textId="77777777" w:rsidR="00A06816" w:rsidRPr="00DF2E2F" w:rsidRDefault="00A06816" w:rsidP="00A06816">
            <w:pPr>
              <w:ind w:firstLine="0"/>
              <w:rPr>
                <w:b/>
                <w:bCs/>
                <w:iCs/>
              </w:rPr>
            </w:pPr>
            <w:r w:rsidRPr="00DF2E2F">
              <w:rPr>
                <w:b/>
                <w:bCs/>
                <w:iCs/>
              </w:rPr>
              <w:lastRenderedPageBreak/>
              <w:t>Nu se acceptă.</w:t>
            </w:r>
          </w:p>
          <w:p w14:paraId="7224164A" w14:textId="77777777" w:rsidR="00A06816" w:rsidRPr="00DF2E2F" w:rsidRDefault="00A06816" w:rsidP="00A06816">
            <w:pPr>
              <w:ind w:firstLine="0"/>
              <w:rPr>
                <w:iCs/>
              </w:rPr>
            </w:pPr>
            <w:r w:rsidRPr="00DF2E2F">
              <w:rPr>
                <w:iCs/>
              </w:rPr>
              <w:t xml:space="preserve">Cele trei noțiuni „factor nou semnificativ”, „eroare substanțială” și „inexactitate substanțială”  nu sunt lipsite de un criteriu de apreciere, </w:t>
            </w:r>
            <w:r>
              <w:rPr>
                <w:iCs/>
              </w:rPr>
              <w:t xml:space="preserve">or, </w:t>
            </w:r>
            <w:r w:rsidRPr="00DF2E2F">
              <w:rPr>
                <w:iCs/>
              </w:rPr>
              <w:t xml:space="preserve">alin. (13) le însoțește de un test explicit de materialitate, obligația de a elabora o carte albă modificată fiind declanșată numai atunci când factorul, eroarea sau </w:t>
            </w:r>
            <w:r w:rsidRPr="00DF2E2F">
              <w:rPr>
                <w:iCs/>
              </w:rPr>
              <w:lastRenderedPageBreak/>
              <w:t xml:space="preserve">inexactitatea „poate afecta evaluarea </w:t>
            </w:r>
            <w:proofErr w:type="spellStart"/>
            <w:r w:rsidRPr="00DF2E2F">
              <w:rPr>
                <w:iCs/>
              </w:rPr>
              <w:t>tokenului</w:t>
            </w:r>
            <w:proofErr w:type="spellEnd"/>
            <w:r w:rsidRPr="00DF2E2F">
              <w:rPr>
                <w:iCs/>
              </w:rPr>
              <w:t xml:space="preserve"> de monedă electronică”. Caracterul semnificativ/substanțial se apreciază, așadar, prin raportare la aptitudinea informației de a influența evaluarea </w:t>
            </w:r>
            <w:proofErr w:type="spellStart"/>
            <w:r w:rsidRPr="00DF2E2F">
              <w:rPr>
                <w:iCs/>
              </w:rPr>
              <w:t>tokenului</w:t>
            </w:r>
            <w:proofErr w:type="spellEnd"/>
            <w:r w:rsidRPr="00DF2E2F">
              <w:rPr>
                <w:iCs/>
              </w:rPr>
              <w:t xml:space="preserve"> de către deținător, iar nu discreționar.</w:t>
            </w:r>
          </w:p>
          <w:p w14:paraId="231C664C" w14:textId="6D7805CC"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pPr>
            <w:r w:rsidRPr="00DF2E2F">
              <w:rPr>
                <w:iCs/>
              </w:rPr>
              <w:t>Aceste noțiuni transpun fidel un standard autonom de drept al Uniunii, preluat din mecanismul suplimentului la prospect și aplicat uniform în materia cărților albe; definirea lor printr-o listă închisă la nivel național ar contraveni cerinței de interpretare uniformă și ar genera divergență față de acquis. Soluția este, de altfel, consecventă cu cea reținută pentru „omisiunile semnificative” de la alin. (2). Previzibilitatea este asigurată și procedural: cartea albă modificată urmează aceeași verificare a plenitudinii prevăzută la alin. (12), iar emitentul rămâne răspunzător pentru caracterul complet, corect și neînșelător al informațiilor potrivit alin. (2) și (5). Pragurile și criteriile tehnice de detaliu urmează a fi precizate, după caz, prin actele Băncii Naționale, în linie cu standardele europene relevante, fără a fi necesară o enumerare exhaustivă în legea primară.</w:t>
            </w:r>
          </w:p>
        </w:tc>
      </w:tr>
      <w:tr w:rsidR="00A06816" w:rsidRPr="0026420A" w14:paraId="14A502C4" w14:textId="77777777" w:rsidTr="00080634">
        <w:trPr>
          <w:trHeight w:val="615"/>
        </w:trPr>
        <w:tc>
          <w:tcPr>
            <w:tcW w:w="2206" w:type="dxa"/>
            <w:tcMar>
              <w:top w:w="0" w:type="dxa"/>
              <w:left w:w="108" w:type="dxa"/>
              <w:bottom w:w="0" w:type="dxa"/>
              <w:right w:w="108" w:type="dxa"/>
            </w:tcMar>
          </w:tcPr>
          <w:p w14:paraId="4549C19D"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399572B6"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3083591F" w14:textId="77777777" w:rsidR="00A06816" w:rsidRPr="0026420A" w:rsidRDefault="00A06816" w:rsidP="00A06816">
            <w:pPr>
              <w:pStyle w:val="Default"/>
              <w:jc w:val="both"/>
              <w:rPr>
                <w:rFonts w:ascii="Times New Roman" w:hAnsi="Times New Roman" w:cs="Times New Roman"/>
                <w:b/>
                <w:bCs/>
                <w:sz w:val="20"/>
                <w:szCs w:val="20"/>
                <w:lang w:val="ro-RO"/>
              </w:rPr>
            </w:pPr>
            <w:r w:rsidRPr="0026420A">
              <w:rPr>
                <w:rFonts w:ascii="Times New Roman" w:hAnsi="Times New Roman" w:cs="Times New Roman"/>
                <w:b/>
                <w:bCs/>
                <w:sz w:val="20"/>
                <w:szCs w:val="20"/>
                <w:lang w:val="ro-RO"/>
              </w:rPr>
              <w:t>Art. 51</w:t>
            </w:r>
          </w:p>
          <w:p w14:paraId="39FED766" w14:textId="77777777" w:rsidR="00A06816" w:rsidRPr="0026420A" w:rsidRDefault="00A06816" w:rsidP="00A06816">
            <w:pPr>
              <w:pStyle w:val="Default"/>
              <w:rPr>
                <w:rFonts w:ascii="Times New Roman" w:hAnsi="Times New Roman" w:cs="Times New Roman"/>
                <w:sz w:val="20"/>
                <w:szCs w:val="20"/>
                <w:lang w:val="ro-RO"/>
              </w:rPr>
            </w:pPr>
            <w:r w:rsidRPr="0026420A">
              <w:rPr>
                <w:rFonts w:ascii="Times New Roman" w:hAnsi="Times New Roman" w:cs="Times New Roman"/>
                <w:sz w:val="20"/>
                <w:szCs w:val="20"/>
                <w:lang w:val="ro-RO"/>
              </w:rPr>
              <w:t xml:space="preserve">Prevederea impune ca cel puțin 30% din fondurile primite să fie depuse în conturi separate la instituții de credit, fără a clarifica modul de aplicare a acestei cerințe ținând cont de faptul că, emitentul </w:t>
            </w:r>
            <w:proofErr w:type="spellStart"/>
            <w:r w:rsidRPr="0026420A">
              <w:rPr>
                <w:rFonts w:ascii="Times New Roman" w:hAnsi="Times New Roman" w:cs="Times New Roman"/>
                <w:sz w:val="20"/>
                <w:szCs w:val="20"/>
                <w:lang w:val="ro-RO"/>
              </w:rPr>
              <w:t>tokenurilor</w:t>
            </w:r>
            <w:proofErr w:type="spellEnd"/>
            <w:r w:rsidRPr="0026420A">
              <w:rPr>
                <w:rFonts w:ascii="Times New Roman" w:hAnsi="Times New Roman" w:cs="Times New Roman"/>
                <w:sz w:val="20"/>
                <w:szCs w:val="20"/>
                <w:lang w:val="ro-RO"/>
              </w:rPr>
              <w:t xml:space="preserve"> de monedă electronică este chiar o instituție de credit în sensul evocat de art. 45 din proiectul de lege.</w:t>
            </w:r>
          </w:p>
          <w:p w14:paraId="009A356E" w14:textId="77777777" w:rsidR="00A06816" w:rsidRPr="0026420A" w:rsidRDefault="00A06816" w:rsidP="00A06816">
            <w:pPr>
              <w:pStyle w:val="Default"/>
              <w:rPr>
                <w:rFonts w:ascii="Times New Roman" w:hAnsi="Times New Roman" w:cs="Times New Roman"/>
                <w:sz w:val="20"/>
                <w:szCs w:val="20"/>
                <w:lang w:val="ro-RO"/>
              </w:rPr>
            </w:pPr>
            <w:r w:rsidRPr="0026420A">
              <w:rPr>
                <w:rFonts w:ascii="Times New Roman" w:hAnsi="Times New Roman" w:cs="Times New Roman"/>
                <w:sz w:val="20"/>
                <w:szCs w:val="20"/>
                <w:lang w:val="ro-RO"/>
              </w:rPr>
              <w:t>În lipsa unor clarificări exprese, norma poate fi interpretată în sensul obligării instituției emitente să mențină fondurile respective la o altă instituție de credit, generând dependențe operaționale și expuneri suplimentare față de terți.</w:t>
            </w:r>
          </w:p>
          <w:p w14:paraId="37007A7A" w14:textId="77777777" w:rsidR="00A06816" w:rsidRPr="0026420A" w:rsidRDefault="00A06816" w:rsidP="00A06816">
            <w:pPr>
              <w:pStyle w:val="Default"/>
              <w:rPr>
                <w:rFonts w:ascii="Times New Roman" w:hAnsi="Times New Roman" w:cs="Times New Roman"/>
                <w:sz w:val="20"/>
                <w:szCs w:val="20"/>
                <w:lang w:val="ro-RO"/>
              </w:rPr>
            </w:pPr>
            <w:r w:rsidRPr="0026420A">
              <w:rPr>
                <w:rFonts w:ascii="Times New Roman" w:hAnsi="Times New Roman" w:cs="Times New Roman"/>
                <w:sz w:val="20"/>
                <w:szCs w:val="20"/>
                <w:lang w:val="ro-RO"/>
              </w:rPr>
              <w:t>Totodată, opinăm că transferarea unei părți a riscului către alte instituții de credit poate conduce la apariția unor riscuri prin transferarea unei părți semnificative a fondurilor către alte instituții de credit.</w:t>
            </w:r>
          </w:p>
          <w:p w14:paraId="355E7F51" w14:textId="28677908" w:rsidR="00A06816" w:rsidRPr="0026420A" w:rsidRDefault="00A06816" w:rsidP="00A06816">
            <w:pPr>
              <w:pBdr>
                <w:top w:val="none" w:sz="4" w:space="0" w:color="000000"/>
                <w:left w:val="none" w:sz="4" w:space="0" w:color="000000"/>
                <w:bottom w:val="none" w:sz="4" w:space="0" w:color="000000"/>
                <w:right w:val="none" w:sz="4" w:space="0" w:color="000000"/>
              </w:pBdr>
              <w:ind w:firstLine="0"/>
            </w:pPr>
            <w:r w:rsidRPr="0026420A">
              <w:t>La fel, proiectul nu clarifică dacă cerința menținerii a cel puțin 30% din fondurile primite în conturi separate la instituții de credit poate fi îndeplinită prin intermediul emitentului însuși sau presupune plasarea efectivă acestora la o altă instituție de credit, aspect care poate genera dependențe operaționale și expuneri suplimentare față de terți.</w:t>
            </w:r>
          </w:p>
        </w:tc>
        <w:tc>
          <w:tcPr>
            <w:tcW w:w="5281" w:type="dxa"/>
            <w:tcMar>
              <w:top w:w="0" w:type="dxa"/>
              <w:left w:w="108" w:type="dxa"/>
              <w:bottom w:w="0" w:type="dxa"/>
              <w:right w:w="108" w:type="dxa"/>
            </w:tcMar>
          </w:tcPr>
          <w:p w14:paraId="249AFDA0" w14:textId="77777777" w:rsidR="00A06816" w:rsidRPr="00DF2E2F" w:rsidRDefault="00A06816" w:rsidP="00A06816">
            <w:pPr>
              <w:ind w:firstLine="0"/>
              <w:rPr>
                <w:b/>
                <w:bCs/>
              </w:rPr>
            </w:pPr>
            <w:r w:rsidRPr="00DF2E2F">
              <w:rPr>
                <w:b/>
                <w:bCs/>
              </w:rPr>
              <w:t>Nu se acceptă.</w:t>
            </w:r>
          </w:p>
          <w:p w14:paraId="0547200B" w14:textId="6900B52B"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pPr>
            <w:r>
              <w:t xml:space="preserve">Cerința de păstrare a cel puțin 30% din fondurile primite în conturi separate la instituții de credit transpune regimul </w:t>
            </w:r>
            <w:proofErr w:type="spellStart"/>
            <w:r>
              <w:t>MiCA</w:t>
            </w:r>
            <w:proofErr w:type="spellEnd"/>
            <w:r>
              <w:t xml:space="preserve"> privind protecția fondurilor aferente </w:t>
            </w:r>
            <w:proofErr w:type="spellStart"/>
            <w:r>
              <w:t>tokenurilor</w:t>
            </w:r>
            <w:proofErr w:type="spellEnd"/>
            <w:r>
              <w:t xml:space="preserve"> de monedă electronică. Respectiv, c</w:t>
            </w:r>
            <w:r w:rsidRPr="007F4B3F">
              <w:t>erința de la lit. a) este una de segregare — depunerea a cel puțin 30% din fonduri în conturi separate la instituții de credit, în corelare cu art. 89 alin. (1) din Legea nr. 114/2012</w:t>
            </w:r>
            <w:r>
              <w:t xml:space="preserve">, </w:t>
            </w:r>
            <w:r w:rsidRPr="007F4B3F">
              <w:t xml:space="preserve">iar nu de externalizare. Spre deosebire de art. 37, care impune expres, în materia custodiei activelor de rezervă ale </w:t>
            </w:r>
            <w:proofErr w:type="spellStart"/>
            <w:r w:rsidRPr="007F4B3F">
              <w:t>tokenurilor</w:t>
            </w:r>
            <w:proofErr w:type="spellEnd"/>
            <w:r w:rsidRPr="007F4B3F">
              <w:t xml:space="preserve"> raportate la active, ca custodele să fie o persoană juridică diferită de emitent, art. 51 nu conține o asemenea condiție. În consecință, atunci când emitentul este el însuși instituție de credit, cerința celor 30% poate fi îndeplinită în propriile evidențe, prin conturi separate, fără a fi obligat să plaseze fondurile la o altă instituție de credit; riscul invocat al dependenței operaționale și al expunerii față de terți nu derivă din normă.</w:t>
            </w:r>
            <w:r>
              <w:t xml:space="preserve"> Eventuala aplicare a cerinței în cazul în care emitentul este el însuși instituție de credit, inclusiv posibilitatea utilizării unor conturi interne distincte sau plasarea la o altă instituție, reprezintă un aspect tehnic de aplicare ce urmează a fi clarificat prin cadrul secundar, în </w:t>
            </w:r>
            <w:r>
              <w:lastRenderedPageBreak/>
              <w:t>corelare cu Legea nr. 114/2012 și reglementările Băncii Naționale.</w:t>
            </w:r>
          </w:p>
        </w:tc>
      </w:tr>
      <w:tr w:rsidR="00A06816" w:rsidRPr="0026420A" w14:paraId="0A50293A" w14:textId="77777777" w:rsidTr="00080634">
        <w:trPr>
          <w:trHeight w:val="615"/>
        </w:trPr>
        <w:tc>
          <w:tcPr>
            <w:tcW w:w="2206" w:type="dxa"/>
            <w:tcMar>
              <w:top w:w="0" w:type="dxa"/>
              <w:left w:w="108" w:type="dxa"/>
              <w:bottom w:w="0" w:type="dxa"/>
              <w:right w:w="108" w:type="dxa"/>
            </w:tcMar>
          </w:tcPr>
          <w:p w14:paraId="61CFCABB"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7BA14969"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5B332EDA" w14:textId="77777777" w:rsidR="00A06816" w:rsidRPr="0026420A" w:rsidRDefault="00A06816" w:rsidP="00A06816">
            <w:pPr>
              <w:pStyle w:val="Default"/>
              <w:rPr>
                <w:rFonts w:ascii="Times New Roman" w:hAnsi="Times New Roman" w:cs="Times New Roman"/>
                <w:b/>
                <w:bCs/>
                <w:sz w:val="20"/>
                <w:szCs w:val="20"/>
                <w:lang w:val="ro-RO"/>
              </w:rPr>
            </w:pPr>
            <w:r w:rsidRPr="0026420A">
              <w:rPr>
                <w:rFonts w:ascii="Times New Roman" w:hAnsi="Times New Roman" w:cs="Times New Roman"/>
                <w:b/>
                <w:bCs/>
                <w:sz w:val="20"/>
                <w:szCs w:val="20"/>
                <w:lang w:val="ro-RO"/>
              </w:rPr>
              <w:t>Art. 54 Alin. (1), (3), (7)</w:t>
            </w:r>
          </w:p>
          <w:p w14:paraId="5599412D" w14:textId="77777777" w:rsidR="00A06816" w:rsidRPr="00BE0A59" w:rsidRDefault="00A06816" w:rsidP="00A06816">
            <w:pPr>
              <w:pStyle w:val="Default"/>
              <w:rPr>
                <w:rFonts w:ascii="Times New Roman" w:hAnsi="Times New Roman" w:cs="Times New Roman"/>
                <w:sz w:val="20"/>
                <w:szCs w:val="20"/>
                <w:lang w:val="ro-RO"/>
              </w:rPr>
            </w:pPr>
            <w:r w:rsidRPr="00BE0A59">
              <w:rPr>
                <w:rFonts w:ascii="Times New Roman" w:hAnsi="Times New Roman" w:cs="Times New Roman"/>
                <w:sz w:val="20"/>
                <w:szCs w:val="20"/>
                <w:lang w:val="ro-RO"/>
              </w:rPr>
              <w:t xml:space="preserve">Constatăm faptul că proiectul instituie, în mod deliberat, un regim mai restrictiv decât cel prevăzut la art. 60 alin. (1) din Regulamentul (UE) 2023/1114, limitând instituțiile de credit la furnizarea serviciilor de custodie și transfer exclusiv în raport cu </w:t>
            </w:r>
            <w:proofErr w:type="spellStart"/>
            <w:r w:rsidRPr="00BE0A59">
              <w:rPr>
                <w:rFonts w:ascii="Times New Roman" w:hAnsi="Times New Roman" w:cs="Times New Roman"/>
                <w:sz w:val="20"/>
                <w:szCs w:val="20"/>
                <w:lang w:val="ro-RO"/>
              </w:rPr>
              <w:t>tokenurile</w:t>
            </w:r>
            <w:proofErr w:type="spellEnd"/>
            <w:r w:rsidRPr="00BE0A59">
              <w:rPr>
                <w:rFonts w:ascii="Times New Roman" w:hAnsi="Times New Roman" w:cs="Times New Roman"/>
                <w:sz w:val="20"/>
                <w:szCs w:val="20"/>
                <w:lang w:val="ro-RO"/>
              </w:rPr>
              <w:t xml:space="preserve"> raportate la active și </w:t>
            </w:r>
            <w:proofErr w:type="spellStart"/>
            <w:r w:rsidRPr="00BE0A59">
              <w:rPr>
                <w:rFonts w:ascii="Times New Roman" w:hAnsi="Times New Roman" w:cs="Times New Roman"/>
                <w:sz w:val="20"/>
                <w:szCs w:val="20"/>
                <w:lang w:val="ro-RO"/>
              </w:rPr>
              <w:t>tokenurile</w:t>
            </w:r>
            <w:proofErr w:type="spellEnd"/>
            <w:r w:rsidRPr="00BE0A59">
              <w:rPr>
                <w:rFonts w:ascii="Times New Roman" w:hAnsi="Times New Roman" w:cs="Times New Roman"/>
                <w:sz w:val="20"/>
                <w:szCs w:val="20"/>
                <w:lang w:val="ro-RO"/>
              </w:rPr>
              <w:t xml:space="preserve"> de monedă electronică emise de acestea.</w:t>
            </w:r>
          </w:p>
          <w:p w14:paraId="73664F55" w14:textId="77777777" w:rsidR="00A06816" w:rsidRPr="0026420A" w:rsidRDefault="00A06816" w:rsidP="00A06816">
            <w:pPr>
              <w:pStyle w:val="Default"/>
              <w:rPr>
                <w:rFonts w:ascii="Times New Roman" w:hAnsi="Times New Roman" w:cs="Times New Roman"/>
                <w:sz w:val="20"/>
                <w:szCs w:val="20"/>
                <w:lang w:val="ro-RO"/>
              </w:rPr>
            </w:pPr>
            <w:r w:rsidRPr="0026420A">
              <w:rPr>
                <w:rFonts w:ascii="Times New Roman" w:hAnsi="Times New Roman" w:cs="Times New Roman"/>
                <w:sz w:val="20"/>
                <w:szCs w:val="20"/>
                <w:lang w:val="ro-RO"/>
              </w:rPr>
              <w:t xml:space="preserve">Conform tabelului de concordanță, această opțiune reprezintă o măsură tranzitorie de adaptare graduală a sectorului financiar-bancar național. De cealaltă parte, alin. (3) din </w:t>
            </w:r>
            <w:proofErr w:type="spellStart"/>
            <w:r w:rsidRPr="0026420A">
              <w:rPr>
                <w:rFonts w:ascii="Times New Roman" w:hAnsi="Times New Roman" w:cs="Times New Roman"/>
                <w:sz w:val="20"/>
                <w:szCs w:val="20"/>
                <w:lang w:val="ro-RO"/>
              </w:rPr>
              <w:t>acelaşi</w:t>
            </w:r>
            <w:proofErr w:type="spellEnd"/>
            <w:r w:rsidRPr="0026420A">
              <w:rPr>
                <w:rFonts w:ascii="Times New Roman" w:hAnsi="Times New Roman" w:cs="Times New Roman"/>
                <w:sz w:val="20"/>
                <w:szCs w:val="20"/>
                <w:lang w:val="ro-RO"/>
              </w:rPr>
              <w:t xml:space="preserve"> articol stabilește că societățile de investiții pot furniza, pe calea notificării CNPF, o gamă considerabil mai extinsă de servicii de </w:t>
            </w:r>
            <w:proofErr w:type="spellStart"/>
            <w:r w:rsidRPr="0026420A">
              <w:rPr>
                <w:rFonts w:ascii="Times New Roman" w:hAnsi="Times New Roman" w:cs="Times New Roman"/>
                <w:sz w:val="20"/>
                <w:szCs w:val="20"/>
                <w:lang w:val="ro-RO"/>
              </w:rPr>
              <w:t>criptoactive</w:t>
            </w:r>
            <w:proofErr w:type="spellEnd"/>
            <w:r w:rsidRPr="0026420A">
              <w:rPr>
                <w:rFonts w:ascii="Times New Roman" w:hAnsi="Times New Roman" w:cs="Times New Roman"/>
                <w:sz w:val="20"/>
                <w:szCs w:val="20"/>
                <w:lang w:val="ro-RO"/>
              </w:rPr>
              <w:t xml:space="preserve"> echivalente serviciilor și activităților de investiții pentru care sunt autorizate, inclusiv operarea unei platforme de tranzacționare pentru </w:t>
            </w:r>
            <w:proofErr w:type="spellStart"/>
            <w:r w:rsidRPr="0026420A">
              <w:rPr>
                <w:rFonts w:ascii="Times New Roman" w:hAnsi="Times New Roman" w:cs="Times New Roman"/>
                <w:sz w:val="20"/>
                <w:szCs w:val="20"/>
                <w:lang w:val="ro-RO"/>
              </w:rPr>
              <w:t>criptoactive</w:t>
            </w:r>
            <w:proofErr w:type="spellEnd"/>
            <w:r w:rsidRPr="0026420A">
              <w:rPr>
                <w:rFonts w:ascii="Times New Roman" w:hAnsi="Times New Roman" w:cs="Times New Roman"/>
                <w:sz w:val="20"/>
                <w:szCs w:val="20"/>
                <w:lang w:val="ro-RO"/>
              </w:rPr>
              <w:t xml:space="preserve">, schimbul de </w:t>
            </w:r>
            <w:proofErr w:type="spellStart"/>
            <w:r w:rsidRPr="0026420A">
              <w:rPr>
                <w:rFonts w:ascii="Times New Roman" w:hAnsi="Times New Roman" w:cs="Times New Roman"/>
                <w:sz w:val="20"/>
                <w:szCs w:val="20"/>
                <w:lang w:val="ro-RO"/>
              </w:rPr>
              <w:t>criptoactive</w:t>
            </w:r>
            <w:proofErr w:type="spellEnd"/>
            <w:r w:rsidRPr="0026420A">
              <w:rPr>
                <w:rFonts w:ascii="Times New Roman" w:hAnsi="Times New Roman" w:cs="Times New Roman"/>
                <w:sz w:val="20"/>
                <w:szCs w:val="20"/>
                <w:lang w:val="ro-RO"/>
              </w:rPr>
              <w:t xml:space="preserve">, executarea ordinelor, primirea și transmiterea ordinelor, oferirea de consultanță și administrarea portofoliilor de </w:t>
            </w:r>
            <w:proofErr w:type="spellStart"/>
            <w:r w:rsidRPr="0026420A">
              <w:rPr>
                <w:rFonts w:ascii="Times New Roman" w:hAnsi="Times New Roman" w:cs="Times New Roman"/>
                <w:sz w:val="20"/>
                <w:szCs w:val="20"/>
                <w:lang w:val="ro-RO"/>
              </w:rPr>
              <w:t>criptoactive</w:t>
            </w:r>
            <w:proofErr w:type="spellEnd"/>
            <w:r w:rsidRPr="0026420A">
              <w:rPr>
                <w:rFonts w:ascii="Times New Roman" w:hAnsi="Times New Roman" w:cs="Times New Roman"/>
                <w:sz w:val="20"/>
                <w:szCs w:val="20"/>
                <w:lang w:val="ro-RO"/>
              </w:rPr>
              <w:t xml:space="preserve">. </w:t>
            </w:r>
          </w:p>
          <w:p w14:paraId="36FE76FA" w14:textId="77777777" w:rsidR="00A06816" w:rsidRDefault="00A06816" w:rsidP="00A06816">
            <w:pPr>
              <w:pStyle w:val="Default"/>
              <w:rPr>
                <w:rFonts w:ascii="Times New Roman" w:hAnsi="Times New Roman" w:cs="Times New Roman"/>
                <w:sz w:val="20"/>
                <w:szCs w:val="20"/>
                <w:lang w:val="ro-RO"/>
              </w:rPr>
            </w:pPr>
            <w:r w:rsidRPr="0026420A">
              <w:rPr>
                <w:rFonts w:ascii="Times New Roman" w:hAnsi="Times New Roman" w:cs="Times New Roman"/>
                <w:sz w:val="20"/>
                <w:szCs w:val="20"/>
                <w:lang w:val="ro-RO"/>
              </w:rPr>
              <w:t xml:space="preserve">În acest context, solicităm respectuos stabilirea în contextul alin. (1) al art. 54 unui regim legal compatibil pentru asigurarea posibilității unei alinieri progresive la regimul prevăzut de art. 60 alin. (1) din Regulamentul (UE) 2023/1114 anterior momentului aderării Republicii Moldova la Uniunea Europeană. </w:t>
            </w:r>
          </w:p>
          <w:p w14:paraId="5B271B7A" w14:textId="77777777" w:rsidR="00A06816" w:rsidRDefault="00A06816" w:rsidP="00A06816">
            <w:pPr>
              <w:pStyle w:val="Default"/>
              <w:rPr>
                <w:rFonts w:ascii="Times New Roman" w:hAnsi="Times New Roman" w:cs="Times New Roman"/>
                <w:sz w:val="20"/>
                <w:szCs w:val="20"/>
                <w:lang w:val="ro-RO"/>
              </w:rPr>
            </w:pPr>
            <w:r w:rsidRPr="0026420A">
              <w:rPr>
                <w:rFonts w:ascii="Times New Roman" w:hAnsi="Times New Roman" w:cs="Times New Roman"/>
                <w:sz w:val="20"/>
                <w:szCs w:val="20"/>
                <w:lang w:val="ro-RO"/>
              </w:rPr>
              <w:t xml:space="preserve">Solicităm verificarea caracterului complet și corect al echivalențelor prevăzute la art. 54 alin. (3), inclusiv din perspectiva corespunderii integrale a prevederii cu art. 60 alin. (3) din Regulamentul (UE) 2023/1114. De ex., se observă că lit. b) a art. 54 alin. (3) asimilează operarea unei platforme de tranzacționare pentru </w:t>
            </w:r>
            <w:proofErr w:type="spellStart"/>
            <w:r w:rsidRPr="0026420A">
              <w:rPr>
                <w:rFonts w:ascii="Times New Roman" w:hAnsi="Times New Roman" w:cs="Times New Roman"/>
                <w:sz w:val="20"/>
                <w:szCs w:val="20"/>
                <w:lang w:val="ro-RO"/>
              </w:rPr>
              <w:t>criptoactive</w:t>
            </w:r>
            <w:proofErr w:type="spellEnd"/>
            <w:r w:rsidRPr="0026420A">
              <w:rPr>
                <w:rFonts w:ascii="Times New Roman" w:hAnsi="Times New Roman" w:cs="Times New Roman"/>
                <w:sz w:val="20"/>
                <w:szCs w:val="20"/>
                <w:lang w:val="ro-RO"/>
              </w:rPr>
              <w:t xml:space="preserve"> cu operarea unui sistem multilateral de tranzacționare și a unei piețe reglementate, în timp ce art. 60 alin. (3) lit. b) din Regulamentul (UE) 2023/1114 stabilește echivalența cu operarea unui sistem multilateral de tranzacționare și a unui sistem organizat de tranzacționare. În acest context, solicităm confirmarea caracterului intenționat al acestei soluții și prezentarea argumentelor care au fundamentat abaterea de la textul regulamentului european. </w:t>
            </w:r>
          </w:p>
          <w:p w14:paraId="0655FC2D" w14:textId="77777777" w:rsidR="00A06816" w:rsidRPr="0026420A" w:rsidRDefault="00A06816" w:rsidP="00A06816">
            <w:pPr>
              <w:pStyle w:val="Default"/>
              <w:rPr>
                <w:rFonts w:ascii="Times New Roman" w:hAnsi="Times New Roman" w:cs="Times New Roman"/>
                <w:sz w:val="20"/>
                <w:szCs w:val="20"/>
                <w:lang w:val="ro-RO"/>
              </w:rPr>
            </w:pPr>
            <w:r w:rsidRPr="0026420A">
              <w:rPr>
                <w:rFonts w:ascii="Times New Roman" w:hAnsi="Times New Roman" w:cs="Times New Roman"/>
                <w:sz w:val="20"/>
                <w:szCs w:val="20"/>
                <w:lang w:val="ro-RO"/>
              </w:rPr>
              <w:t xml:space="preserve">Informațiile solicitate pentru notificare includ, printre altele, un aviz sau raport al unui auditor extern TIC independent, dovada deținerii și implementării unor instrumente de monitorizare și analiză a registrelor distribuite (DLT), precum și descrieri ale cadrului de guvernanță, ale mecanismelor de control intern, ale planului de continuitate a activității și ale procedurilor KYC/AML. </w:t>
            </w:r>
          </w:p>
          <w:p w14:paraId="758A4D68" w14:textId="2BB8108F" w:rsidR="00A06816" w:rsidRPr="0026420A" w:rsidRDefault="00A06816" w:rsidP="00A06816">
            <w:pPr>
              <w:pBdr>
                <w:top w:val="none" w:sz="4" w:space="0" w:color="000000"/>
                <w:left w:val="none" w:sz="4" w:space="0" w:color="000000"/>
                <w:bottom w:val="none" w:sz="4" w:space="0" w:color="000000"/>
                <w:right w:val="none" w:sz="4" w:space="0" w:color="000000"/>
              </w:pBdr>
              <w:ind w:firstLine="0"/>
            </w:pPr>
            <w:r w:rsidRPr="0026420A">
              <w:lastRenderedPageBreak/>
              <w:t xml:space="preserve">În cazul entităților deja autorizate și supravegheate (instituțiile de credit aflate sub supravegherea BNM și societățile de investiții aflate sub supravegherea CNPF), o parte semnificativă a acestor elemente face deja obiectul cadrului prudențial și de conduită aplicabil. În acord cu observația formulată la art. 17, recomandăm aplicarea proporțională a cerințelor prevăzute la alin. (7) entităților menționate la alin. (1)-(6), cu recunoașterea cadrelor deja validate de autoritatea de supraveghere competentă și fără impunerea unui audit TIC extern distinct atunci când elementele relevante au fost deja evaluate în cadrul supravegherii sectoriale, în vederea evitării dublării sarcinilor de conformitate. </w:t>
            </w:r>
          </w:p>
        </w:tc>
        <w:tc>
          <w:tcPr>
            <w:tcW w:w="5281" w:type="dxa"/>
            <w:tcMar>
              <w:top w:w="0" w:type="dxa"/>
              <w:left w:w="108" w:type="dxa"/>
              <w:bottom w:w="0" w:type="dxa"/>
              <w:right w:w="108" w:type="dxa"/>
            </w:tcMar>
          </w:tcPr>
          <w:p w14:paraId="4F5FF8FE" w14:textId="77777777" w:rsidR="00A06816" w:rsidRDefault="00A06816" w:rsidP="00A06816">
            <w:pPr>
              <w:ind w:firstLine="0"/>
              <w:rPr>
                <w:b/>
                <w:bCs/>
                <w:iCs/>
              </w:rPr>
            </w:pPr>
            <w:r w:rsidRPr="00BE0A59">
              <w:rPr>
                <w:b/>
                <w:bCs/>
                <w:iCs/>
              </w:rPr>
              <w:lastRenderedPageBreak/>
              <w:t xml:space="preserve">Se acceptă parțial. </w:t>
            </w:r>
          </w:p>
          <w:p w14:paraId="2FE00735" w14:textId="77777777" w:rsidR="00A06816" w:rsidRPr="001F4857" w:rsidRDefault="00A06816" w:rsidP="00A06816">
            <w:pPr>
              <w:ind w:firstLine="0"/>
              <w:rPr>
                <w:iCs/>
              </w:rPr>
            </w:pPr>
            <w:r>
              <w:rPr>
                <w:iCs/>
              </w:rPr>
              <w:t>Referitor la</w:t>
            </w:r>
            <w:r w:rsidRPr="001F4857">
              <w:rPr>
                <w:iCs/>
              </w:rPr>
              <w:t xml:space="preserve"> caracterul restrictiv al alin. (1) față de art. 60 alin. (1) </w:t>
            </w:r>
            <w:proofErr w:type="spellStart"/>
            <w:r w:rsidRPr="001F4857">
              <w:rPr>
                <w:iCs/>
              </w:rPr>
              <w:t>MiCA</w:t>
            </w:r>
            <w:proofErr w:type="spellEnd"/>
            <w:r w:rsidRPr="001F4857">
              <w:rPr>
                <w:iCs/>
              </w:rPr>
              <w:t xml:space="preserve">, reiterăm răspunsul deja formulat la pct.28 din prezentul Tabel de sinteza: limitarea reflectă opțiunea de reglementare etapizată, justificată de statutul de stat terț și de absența mecanismelor de </w:t>
            </w:r>
            <w:proofErr w:type="spellStart"/>
            <w:r w:rsidRPr="001F4857">
              <w:rPr>
                <w:iCs/>
              </w:rPr>
              <w:t>pașaportare</w:t>
            </w:r>
            <w:proofErr w:type="spellEnd"/>
            <w:r w:rsidRPr="001F4857">
              <w:rPr>
                <w:iCs/>
              </w:rPr>
              <w:t xml:space="preserve">, nemodificabilă la această etapă. </w:t>
            </w:r>
          </w:p>
          <w:p w14:paraId="40815B6A" w14:textId="77777777" w:rsidR="00A06816" w:rsidRPr="003F7826" w:rsidRDefault="00A06816" w:rsidP="00A06816">
            <w:pPr>
              <w:ind w:firstLine="0"/>
              <w:rPr>
                <w:iCs/>
              </w:rPr>
            </w:pPr>
            <w:r w:rsidRPr="003F7826">
              <w:rPr>
                <w:iCs/>
              </w:rPr>
              <w:t>În ceea ce privește discrepanța  semnalată la art.54 alin. (3) lit. b), textul prevederii se corectează din „</w:t>
            </w:r>
            <w:r w:rsidRPr="003F7826">
              <w:rPr>
                <w:i/>
              </w:rPr>
              <w:t>piață reglementată</w:t>
            </w:r>
            <w:r w:rsidRPr="003F7826">
              <w:rPr>
                <w:iCs/>
              </w:rPr>
              <w:t>” și „</w:t>
            </w:r>
            <w:r w:rsidRPr="003F7826">
              <w:rPr>
                <w:i/>
              </w:rPr>
              <w:t>sistem organizat de tranzacționare</w:t>
            </w:r>
            <w:r>
              <w:rPr>
                <w:i/>
              </w:rPr>
              <w:t>”</w:t>
            </w:r>
            <w:r w:rsidRPr="003F7826">
              <w:rPr>
                <w:iCs/>
              </w:rPr>
              <w:t xml:space="preserve">. </w:t>
            </w:r>
          </w:p>
          <w:p w14:paraId="55C8902E" w14:textId="3D9CBF35"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pPr>
            <w:r w:rsidRPr="00050946">
              <w:rPr>
                <w:iCs/>
              </w:rPr>
              <w:t>Pentru cerințele de la alin. (7) (audit TIC extern, documentație de guvernanță), aplicarea proporțională în privința entităților deja supravegheate (instituții de credit/societăți de investiții) urmează a fi asigurată prin cadrul secundar, cu recunoașterea elementelor deja validate în supravegherea sectorială, în logica răspunsului dat la pct. 36 și 46 din prezentul Tabel de sinteză.</w:t>
            </w:r>
          </w:p>
        </w:tc>
      </w:tr>
      <w:tr w:rsidR="00A06816" w:rsidRPr="0026420A" w14:paraId="03A997D0" w14:textId="77777777" w:rsidTr="00080634">
        <w:trPr>
          <w:trHeight w:val="615"/>
        </w:trPr>
        <w:tc>
          <w:tcPr>
            <w:tcW w:w="2206" w:type="dxa"/>
            <w:tcMar>
              <w:top w:w="0" w:type="dxa"/>
              <w:left w:w="108" w:type="dxa"/>
              <w:bottom w:w="0" w:type="dxa"/>
              <w:right w:w="108" w:type="dxa"/>
            </w:tcMar>
          </w:tcPr>
          <w:p w14:paraId="69C0E370"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27E23EB1"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41603BF4" w14:textId="77777777" w:rsidR="00A06816" w:rsidRPr="0026420A" w:rsidRDefault="00A06816" w:rsidP="00A06816">
            <w:pPr>
              <w:pStyle w:val="Default"/>
              <w:jc w:val="both"/>
              <w:rPr>
                <w:rFonts w:ascii="Times New Roman" w:hAnsi="Times New Roman" w:cs="Times New Roman"/>
                <w:lang w:val="ro-RO"/>
              </w:rPr>
            </w:pPr>
            <w:r w:rsidRPr="0026420A">
              <w:rPr>
                <w:rFonts w:ascii="Times New Roman" w:hAnsi="Times New Roman" w:cs="Times New Roman"/>
                <w:b/>
                <w:bCs/>
                <w:sz w:val="20"/>
                <w:szCs w:val="20"/>
                <w:lang w:val="ro-RO"/>
              </w:rPr>
              <w:t xml:space="preserve">Art. 61 alin. (1), (3) </w:t>
            </w:r>
          </w:p>
          <w:p w14:paraId="23E8E878" w14:textId="77777777" w:rsidR="00A06816" w:rsidRPr="0026420A" w:rsidRDefault="00A06816" w:rsidP="00A06816">
            <w:pPr>
              <w:pStyle w:val="Default"/>
              <w:rPr>
                <w:rFonts w:ascii="Times New Roman" w:hAnsi="Times New Roman" w:cs="Times New Roman"/>
                <w:sz w:val="20"/>
                <w:szCs w:val="20"/>
                <w:lang w:val="ro-RO"/>
              </w:rPr>
            </w:pPr>
            <w:r w:rsidRPr="0026420A">
              <w:rPr>
                <w:rFonts w:ascii="Times New Roman" w:hAnsi="Times New Roman" w:cs="Times New Roman"/>
                <w:sz w:val="20"/>
                <w:szCs w:val="20"/>
                <w:lang w:val="ro-RO"/>
              </w:rPr>
              <w:t>Norma consacră un principiu corect – necesitatea ca</w:t>
            </w:r>
            <w:r w:rsidRPr="0026420A">
              <w:rPr>
                <w:rFonts w:ascii="Times New Roman" w:hAnsi="Times New Roman" w:cs="Times New Roman"/>
                <w:b/>
                <w:bCs/>
                <w:sz w:val="20"/>
                <w:szCs w:val="20"/>
                <w:lang w:val="ro-RO"/>
              </w:rPr>
              <w:t xml:space="preserve"> </w:t>
            </w:r>
            <w:r w:rsidRPr="0026420A">
              <w:rPr>
                <w:rFonts w:ascii="Times New Roman" w:hAnsi="Times New Roman" w:cs="Times New Roman"/>
                <w:sz w:val="20"/>
                <w:szCs w:val="20"/>
                <w:lang w:val="ro-RO"/>
              </w:rPr>
              <w:t xml:space="preserve">membrii organului de conducere al prestatorului de servicii de </w:t>
            </w:r>
            <w:proofErr w:type="spellStart"/>
            <w:r w:rsidRPr="0026420A">
              <w:rPr>
                <w:rFonts w:ascii="Times New Roman" w:hAnsi="Times New Roman" w:cs="Times New Roman"/>
                <w:sz w:val="20"/>
                <w:szCs w:val="20"/>
                <w:lang w:val="ro-RO"/>
              </w:rPr>
              <w:t>criptoactive</w:t>
            </w:r>
            <w:proofErr w:type="spellEnd"/>
            <w:r w:rsidRPr="0026420A">
              <w:rPr>
                <w:rFonts w:ascii="Times New Roman" w:hAnsi="Times New Roman" w:cs="Times New Roman"/>
                <w:sz w:val="20"/>
                <w:szCs w:val="20"/>
                <w:lang w:val="ro-RO"/>
              </w:rPr>
              <w:t>, să aibă cunoștințe, competențe și experiență, însă nu stabilește criterii suficiente pentru aprecierea caracterului adecvat al cunoștințelor, competențelor și experienței membrilor organului de conducere, ceea ce poate genera un grad ridicat de apreciere și aplicări neuniforme.</w:t>
            </w:r>
          </w:p>
          <w:p w14:paraId="392AFB7E" w14:textId="77777777" w:rsidR="00A06816" w:rsidRPr="0026420A" w:rsidRDefault="00A06816" w:rsidP="00A06816">
            <w:pPr>
              <w:pStyle w:val="Default"/>
              <w:rPr>
                <w:rFonts w:ascii="Times New Roman" w:hAnsi="Times New Roman" w:cs="Times New Roman"/>
                <w:sz w:val="20"/>
                <w:szCs w:val="20"/>
                <w:lang w:val="ro-RO"/>
              </w:rPr>
            </w:pPr>
            <w:r w:rsidRPr="0026420A">
              <w:rPr>
                <w:rFonts w:ascii="Times New Roman" w:hAnsi="Times New Roman" w:cs="Times New Roman"/>
                <w:sz w:val="20"/>
                <w:szCs w:val="20"/>
                <w:lang w:val="ro-RO"/>
              </w:rPr>
              <w:t xml:space="preserve">Cel </w:t>
            </w:r>
            <w:proofErr w:type="spellStart"/>
            <w:r w:rsidRPr="0026420A">
              <w:rPr>
                <w:rFonts w:ascii="Times New Roman" w:hAnsi="Times New Roman" w:cs="Times New Roman"/>
                <w:sz w:val="20"/>
                <w:szCs w:val="20"/>
                <w:lang w:val="ro-RO"/>
              </w:rPr>
              <w:t>puţin</w:t>
            </w:r>
            <w:proofErr w:type="spellEnd"/>
            <w:r w:rsidRPr="0026420A">
              <w:rPr>
                <w:rFonts w:ascii="Times New Roman" w:hAnsi="Times New Roman" w:cs="Times New Roman"/>
                <w:sz w:val="20"/>
                <w:szCs w:val="20"/>
                <w:lang w:val="ro-RO"/>
              </w:rPr>
              <w:t xml:space="preserve"> generează următoarele incertitudini: cunoștințele, competențe și experiența trebuie să fie adecvate pentru ce? cât de aprofundate? în ce domenii? cum se demonstrează caracterul adecvat?</w:t>
            </w:r>
          </w:p>
          <w:p w14:paraId="40FED795" w14:textId="77777777" w:rsidR="00A06816" w:rsidRPr="0026420A" w:rsidRDefault="00A06816" w:rsidP="00A06816">
            <w:pPr>
              <w:pStyle w:val="Default"/>
              <w:jc w:val="both"/>
              <w:rPr>
                <w:rFonts w:ascii="Times New Roman" w:hAnsi="Times New Roman" w:cs="Times New Roman"/>
                <w:sz w:val="20"/>
                <w:szCs w:val="20"/>
                <w:lang w:val="ro-RO"/>
              </w:rPr>
            </w:pPr>
            <w:r w:rsidRPr="0026420A">
              <w:rPr>
                <w:rFonts w:ascii="Times New Roman" w:hAnsi="Times New Roman" w:cs="Times New Roman"/>
                <w:sz w:val="20"/>
                <w:szCs w:val="20"/>
                <w:lang w:val="ro-RO"/>
              </w:rPr>
              <w:t xml:space="preserve">Prevederea permite CNPF să recurgă la măsuri cu impact semnificativ asupra drepturilor acționarilor și asupra activității furnizorului de servicii de </w:t>
            </w:r>
            <w:proofErr w:type="spellStart"/>
            <w:r w:rsidRPr="0026420A">
              <w:rPr>
                <w:rFonts w:ascii="Times New Roman" w:hAnsi="Times New Roman" w:cs="Times New Roman"/>
                <w:sz w:val="20"/>
                <w:szCs w:val="20"/>
                <w:lang w:val="ro-RO"/>
              </w:rPr>
              <w:t>criptoactive</w:t>
            </w:r>
            <w:proofErr w:type="spellEnd"/>
            <w:r w:rsidRPr="0026420A">
              <w:rPr>
                <w:rFonts w:ascii="Times New Roman" w:hAnsi="Times New Roman" w:cs="Times New Roman"/>
                <w:sz w:val="20"/>
                <w:szCs w:val="20"/>
                <w:lang w:val="ro-RO"/>
              </w:rPr>
              <w:t xml:space="preserve">, inclusiv formularea unor cereri de pronunțare a unor „cereri de hotărâri judecătorești”, aplicarea de sancțiuni sau suspendarea drepturilor de vot aferente participațiilor calificate, „în cazul în care este probabil ca influența exercitată de acționarii sau asociații, direcți sau indirecți, care dețin participații calificate în cadrul unui furnizor de servicii de </w:t>
            </w:r>
            <w:proofErr w:type="spellStart"/>
            <w:r w:rsidRPr="0026420A">
              <w:rPr>
                <w:rFonts w:ascii="Times New Roman" w:hAnsi="Times New Roman" w:cs="Times New Roman"/>
                <w:sz w:val="20"/>
                <w:szCs w:val="20"/>
                <w:lang w:val="ro-RO"/>
              </w:rPr>
              <w:t>criptoactive</w:t>
            </w:r>
            <w:proofErr w:type="spellEnd"/>
            <w:r w:rsidRPr="0026420A">
              <w:rPr>
                <w:rFonts w:ascii="Times New Roman" w:hAnsi="Times New Roman" w:cs="Times New Roman"/>
                <w:sz w:val="20"/>
                <w:szCs w:val="20"/>
                <w:lang w:val="ro-RO"/>
              </w:rPr>
              <w:t xml:space="preserve"> să dăuneze administrării corecte și prudente a furnizorului de servicii de </w:t>
            </w:r>
            <w:proofErr w:type="spellStart"/>
            <w:r w:rsidRPr="0026420A">
              <w:rPr>
                <w:rFonts w:ascii="Times New Roman" w:hAnsi="Times New Roman" w:cs="Times New Roman"/>
                <w:sz w:val="20"/>
                <w:szCs w:val="20"/>
                <w:lang w:val="ro-RO"/>
              </w:rPr>
              <w:t>criptoactive</w:t>
            </w:r>
            <w:proofErr w:type="spellEnd"/>
            <w:r w:rsidRPr="0026420A">
              <w:rPr>
                <w:rFonts w:ascii="Times New Roman" w:hAnsi="Times New Roman" w:cs="Times New Roman"/>
                <w:sz w:val="20"/>
                <w:szCs w:val="20"/>
                <w:lang w:val="ro-RO"/>
              </w:rPr>
              <w:t>”.</w:t>
            </w:r>
          </w:p>
          <w:p w14:paraId="0BA13B8F" w14:textId="77777777" w:rsidR="00A06816" w:rsidRPr="0026420A" w:rsidRDefault="00A06816" w:rsidP="00A06816">
            <w:pPr>
              <w:pStyle w:val="Default"/>
              <w:rPr>
                <w:rFonts w:ascii="Times New Roman" w:hAnsi="Times New Roman" w:cs="Times New Roman"/>
                <w:sz w:val="20"/>
                <w:szCs w:val="20"/>
                <w:lang w:val="ro-RO"/>
              </w:rPr>
            </w:pPr>
            <w:r w:rsidRPr="0026420A">
              <w:rPr>
                <w:rFonts w:ascii="Times New Roman" w:hAnsi="Times New Roman" w:cs="Times New Roman"/>
                <w:sz w:val="20"/>
                <w:szCs w:val="20"/>
                <w:lang w:val="ro-RO"/>
              </w:rPr>
              <w:t>Totuși, norma nu delimitează suficient condițiile și circumstanțele în care pot fi dispuse asemenea măsuri și nici criteriile în baza cărora se apreciază existența riscurilor care justifică intervenția autorității competente. La fel, norma nu concretizează la ce fel de cereri de hotărâri judecătorești se referă, ce tipuri de sancțiuni pot fi aplicate și pentru ce fapte sau circumstanțe concrete acestea pot fi dispuse. La fel și în cazul măsurii de suspendare a drepturilor de vot, măsură ce are un impact semnificativ asupra drepturilor asociate participațiilor deținute, proiectul nu stabilește condițiile și criteriile care pot justifica aplicarea acesteia.</w:t>
            </w:r>
          </w:p>
          <w:p w14:paraId="2D8BE192" w14:textId="43769AEA" w:rsidR="00A06816" w:rsidRPr="0026420A" w:rsidRDefault="00A06816" w:rsidP="00A06816">
            <w:pPr>
              <w:pBdr>
                <w:top w:val="none" w:sz="4" w:space="0" w:color="000000"/>
                <w:left w:val="none" w:sz="4" w:space="0" w:color="000000"/>
                <w:bottom w:val="none" w:sz="4" w:space="0" w:color="000000"/>
                <w:right w:val="none" w:sz="4" w:space="0" w:color="000000"/>
              </w:pBdr>
              <w:ind w:firstLine="0"/>
            </w:pPr>
            <w:r w:rsidRPr="0026420A">
              <w:lastRenderedPageBreak/>
              <w:t>Având în vedere caracterul intruziv al acestor măsuri și impactul lor potențial asupra drepturilor acționarilor, se consideră necesară o reglementare mai clară a condițiilor de aplicare.</w:t>
            </w:r>
          </w:p>
        </w:tc>
        <w:tc>
          <w:tcPr>
            <w:tcW w:w="5281" w:type="dxa"/>
            <w:tcMar>
              <w:top w:w="0" w:type="dxa"/>
              <w:left w:w="108" w:type="dxa"/>
              <w:bottom w:w="0" w:type="dxa"/>
              <w:right w:w="108" w:type="dxa"/>
            </w:tcMar>
          </w:tcPr>
          <w:p w14:paraId="3821E52A" w14:textId="77777777" w:rsidR="00A06816" w:rsidRDefault="00A06816" w:rsidP="00A06816">
            <w:pPr>
              <w:ind w:firstLine="0"/>
              <w:rPr>
                <w:b/>
                <w:bCs/>
                <w:iCs/>
              </w:rPr>
            </w:pPr>
            <w:r w:rsidRPr="00BE0A59">
              <w:rPr>
                <w:b/>
                <w:bCs/>
                <w:iCs/>
              </w:rPr>
              <w:lastRenderedPageBreak/>
              <w:t xml:space="preserve">Nu se acceptă. </w:t>
            </w:r>
          </w:p>
          <w:p w14:paraId="6A596CA3" w14:textId="07615427"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pPr>
            <w:r w:rsidRPr="00BD5D1A">
              <w:rPr>
                <w:iCs/>
              </w:rPr>
              <w:t xml:space="preserve">Observația vizează aceeași normă deja examinată la pct. 127 din prezentul Tabel de sinteză, iar răspunsul rămâne valabil: textul transpune fidel </w:t>
            </w:r>
            <w:proofErr w:type="spellStart"/>
            <w:r w:rsidRPr="00BD5D1A">
              <w:rPr>
                <w:iCs/>
              </w:rPr>
              <w:t>MiCA</w:t>
            </w:r>
            <w:proofErr w:type="spellEnd"/>
            <w:r w:rsidRPr="00BD5D1A">
              <w:rPr>
                <w:iCs/>
              </w:rPr>
              <w:t xml:space="preserve">, formula „în special” indică un standard minim, neexhaustiv, iar art. 56 prevede deja obligația de prezentare a dovezilor privind reputația și competența. Metodologia de evaluare a caracterului adecvat și criteriile de apreciere urmează a fi detaliate prin acte secundare, în linie cu ghidurile comune EBA/ESMA. Măsurile privind participațiile calificate (inclusiv suspendarea drepturilor de vot) transpun competențe </w:t>
            </w:r>
            <w:proofErr w:type="spellStart"/>
            <w:r w:rsidRPr="00BD5D1A">
              <w:rPr>
                <w:iCs/>
              </w:rPr>
              <w:t>MiCA</w:t>
            </w:r>
            <w:proofErr w:type="spellEnd"/>
            <w:r w:rsidRPr="00BD5D1A">
              <w:rPr>
                <w:iCs/>
              </w:rPr>
              <w:t xml:space="preserve"> și se exercită prin act administrativ motivat, cu garanțiile Codului administrativ și controlul instanței, condițiile concrete fiind apreciate în funcție de riscul pentru administrarea prudentă a furnizorului.</w:t>
            </w:r>
          </w:p>
        </w:tc>
      </w:tr>
      <w:tr w:rsidR="00A06816" w:rsidRPr="0026420A" w14:paraId="1C649855" w14:textId="77777777" w:rsidTr="00080634">
        <w:trPr>
          <w:trHeight w:val="615"/>
        </w:trPr>
        <w:tc>
          <w:tcPr>
            <w:tcW w:w="2206" w:type="dxa"/>
            <w:tcMar>
              <w:top w:w="0" w:type="dxa"/>
              <w:left w:w="108" w:type="dxa"/>
              <w:bottom w:w="0" w:type="dxa"/>
              <w:right w:w="108" w:type="dxa"/>
            </w:tcMar>
          </w:tcPr>
          <w:p w14:paraId="78B3F23B"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2A60C888"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3BE6121E" w14:textId="77777777" w:rsidR="00A06816" w:rsidRPr="0026420A" w:rsidRDefault="00A06816" w:rsidP="00A06816">
            <w:pPr>
              <w:pStyle w:val="Default"/>
              <w:jc w:val="both"/>
              <w:rPr>
                <w:rFonts w:ascii="Times New Roman" w:hAnsi="Times New Roman" w:cs="Times New Roman"/>
                <w:b/>
                <w:bCs/>
                <w:lang w:val="ro-RO"/>
              </w:rPr>
            </w:pPr>
            <w:r w:rsidRPr="0026420A">
              <w:rPr>
                <w:rFonts w:ascii="Times New Roman" w:hAnsi="Times New Roman" w:cs="Times New Roman"/>
                <w:b/>
                <w:bCs/>
                <w:sz w:val="20"/>
                <w:szCs w:val="20"/>
                <w:lang w:val="ro-RO"/>
              </w:rPr>
              <w:t xml:space="preserve">Art. 63 alin. (3) </w:t>
            </w:r>
          </w:p>
          <w:p w14:paraId="0451DA59" w14:textId="77777777" w:rsidR="00A06816" w:rsidRPr="0026420A" w:rsidRDefault="00A06816" w:rsidP="00A06816">
            <w:pPr>
              <w:pStyle w:val="Default"/>
              <w:rPr>
                <w:rFonts w:ascii="Times New Roman" w:hAnsi="Times New Roman" w:cs="Times New Roman"/>
                <w:sz w:val="20"/>
                <w:szCs w:val="20"/>
                <w:lang w:val="ro-RO"/>
              </w:rPr>
            </w:pPr>
            <w:r w:rsidRPr="0026420A">
              <w:rPr>
                <w:rFonts w:ascii="Times New Roman" w:hAnsi="Times New Roman" w:cs="Times New Roman"/>
                <w:sz w:val="20"/>
                <w:szCs w:val="20"/>
                <w:lang w:val="ro-RO"/>
              </w:rPr>
              <w:t xml:space="preserve">Norma prevede păstrarea fondurilor clienților furnizorilor de servicii de </w:t>
            </w:r>
            <w:proofErr w:type="spellStart"/>
            <w:r w:rsidRPr="0026420A">
              <w:rPr>
                <w:rFonts w:ascii="Times New Roman" w:hAnsi="Times New Roman" w:cs="Times New Roman"/>
                <w:sz w:val="20"/>
                <w:szCs w:val="20"/>
                <w:lang w:val="ro-RO"/>
              </w:rPr>
              <w:t>criptoactive</w:t>
            </w:r>
            <w:proofErr w:type="spellEnd"/>
            <w:r w:rsidRPr="0026420A">
              <w:rPr>
                <w:rFonts w:ascii="Times New Roman" w:hAnsi="Times New Roman" w:cs="Times New Roman"/>
                <w:sz w:val="20"/>
                <w:szCs w:val="20"/>
                <w:lang w:val="ro-RO"/>
              </w:rPr>
              <w:t xml:space="preserve"> o instituție de credit ori la Banca Națională, fără a delimita suficient responsabilitățile participanților implicați din perspectiva obligațiilor de prevenire și combatere a spălării banilor și finanțării terorismului.</w:t>
            </w:r>
          </w:p>
          <w:p w14:paraId="5DF9D010" w14:textId="53324CD1" w:rsidR="00A06816" w:rsidRPr="0026420A" w:rsidRDefault="00A06816" w:rsidP="00A06816">
            <w:pPr>
              <w:pBdr>
                <w:top w:val="none" w:sz="4" w:space="0" w:color="000000"/>
                <w:left w:val="none" w:sz="4" w:space="0" w:color="000000"/>
                <w:bottom w:val="none" w:sz="4" w:space="0" w:color="000000"/>
                <w:right w:val="none" w:sz="4" w:space="0" w:color="000000"/>
              </w:pBdr>
              <w:ind w:firstLine="0"/>
            </w:pPr>
            <w:r w:rsidRPr="0026420A">
              <w:t xml:space="preserve">În practică, păstrarea agregată a fondurilor mai multor clienți într-un cont deschis pe numele furnizorului de servicii de </w:t>
            </w:r>
            <w:proofErr w:type="spellStart"/>
            <w:r w:rsidRPr="0026420A">
              <w:t>criptoactive</w:t>
            </w:r>
            <w:proofErr w:type="spellEnd"/>
            <w:r w:rsidRPr="0026420A">
              <w:t xml:space="preserve"> poate reduce transparența asupra tranzacțiilor individuale și asupra beneficiarilor efectivi ai fluxurilor financiare, ceea ce poate afecta capacitatea Băncilor de a realiza monitorizarea continuă a relației de afaceri, identificarea tranzacțiilor neobișnuite și raportarea activităților suspecte, în conformitate cu cerințele Legii nr. 308/2017.</w:t>
            </w:r>
          </w:p>
        </w:tc>
        <w:tc>
          <w:tcPr>
            <w:tcW w:w="5281" w:type="dxa"/>
            <w:tcMar>
              <w:top w:w="0" w:type="dxa"/>
              <w:left w:w="108" w:type="dxa"/>
              <w:bottom w:w="0" w:type="dxa"/>
              <w:right w:w="108" w:type="dxa"/>
            </w:tcMar>
          </w:tcPr>
          <w:p w14:paraId="4BB9C884" w14:textId="77777777" w:rsidR="00A06816" w:rsidRDefault="00A06816" w:rsidP="00A06816">
            <w:pPr>
              <w:ind w:firstLine="0"/>
              <w:rPr>
                <w:b/>
                <w:bCs/>
                <w:iCs/>
              </w:rPr>
            </w:pPr>
            <w:r w:rsidRPr="00BE0A59">
              <w:rPr>
                <w:b/>
                <w:bCs/>
                <w:iCs/>
              </w:rPr>
              <w:t xml:space="preserve">Nu se acceptă. </w:t>
            </w:r>
          </w:p>
          <w:p w14:paraId="53AFDAAA" w14:textId="314E3A95"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pPr>
            <w:r w:rsidRPr="00DF5DD6">
              <w:rPr>
                <w:iCs/>
              </w:rPr>
              <w:t xml:space="preserve">Reiterăm răspunsul deja formulat la pct.126 din prezentul Tabel de sinteză. Art. 63 alin. (2)–(3): norma transpune fidel cerința </w:t>
            </w:r>
            <w:proofErr w:type="spellStart"/>
            <w:r w:rsidRPr="00DF5DD6">
              <w:rPr>
                <w:iCs/>
              </w:rPr>
              <w:t>MiCA</w:t>
            </w:r>
            <w:proofErr w:type="spellEnd"/>
            <w:r w:rsidRPr="00DF5DD6">
              <w:rPr>
                <w:iCs/>
              </w:rPr>
              <w:t xml:space="preserve"> de protejare a fondurilor clienților prin păstrarea la o instituție de credit sau la banca centrală, separat de fondurile proprii, iar scopul ei este protecția clienților, nu reglementarea relației comerciale bancă–CASP. Aspectele privind transparența asupra beneficiarilor efectivi în cazul conturilor agregate, monitorizarea continuă și raportarea tranzacțiilor suspecte țin de regimul AML/CFT (Legea nr. 308/2017) și de actele sale de punere în aplicare, nu de obiectul prezentului proiect.</w:t>
            </w:r>
          </w:p>
        </w:tc>
      </w:tr>
      <w:tr w:rsidR="00A06816" w:rsidRPr="0026420A" w14:paraId="2468C44D" w14:textId="77777777" w:rsidTr="00080634">
        <w:trPr>
          <w:trHeight w:val="615"/>
        </w:trPr>
        <w:tc>
          <w:tcPr>
            <w:tcW w:w="2206" w:type="dxa"/>
            <w:tcMar>
              <w:top w:w="0" w:type="dxa"/>
              <w:left w:w="108" w:type="dxa"/>
              <w:bottom w:w="0" w:type="dxa"/>
              <w:right w:w="108" w:type="dxa"/>
            </w:tcMar>
          </w:tcPr>
          <w:p w14:paraId="1CEA0B97"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59CB5F2B"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212A3CAC" w14:textId="77777777" w:rsidR="00A06816" w:rsidRPr="0026420A" w:rsidRDefault="00A06816" w:rsidP="00A06816">
            <w:pPr>
              <w:pStyle w:val="Default"/>
              <w:jc w:val="both"/>
              <w:rPr>
                <w:rFonts w:ascii="Times New Roman" w:hAnsi="Times New Roman" w:cs="Times New Roman"/>
                <w:b/>
                <w:bCs/>
                <w:lang w:val="ro-RO"/>
              </w:rPr>
            </w:pPr>
            <w:r w:rsidRPr="0026420A">
              <w:rPr>
                <w:rFonts w:ascii="Times New Roman" w:hAnsi="Times New Roman" w:cs="Times New Roman"/>
                <w:b/>
                <w:bCs/>
                <w:sz w:val="20"/>
                <w:szCs w:val="20"/>
                <w:lang w:val="ro-RO"/>
              </w:rPr>
              <w:t xml:space="preserve">Art. 74 </w:t>
            </w:r>
          </w:p>
          <w:p w14:paraId="6C666474" w14:textId="77777777" w:rsidR="00A06816" w:rsidRPr="0026420A" w:rsidRDefault="00A06816" w:rsidP="00A06816">
            <w:pPr>
              <w:pStyle w:val="Default"/>
              <w:rPr>
                <w:rFonts w:ascii="Times New Roman" w:hAnsi="Times New Roman" w:cs="Times New Roman"/>
                <w:sz w:val="20"/>
                <w:szCs w:val="20"/>
                <w:lang w:val="ro-RO"/>
              </w:rPr>
            </w:pPr>
            <w:r w:rsidRPr="0026420A">
              <w:rPr>
                <w:rFonts w:ascii="Times New Roman" w:hAnsi="Times New Roman" w:cs="Times New Roman"/>
                <w:sz w:val="20"/>
                <w:szCs w:val="20"/>
                <w:lang w:val="ro-RO"/>
              </w:rPr>
              <w:t>Propunem asigurarea unei corelări exprese a cerințelor prevăzute la art. 74 privind evaluarea adecvării, obligațiile de informare și raportarea către clienți cu regimul deja consacrat de legislația privind piețele instrumentelor financiare și activitățile de investiții, în măsura în care acestea urmăresc obiective comparabile de protecție a investitorilor.</w:t>
            </w:r>
          </w:p>
          <w:p w14:paraId="6A0EE11D" w14:textId="2F28AB68" w:rsidR="00A06816" w:rsidRPr="0026420A" w:rsidRDefault="00A06816" w:rsidP="00A06816">
            <w:pPr>
              <w:pBdr>
                <w:top w:val="none" w:sz="4" w:space="0" w:color="000000"/>
                <w:left w:val="none" w:sz="4" w:space="0" w:color="000000"/>
                <w:bottom w:val="none" w:sz="4" w:space="0" w:color="000000"/>
                <w:right w:val="none" w:sz="4" w:space="0" w:color="000000"/>
              </w:pBdr>
              <w:ind w:firstLine="0"/>
            </w:pPr>
            <w:r w:rsidRPr="0026420A">
              <w:t>Pentru a evita instituirea unor standarde paralele și divergente aplicabile aceleiași entități și pentru a permite reutilizarea proceselor și a documentației deja implementate în temeiul cadrului privind piețele instrumentelor financiare și activitățile de investiții, recomandăm corelarea expresă a cerințelor de evaluare a adecvării, de informare a clienților și de prezentare a costurilor și taxelor cu regimul corespunzător din legislația privind piețele instrumentelor financiare, inclusiv prin coordonarea actelor normative subsecvente emise de CNPF în cele două domenii</w:t>
            </w:r>
            <w:r w:rsidRPr="0026420A">
              <w:rPr>
                <w:b/>
                <w:bCs/>
              </w:rPr>
              <w:t>.</w:t>
            </w:r>
          </w:p>
        </w:tc>
        <w:tc>
          <w:tcPr>
            <w:tcW w:w="5281" w:type="dxa"/>
            <w:tcMar>
              <w:top w:w="0" w:type="dxa"/>
              <w:left w:w="108" w:type="dxa"/>
              <w:bottom w:w="0" w:type="dxa"/>
              <w:right w:w="108" w:type="dxa"/>
            </w:tcMar>
          </w:tcPr>
          <w:p w14:paraId="46447299" w14:textId="77777777" w:rsidR="00A06816" w:rsidRDefault="00A06816" w:rsidP="00A06816">
            <w:pPr>
              <w:ind w:firstLine="0"/>
              <w:rPr>
                <w:b/>
                <w:bCs/>
                <w:iCs/>
              </w:rPr>
            </w:pPr>
            <w:r w:rsidRPr="00BE0A59">
              <w:rPr>
                <w:b/>
                <w:bCs/>
                <w:iCs/>
              </w:rPr>
              <w:t xml:space="preserve">Se ia act. </w:t>
            </w:r>
          </w:p>
          <w:p w14:paraId="57DF1656" w14:textId="4AED2BCD"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pPr>
            <w:r w:rsidRPr="00735E5A">
              <w:rPr>
                <w:iCs/>
              </w:rPr>
              <w:t xml:space="preserve">Cerințele de evaluare a adecvării, informare și raportare către clienți transpun regimul </w:t>
            </w:r>
            <w:proofErr w:type="spellStart"/>
            <w:r w:rsidRPr="00735E5A">
              <w:rPr>
                <w:iCs/>
              </w:rPr>
              <w:t>MiCA</w:t>
            </w:r>
            <w:proofErr w:type="spellEnd"/>
            <w:r w:rsidRPr="00735E5A">
              <w:rPr>
                <w:iCs/>
              </w:rPr>
              <w:t xml:space="preserve">, construit pe o logică apropiată cadrului privind piețele instrumentelor financiare </w:t>
            </w:r>
            <w:proofErr w:type="spellStart"/>
            <w:r w:rsidRPr="00735E5A">
              <w:rPr>
                <w:iCs/>
              </w:rPr>
              <w:t>MiFID</w:t>
            </w:r>
            <w:proofErr w:type="spellEnd"/>
            <w:r w:rsidRPr="00735E5A">
              <w:rPr>
                <w:iCs/>
              </w:rPr>
              <w:t xml:space="preserve"> II. Corelarea cu legislația privind piețele instrumentelor financiare și activitățile de investiții poate fi asigurată la nivelul actelor normative secundare ale Comisiei Naționale, pentru a evita standardele paralele și pentru a permite reutilizarea proceselor deja implementate de entitățile autorizate, fără a fi necesară o intervenție la nivelul legii primare.</w:t>
            </w:r>
          </w:p>
        </w:tc>
      </w:tr>
      <w:tr w:rsidR="00A06816" w:rsidRPr="0026420A" w14:paraId="4288DEAD" w14:textId="77777777" w:rsidTr="00080634">
        <w:trPr>
          <w:trHeight w:val="615"/>
        </w:trPr>
        <w:tc>
          <w:tcPr>
            <w:tcW w:w="2206" w:type="dxa"/>
            <w:tcMar>
              <w:top w:w="0" w:type="dxa"/>
              <w:left w:w="108" w:type="dxa"/>
              <w:bottom w:w="0" w:type="dxa"/>
              <w:right w:w="108" w:type="dxa"/>
            </w:tcMar>
          </w:tcPr>
          <w:p w14:paraId="6FBE7D18"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79D1E43F"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07B6379C" w14:textId="77777777" w:rsidR="00A06816" w:rsidRPr="0026420A" w:rsidRDefault="00A06816" w:rsidP="00A06816">
            <w:pPr>
              <w:pStyle w:val="Default"/>
              <w:jc w:val="both"/>
              <w:rPr>
                <w:rFonts w:ascii="Times New Roman" w:hAnsi="Times New Roman" w:cs="Times New Roman"/>
                <w:b/>
                <w:bCs/>
                <w:lang w:val="ro-RO"/>
              </w:rPr>
            </w:pPr>
            <w:r w:rsidRPr="0026420A">
              <w:rPr>
                <w:rFonts w:ascii="Times New Roman" w:hAnsi="Times New Roman" w:cs="Times New Roman"/>
                <w:b/>
                <w:bCs/>
                <w:sz w:val="20"/>
                <w:szCs w:val="20"/>
                <w:lang w:val="ro-RO"/>
              </w:rPr>
              <w:t xml:space="preserve">Art. 78 alin. (3) </w:t>
            </w:r>
          </w:p>
          <w:p w14:paraId="748010DE" w14:textId="77777777" w:rsidR="00A06816" w:rsidRPr="0026420A" w:rsidRDefault="00A06816" w:rsidP="00A06816">
            <w:pPr>
              <w:pStyle w:val="Default"/>
              <w:rPr>
                <w:rFonts w:ascii="Times New Roman" w:hAnsi="Times New Roman" w:cs="Times New Roman"/>
                <w:sz w:val="20"/>
                <w:szCs w:val="20"/>
                <w:lang w:val="ro-RO"/>
              </w:rPr>
            </w:pPr>
            <w:r w:rsidRPr="0026420A">
              <w:rPr>
                <w:rFonts w:ascii="Times New Roman" w:hAnsi="Times New Roman" w:cs="Times New Roman"/>
                <w:sz w:val="20"/>
                <w:szCs w:val="20"/>
                <w:lang w:val="ro-RO"/>
              </w:rPr>
              <w:t>Având în vedere că prevederea extinde aplicabilitatea normelor privind abuzul de piață asupra acțiunilor și omisiunilor săvârșite și în alte state, se consideră oportună clarificarea criteriilor de conexiune care justifică exercitarea competențelor autorităților naționale, precum și a raportului cu competențele autorităților competente din alte jurisdicții, în vederea evitării suprapunerii procedurilor și a eventualelor conflicte de competență.</w:t>
            </w:r>
          </w:p>
          <w:p w14:paraId="70141380" w14:textId="77777777" w:rsidR="00A06816" w:rsidRPr="0026420A" w:rsidRDefault="00A06816" w:rsidP="00A06816">
            <w:pPr>
              <w:pStyle w:val="Default"/>
              <w:rPr>
                <w:rFonts w:ascii="Times New Roman" w:hAnsi="Times New Roman" w:cs="Times New Roman"/>
                <w:sz w:val="20"/>
                <w:szCs w:val="20"/>
                <w:lang w:val="ro-RO"/>
              </w:rPr>
            </w:pPr>
            <w:r w:rsidRPr="0026420A">
              <w:rPr>
                <w:rFonts w:ascii="Times New Roman" w:hAnsi="Times New Roman" w:cs="Times New Roman"/>
                <w:sz w:val="20"/>
                <w:szCs w:val="20"/>
                <w:lang w:val="ro-RO"/>
              </w:rPr>
              <w:lastRenderedPageBreak/>
              <w:t xml:space="preserve">Prin criterii de conexiune avem în vedere stabilirea de exemplu faptul că </w:t>
            </w:r>
            <w:proofErr w:type="spellStart"/>
            <w:r w:rsidRPr="0026420A">
              <w:rPr>
                <w:rFonts w:ascii="Times New Roman" w:hAnsi="Times New Roman" w:cs="Times New Roman"/>
                <w:sz w:val="20"/>
                <w:szCs w:val="20"/>
                <w:lang w:val="ro-RO"/>
              </w:rPr>
              <w:t>criptoactivul</w:t>
            </w:r>
            <w:proofErr w:type="spellEnd"/>
            <w:r w:rsidRPr="0026420A">
              <w:rPr>
                <w:rFonts w:ascii="Times New Roman" w:hAnsi="Times New Roman" w:cs="Times New Roman"/>
                <w:sz w:val="20"/>
                <w:szCs w:val="20"/>
                <w:lang w:val="ro-RO"/>
              </w:rPr>
              <w:t xml:space="preserve"> este admis la tranzacționare în Republica Moldova, cererea de admitere la tranzacționare a fost depusă în Republica Moldova, autorul faptei este rezident al Republicii Moldova, fapta produce efecte asupra pieței </w:t>
            </w:r>
            <w:proofErr w:type="spellStart"/>
            <w:r w:rsidRPr="0026420A">
              <w:rPr>
                <w:rFonts w:ascii="Times New Roman" w:hAnsi="Times New Roman" w:cs="Times New Roman"/>
                <w:sz w:val="20"/>
                <w:szCs w:val="20"/>
                <w:lang w:val="ro-RO"/>
              </w:rPr>
              <w:t>critpo</w:t>
            </w:r>
            <w:proofErr w:type="spellEnd"/>
            <w:r w:rsidRPr="0026420A">
              <w:rPr>
                <w:rFonts w:ascii="Times New Roman" w:hAnsi="Times New Roman" w:cs="Times New Roman"/>
                <w:sz w:val="20"/>
                <w:szCs w:val="20"/>
                <w:lang w:val="ro-RO"/>
              </w:rPr>
              <w:t xml:space="preserve"> din Republica Moldova, furnizorul de servicii de </w:t>
            </w:r>
            <w:proofErr w:type="spellStart"/>
            <w:r w:rsidRPr="0026420A">
              <w:rPr>
                <w:rFonts w:ascii="Times New Roman" w:hAnsi="Times New Roman" w:cs="Times New Roman"/>
                <w:sz w:val="20"/>
                <w:szCs w:val="20"/>
                <w:lang w:val="ro-RO"/>
              </w:rPr>
              <w:t>criptoactive</w:t>
            </w:r>
            <w:proofErr w:type="spellEnd"/>
            <w:r w:rsidRPr="0026420A">
              <w:rPr>
                <w:rFonts w:ascii="Times New Roman" w:hAnsi="Times New Roman" w:cs="Times New Roman"/>
                <w:sz w:val="20"/>
                <w:szCs w:val="20"/>
                <w:lang w:val="ro-RO"/>
              </w:rPr>
              <w:t xml:space="preserve"> este autorizat în Republica Moldova, investitorii afectați sunt din Republica Moldova ș.a.m.d.</w:t>
            </w:r>
          </w:p>
          <w:p w14:paraId="042E3FB3" w14:textId="4D3D0345" w:rsidR="00A06816" w:rsidRPr="0026420A" w:rsidRDefault="00A06816" w:rsidP="00A06816">
            <w:pPr>
              <w:pBdr>
                <w:top w:val="none" w:sz="4" w:space="0" w:color="000000"/>
                <w:left w:val="none" w:sz="4" w:space="0" w:color="000000"/>
                <w:bottom w:val="none" w:sz="4" w:space="0" w:color="000000"/>
                <w:right w:val="none" w:sz="4" w:space="0" w:color="000000"/>
              </w:pBdr>
              <w:ind w:firstLine="0"/>
            </w:pPr>
            <w:r w:rsidRPr="0026420A">
              <w:t>Având în vedere impactul semnificativ pe care aceste aspecte îl pot avea asupra drepturilor și obligațiilor participanților la piață, se consideră că acestea necesită o reglementare suficient de clară la nivelul legii și nu pot fi lăsate exclusiv pentru a fi dezvoltate prin acte normative subordonate acesteia.</w:t>
            </w:r>
          </w:p>
        </w:tc>
        <w:tc>
          <w:tcPr>
            <w:tcW w:w="5281" w:type="dxa"/>
            <w:tcMar>
              <w:top w:w="0" w:type="dxa"/>
              <w:left w:w="108" w:type="dxa"/>
              <w:bottom w:w="0" w:type="dxa"/>
              <w:right w:w="108" w:type="dxa"/>
            </w:tcMar>
          </w:tcPr>
          <w:p w14:paraId="38B34BF4" w14:textId="77777777" w:rsidR="00A06816" w:rsidRDefault="00A06816" w:rsidP="00A06816">
            <w:pPr>
              <w:ind w:firstLine="0"/>
              <w:rPr>
                <w:b/>
                <w:bCs/>
                <w:iCs/>
              </w:rPr>
            </w:pPr>
            <w:r w:rsidRPr="00BE0A59">
              <w:rPr>
                <w:b/>
                <w:bCs/>
                <w:iCs/>
              </w:rPr>
              <w:lastRenderedPageBreak/>
              <w:t xml:space="preserve">Se acceptă parțial. </w:t>
            </w:r>
          </w:p>
          <w:p w14:paraId="517599F8" w14:textId="77777777" w:rsidR="00A06816" w:rsidRPr="001E2A4E" w:rsidRDefault="00A06816" w:rsidP="00A06816">
            <w:pPr>
              <w:ind w:firstLine="0"/>
              <w:rPr>
                <w:iCs/>
              </w:rPr>
            </w:pPr>
            <w:r w:rsidRPr="001E2A4E">
              <w:rPr>
                <w:iCs/>
              </w:rPr>
              <w:t xml:space="preserve">Regimul privind abuzul de piață transpune soluția </w:t>
            </w:r>
            <w:proofErr w:type="spellStart"/>
            <w:r w:rsidRPr="001E2A4E">
              <w:rPr>
                <w:iCs/>
              </w:rPr>
              <w:t>MiCA</w:t>
            </w:r>
            <w:proofErr w:type="spellEnd"/>
            <w:r w:rsidRPr="001E2A4E">
              <w:rPr>
                <w:iCs/>
              </w:rPr>
              <w:t xml:space="preserve">, potrivit căreia normele se aplică și acțiunilor sau omisiunilor săvârșite în afara jurisdicției, dacă acestea se referă la </w:t>
            </w:r>
            <w:proofErr w:type="spellStart"/>
            <w:r w:rsidRPr="001E2A4E">
              <w:rPr>
                <w:iCs/>
              </w:rPr>
              <w:t>criptoactive</w:t>
            </w:r>
            <w:proofErr w:type="spellEnd"/>
            <w:r w:rsidRPr="001E2A4E">
              <w:rPr>
                <w:iCs/>
              </w:rPr>
              <w:t xml:space="preserve"> admise la tranzacționare sau pentru care a fost depusă o cerere de admitere la tranzacționare.</w:t>
            </w:r>
          </w:p>
          <w:p w14:paraId="7D4E5E69" w14:textId="27A0A021"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pPr>
            <w:r w:rsidRPr="001E2A4E">
              <w:rPr>
                <w:iCs/>
              </w:rPr>
              <w:t xml:space="preserve">Totuși, pentru consolidarea securității juridice și evitarea interpretărilor extensive, se vor insera clarificări privind criteriile de conexiune cu Republica Moldova. Acestea vor </w:t>
            </w:r>
            <w:r w:rsidRPr="001E2A4E">
              <w:rPr>
                <w:iCs/>
              </w:rPr>
              <w:lastRenderedPageBreak/>
              <w:t xml:space="preserve">stabili regula de principiu potrivit căreia aplicarea normelor în privința faptelor săvârșite în afara Republicii Moldova este justificată atunci când fapta are legătură cu piața </w:t>
            </w:r>
            <w:proofErr w:type="spellStart"/>
            <w:r w:rsidRPr="001E2A4E">
              <w:rPr>
                <w:iCs/>
              </w:rPr>
              <w:t>criptoactivelor</w:t>
            </w:r>
            <w:proofErr w:type="spellEnd"/>
            <w:r w:rsidRPr="001E2A4E">
              <w:rPr>
                <w:iCs/>
              </w:rPr>
              <w:t xml:space="preserve"> din Republica Moldova, cu o platformă de tranzacționare operată de un furnizor autorizat în Republica Moldova, cu un furnizor de servicii de </w:t>
            </w:r>
            <w:proofErr w:type="spellStart"/>
            <w:r w:rsidRPr="001E2A4E">
              <w:rPr>
                <w:iCs/>
              </w:rPr>
              <w:t>criptoactive</w:t>
            </w:r>
            <w:proofErr w:type="spellEnd"/>
            <w:r w:rsidRPr="001E2A4E">
              <w:rPr>
                <w:iCs/>
              </w:rPr>
              <w:t xml:space="preserve"> autorizat în Republica Moldova sau produce ori este susceptibilă să producă efecte asupra deținătorilor, clienților sau integrității pieței </w:t>
            </w:r>
            <w:proofErr w:type="spellStart"/>
            <w:r w:rsidRPr="001E2A4E">
              <w:rPr>
                <w:iCs/>
              </w:rPr>
              <w:t>criptoactivelor</w:t>
            </w:r>
            <w:proofErr w:type="spellEnd"/>
            <w:r w:rsidRPr="001E2A4E">
              <w:rPr>
                <w:iCs/>
              </w:rPr>
              <w:t xml:space="preserve"> din Republica Moldova.</w:t>
            </w:r>
          </w:p>
        </w:tc>
      </w:tr>
      <w:tr w:rsidR="00A06816" w:rsidRPr="0026420A" w14:paraId="2DDE79A5" w14:textId="77777777" w:rsidTr="00080634">
        <w:trPr>
          <w:trHeight w:val="615"/>
        </w:trPr>
        <w:tc>
          <w:tcPr>
            <w:tcW w:w="2206" w:type="dxa"/>
            <w:tcMar>
              <w:top w:w="0" w:type="dxa"/>
              <w:left w:w="108" w:type="dxa"/>
              <w:bottom w:w="0" w:type="dxa"/>
              <w:right w:w="108" w:type="dxa"/>
            </w:tcMar>
          </w:tcPr>
          <w:p w14:paraId="61FF3477"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168CB610"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582BCE14" w14:textId="77777777" w:rsidR="00A06816" w:rsidRPr="0026420A" w:rsidRDefault="00A06816" w:rsidP="00A06816">
            <w:pPr>
              <w:pStyle w:val="Default"/>
              <w:jc w:val="both"/>
              <w:rPr>
                <w:rFonts w:ascii="Times New Roman" w:hAnsi="Times New Roman" w:cs="Times New Roman"/>
                <w:b/>
                <w:bCs/>
                <w:sz w:val="20"/>
                <w:szCs w:val="20"/>
                <w:lang w:val="ro-RO"/>
              </w:rPr>
            </w:pPr>
            <w:r w:rsidRPr="0026420A">
              <w:rPr>
                <w:rFonts w:ascii="Times New Roman" w:hAnsi="Times New Roman" w:cs="Times New Roman"/>
                <w:b/>
                <w:bCs/>
                <w:sz w:val="20"/>
                <w:szCs w:val="20"/>
                <w:lang w:val="ro-RO"/>
              </w:rPr>
              <w:t>Art. 84 alin. (1)</w:t>
            </w:r>
          </w:p>
          <w:p w14:paraId="238DC908" w14:textId="77777777" w:rsidR="00A06816" w:rsidRPr="0026420A" w:rsidRDefault="00A06816" w:rsidP="00A06816">
            <w:pPr>
              <w:pStyle w:val="Default"/>
              <w:rPr>
                <w:rFonts w:ascii="Times New Roman" w:hAnsi="Times New Roman" w:cs="Times New Roman"/>
                <w:sz w:val="20"/>
                <w:szCs w:val="20"/>
                <w:lang w:val="ro-RO"/>
              </w:rPr>
            </w:pPr>
            <w:r w:rsidRPr="0026420A">
              <w:rPr>
                <w:rFonts w:ascii="Times New Roman" w:hAnsi="Times New Roman" w:cs="Times New Roman"/>
                <w:sz w:val="20"/>
                <w:szCs w:val="20"/>
                <w:lang w:val="ro-RO"/>
              </w:rPr>
              <w:t xml:space="preserve">Prevederea instituie obligația oricărei persoane care pregătește sau execută cu titlu profesional tranzacții cu </w:t>
            </w:r>
            <w:proofErr w:type="spellStart"/>
            <w:r w:rsidRPr="0026420A">
              <w:rPr>
                <w:rFonts w:ascii="Times New Roman" w:hAnsi="Times New Roman" w:cs="Times New Roman"/>
                <w:sz w:val="20"/>
                <w:szCs w:val="20"/>
                <w:lang w:val="ro-RO"/>
              </w:rPr>
              <w:t>criptoactive</w:t>
            </w:r>
            <w:proofErr w:type="spellEnd"/>
            <w:r w:rsidRPr="0026420A">
              <w:rPr>
                <w:rFonts w:ascii="Times New Roman" w:hAnsi="Times New Roman" w:cs="Times New Roman"/>
                <w:sz w:val="20"/>
                <w:szCs w:val="20"/>
                <w:lang w:val="ro-RO"/>
              </w:rPr>
              <w:t xml:space="preserve"> de a implementa mecanisme de prevenire și detectare a abuzului de piață și de a raporta CNPF orice suspiciune rezonabilă privind existența sau probabilitatea</w:t>
            </w:r>
            <w:r w:rsidRPr="0026420A">
              <w:rPr>
                <w:rFonts w:ascii="Times New Roman" w:hAnsi="Times New Roman" w:cs="Times New Roman"/>
                <w:lang w:val="ro-RO"/>
              </w:rPr>
              <w:t xml:space="preserve"> </w:t>
            </w:r>
            <w:r w:rsidRPr="0026420A">
              <w:rPr>
                <w:rFonts w:ascii="Times New Roman" w:hAnsi="Times New Roman" w:cs="Times New Roman"/>
                <w:sz w:val="20"/>
                <w:szCs w:val="20"/>
                <w:lang w:val="ro-RO"/>
              </w:rPr>
              <w:t>comiterii unui abuz de piață, cu impact direct asupra costurilor și organizării activității entităților vizate.</w:t>
            </w:r>
          </w:p>
          <w:p w14:paraId="116603BD" w14:textId="77777777" w:rsidR="00A06816" w:rsidRPr="0026420A" w:rsidRDefault="00A06816" w:rsidP="00A06816">
            <w:pPr>
              <w:pStyle w:val="Default"/>
              <w:rPr>
                <w:rFonts w:ascii="Times New Roman" w:hAnsi="Times New Roman" w:cs="Times New Roman"/>
                <w:sz w:val="20"/>
                <w:szCs w:val="20"/>
                <w:lang w:val="ro-RO"/>
              </w:rPr>
            </w:pPr>
            <w:r w:rsidRPr="0026420A">
              <w:rPr>
                <w:rFonts w:ascii="Times New Roman" w:hAnsi="Times New Roman" w:cs="Times New Roman"/>
                <w:sz w:val="20"/>
                <w:szCs w:val="20"/>
                <w:lang w:val="ro-RO"/>
              </w:rPr>
              <w:t xml:space="preserve">Textul proiectului nu delimitează suficient categoriile de persoane vizate, criteriile în baza cărora se apreciază existența unei „suspiciuni rezonabile” și nici circumstanțele în care se poate considera că un abuz de piață „este probabil să fie comis”. Respectiv, nu apare ca fiind clară nici noțiunea de „persoană care pregătește sau execută cu titlu profesional tranzacții cu </w:t>
            </w:r>
            <w:proofErr w:type="spellStart"/>
            <w:r w:rsidRPr="0026420A">
              <w:rPr>
                <w:rFonts w:ascii="Times New Roman" w:hAnsi="Times New Roman" w:cs="Times New Roman"/>
                <w:sz w:val="20"/>
                <w:szCs w:val="20"/>
                <w:lang w:val="ro-RO"/>
              </w:rPr>
              <w:t>criptoactive</w:t>
            </w:r>
            <w:proofErr w:type="spellEnd"/>
            <w:r w:rsidRPr="0026420A">
              <w:rPr>
                <w:rFonts w:ascii="Times New Roman" w:hAnsi="Times New Roman" w:cs="Times New Roman"/>
                <w:sz w:val="20"/>
                <w:szCs w:val="20"/>
                <w:lang w:val="ro-RO"/>
              </w:rPr>
              <w:t xml:space="preserve">”, dacă aceasta vizează exclusiv furnizorii de servicii de </w:t>
            </w:r>
            <w:proofErr w:type="spellStart"/>
            <w:r w:rsidRPr="0026420A">
              <w:rPr>
                <w:rFonts w:ascii="Times New Roman" w:hAnsi="Times New Roman" w:cs="Times New Roman"/>
                <w:sz w:val="20"/>
                <w:szCs w:val="20"/>
                <w:lang w:val="ro-RO"/>
              </w:rPr>
              <w:t>criptoactive</w:t>
            </w:r>
            <w:proofErr w:type="spellEnd"/>
            <w:r w:rsidRPr="0026420A">
              <w:rPr>
                <w:rFonts w:ascii="Times New Roman" w:hAnsi="Times New Roman" w:cs="Times New Roman"/>
                <w:sz w:val="20"/>
                <w:szCs w:val="20"/>
                <w:lang w:val="ro-RO"/>
              </w:rPr>
              <w:t xml:space="preserve"> sau poate include și alte categorii de participanți implicați în procesarea sau executarea tranzacțiilor.</w:t>
            </w:r>
          </w:p>
          <w:p w14:paraId="2F314ED1" w14:textId="11AA163F" w:rsidR="00A06816" w:rsidRPr="0026420A" w:rsidRDefault="00A06816" w:rsidP="00A06816">
            <w:pPr>
              <w:pBdr>
                <w:top w:val="none" w:sz="4" w:space="0" w:color="000000"/>
                <w:left w:val="none" w:sz="4" w:space="0" w:color="000000"/>
                <w:bottom w:val="none" w:sz="4" w:space="0" w:color="000000"/>
                <w:right w:val="none" w:sz="4" w:space="0" w:color="000000"/>
              </w:pBdr>
              <w:ind w:firstLine="0"/>
            </w:pPr>
            <w:r w:rsidRPr="0026420A">
              <w:t>Având în vedere impactul semnificativ pe care mecanismele de monitorizare, detectare și raportare a suspiciunilor de abuz de piață îl pot avea asupra activității entităților vizate, se consideră că elementele esențiale aferente acestor obligații trebuie să beneficieze de un grad suficient de previzibilitate la nivelul legii și nu pot fi lăsate exclusiv spre detaliere prin acte normative subordonate acesteia.</w:t>
            </w:r>
          </w:p>
        </w:tc>
        <w:tc>
          <w:tcPr>
            <w:tcW w:w="5281" w:type="dxa"/>
            <w:tcMar>
              <w:top w:w="0" w:type="dxa"/>
              <w:left w:w="108" w:type="dxa"/>
              <w:bottom w:w="0" w:type="dxa"/>
              <w:right w:w="108" w:type="dxa"/>
            </w:tcMar>
          </w:tcPr>
          <w:p w14:paraId="45242549" w14:textId="77777777" w:rsidR="00A06816" w:rsidRDefault="00A06816" w:rsidP="00A06816">
            <w:pPr>
              <w:ind w:firstLine="0"/>
              <w:rPr>
                <w:b/>
                <w:bCs/>
                <w:iCs/>
              </w:rPr>
            </w:pPr>
            <w:r w:rsidRPr="00BE0A59">
              <w:rPr>
                <w:b/>
                <w:bCs/>
                <w:iCs/>
              </w:rPr>
              <w:t xml:space="preserve">Nu se acceptă. </w:t>
            </w:r>
          </w:p>
          <w:p w14:paraId="11A97AF3" w14:textId="16B7366B"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pPr>
            <w:r w:rsidRPr="003F0AB7">
              <w:rPr>
                <w:iCs/>
              </w:rPr>
              <w:t>Reiterăm răspunsul deja formulat la pct.128 din prezentul Tabel de sinteză.</w:t>
            </w:r>
            <w:r>
              <w:rPr>
                <w:iCs/>
              </w:rPr>
              <w:t xml:space="preserve"> </w:t>
            </w:r>
            <w:r w:rsidRPr="003F0AB7">
              <w:rPr>
                <w:iCs/>
              </w:rPr>
              <w:t xml:space="preserve">Norma reproduce obligația </w:t>
            </w:r>
            <w:proofErr w:type="spellStart"/>
            <w:r w:rsidRPr="003F0AB7">
              <w:rPr>
                <w:iCs/>
              </w:rPr>
              <w:t>MiCA</w:t>
            </w:r>
            <w:proofErr w:type="spellEnd"/>
            <w:r w:rsidRPr="003F0AB7">
              <w:rPr>
                <w:iCs/>
              </w:rPr>
              <w:t xml:space="preserve"> de detectare și raportare a suspiciunilor de abuz de piață, iar noțiunile de „persoană care pregătește sau execută cu titlu profesional tranzacții” și „suspiciune rezonabilă” sunt concepte autonome ale regimului european. Procedura ulterioară este reglementată la art. 86, iar criteriile operaționale, modelele și pragurile urmează a fi dezvoltate prin cadrul secundar, în temeiul </w:t>
            </w:r>
            <w:r>
              <w:rPr>
                <w:iCs/>
              </w:rPr>
              <w:t>atribuțiilor</w:t>
            </w:r>
            <w:r w:rsidRPr="003F0AB7">
              <w:rPr>
                <w:iCs/>
              </w:rPr>
              <w:t xml:space="preserve"> exprese a CNPF și în aliniere la standardele ESMA, conform arhitecturii pe niveluri a </w:t>
            </w:r>
            <w:proofErr w:type="spellStart"/>
            <w:r w:rsidRPr="003F0AB7">
              <w:rPr>
                <w:iCs/>
              </w:rPr>
              <w:t>MiCA</w:t>
            </w:r>
            <w:proofErr w:type="spellEnd"/>
            <w:r w:rsidRPr="003F0AB7">
              <w:rPr>
                <w:iCs/>
              </w:rPr>
              <w:t>.</w:t>
            </w:r>
          </w:p>
        </w:tc>
      </w:tr>
      <w:tr w:rsidR="00A06816" w:rsidRPr="0026420A" w14:paraId="1ABBBFFF" w14:textId="77777777" w:rsidTr="00080634">
        <w:trPr>
          <w:trHeight w:val="615"/>
        </w:trPr>
        <w:tc>
          <w:tcPr>
            <w:tcW w:w="2206" w:type="dxa"/>
            <w:tcMar>
              <w:top w:w="0" w:type="dxa"/>
              <w:left w:w="108" w:type="dxa"/>
              <w:bottom w:w="0" w:type="dxa"/>
              <w:right w:w="108" w:type="dxa"/>
            </w:tcMar>
          </w:tcPr>
          <w:p w14:paraId="640405AE"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095AD20F"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0DAF52A2" w14:textId="77777777" w:rsidR="00A06816" w:rsidRPr="0026420A" w:rsidRDefault="00A06816" w:rsidP="00A06816">
            <w:pPr>
              <w:pStyle w:val="Default"/>
              <w:jc w:val="both"/>
              <w:rPr>
                <w:rFonts w:ascii="Times New Roman" w:hAnsi="Times New Roman" w:cs="Times New Roman"/>
                <w:b/>
                <w:bCs/>
                <w:sz w:val="20"/>
                <w:szCs w:val="20"/>
                <w:lang w:val="ro-RO"/>
              </w:rPr>
            </w:pPr>
            <w:r w:rsidRPr="0026420A">
              <w:rPr>
                <w:rFonts w:ascii="Times New Roman" w:hAnsi="Times New Roman" w:cs="Times New Roman"/>
                <w:b/>
                <w:bCs/>
                <w:sz w:val="20"/>
                <w:szCs w:val="20"/>
                <w:lang w:val="ro-RO"/>
              </w:rPr>
              <w:t>Art. 97 alin. (1)</w:t>
            </w:r>
          </w:p>
          <w:p w14:paraId="1A01C754" w14:textId="77777777" w:rsidR="00A06816" w:rsidRPr="0026420A" w:rsidRDefault="00A06816" w:rsidP="00A06816">
            <w:pPr>
              <w:pStyle w:val="Default"/>
              <w:rPr>
                <w:rFonts w:ascii="Times New Roman" w:hAnsi="Times New Roman" w:cs="Times New Roman"/>
                <w:sz w:val="20"/>
                <w:szCs w:val="20"/>
                <w:lang w:val="ro-RO"/>
              </w:rPr>
            </w:pPr>
            <w:r w:rsidRPr="0026420A">
              <w:rPr>
                <w:rFonts w:ascii="Times New Roman" w:hAnsi="Times New Roman" w:cs="Times New Roman"/>
                <w:sz w:val="20"/>
                <w:szCs w:val="20"/>
                <w:lang w:val="ro-RO"/>
              </w:rPr>
              <w:t>Prevederea indică faptul că, sancțiunile pot fi aplicate de către autoritățile competente, în funcție de aria de competență conform art.85.</w:t>
            </w:r>
          </w:p>
          <w:p w14:paraId="51489704" w14:textId="77777777" w:rsidR="00A06816" w:rsidRPr="0026420A" w:rsidRDefault="00A06816" w:rsidP="00A06816">
            <w:pPr>
              <w:pStyle w:val="Default"/>
              <w:rPr>
                <w:rFonts w:ascii="Times New Roman" w:hAnsi="Times New Roman" w:cs="Times New Roman"/>
                <w:sz w:val="20"/>
                <w:szCs w:val="20"/>
                <w:lang w:val="ro-RO"/>
              </w:rPr>
            </w:pPr>
            <w:r w:rsidRPr="0026420A">
              <w:rPr>
                <w:rFonts w:ascii="Times New Roman" w:hAnsi="Times New Roman" w:cs="Times New Roman"/>
                <w:sz w:val="20"/>
                <w:szCs w:val="20"/>
                <w:lang w:val="ro-RO"/>
              </w:rPr>
              <w:t xml:space="preserve">Prevederile art. 85 însă nu delimitează clar sfera de competență a CNPF și BNM asupra „instituțiilor de credit”. Respectiv, considerăm necesară reglementarea mai clară a delimitare a atribuțiilor inclusiv </w:t>
            </w:r>
            <w:r w:rsidRPr="0026420A">
              <w:rPr>
                <w:rFonts w:ascii="Times New Roman" w:hAnsi="Times New Roman" w:cs="Times New Roman"/>
                <w:sz w:val="20"/>
                <w:szCs w:val="20"/>
                <w:lang w:val="ro-RO"/>
              </w:rPr>
              <w:lastRenderedPageBreak/>
              <w:t>sub aspectul măsurilor și sancțiunilor aplicabile entităților care, prin natura activității desfășurate, se află simultan sub supravegherea Băncii Naționale a Moldovei și a Comisiei Naționale a Pieței Financiare.</w:t>
            </w:r>
          </w:p>
          <w:p w14:paraId="68D64274" w14:textId="77777777" w:rsidR="00A06816" w:rsidRPr="0026420A" w:rsidRDefault="00A06816" w:rsidP="00A06816">
            <w:pPr>
              <w:pStyle w:val="Default"/>
              <w:rPr>
                <w:rFonts w:ascii="Times New Roman" w:hAnsi="Times New Roman" w:cs="Times New Roman"/>
                <w:sz w:val="20"/>
                <w:szCs w:val="20"/>
                <w:lang w:val="ro-RO"/>
              </w:rPr>
            </w:pPr>
            <w:r w:rsidRPr="0026420A">
              <w:rPr>
                <w:rFonts w:ascii="Times New Roman" w:hAnsi="Times New Roman" w:cs="Times New Roman"/>
                <w:sz w:val="20"/>
                <w:szCs w:val="20"/>
                <w:lang w:val="ro-RO"/>
              </w:rPr>
              <w:t>În lipsa unui mecanism clar de coordonare instituțională și delimitare a competențelor sancționatorii, există riscul aplicării unor sancțiuni paralele pentru aceeași conduită sau pentru același set de circumstanțe faptice, inclusiv de către autorități diferite, ceea ce poate ridica probleme inclusiv din perspectiva principiului non bis in idem și a securității juridice.</w:t>
            </w:r>
          </w:p>
          <w:p w14:paraId="7EC03959" w14:textId="77777777" w:rsidR="00A06816" w:rsidRPr="0026420A" w:rsidRDefault="00A06816" w:rsidP="00A06816">
            <w:pPr>
              <w:pStyle w:val="Default"/>
              <w:rPr>
                <w:rFonts w:ascii="Times New Roman" w:hAnsi="Times New Roman" w:cs="Times New Roman"/>
                <w:sz w:val="20"/>
                <w:szCs w:val="20"/>
                <w:lang w:val="ro-RO"/>
              </w:rPr>
            </w:pPr>
            <w:r w:rsidRPr="0026420A">
              <w:rPr>
                <w:rFonts w:ascii="Times New Roman" w:hAnsi="Times New Roman" w:cs="Times New Roman"/>
                <w:sz w:val="20"/>
                <w:szCs w:val="20"/>
                <w:lang w:val="ro-RO"/>
              </w:rPr>
              <w:t>În opinia noastră, în continuare norma necesită completări suplimentare care să asigure coordonarea corespunzătoare a competențelor de supraveghere și sancționare exercitate de autoritățile competente, inclusiv în vederea evitării dublării măsurilor administrative și asigurării respectării principiului proporționalității și securității juridice pentru entitățile reglementate.</w:t>
            </w:r>
          </w:p>
          <w:p w14:paraId="2F650A0A" w14:textId="77777777" w:rsidR="00A06816" w:rsidRPr="0026420A" w:rsidRDefault="00A06816" w:rsidP="00A06816">
            <w:pPr>
              <w:pStyle w:val="Default"/>
              <w:rPr>
                <w:rFonts w:ascii="Times New Roman" w:hAnsi="Times New Roman" w:cs="Times New Roman"/>
                <w:sz w:val="20"/>
                <w:szCs w:val="20"/>
                <w:lang w:val="ro-RO"/>
              </w:rPr>
            </w:pPr>
            <w:r w:rsidRPr="0026420A">
              <w:rPr>
                <w:rFonts w:ascii="Times New Roman" w:hAnsi="Times New Roman" w:cs="Times New Roman"/>
                <w:sz w:val="20"/>
                <w:szCs w:val="20"/>
                <w:lang w:val="ro-RO"/>
              </w:rPr>
              <w:t>Nu susținem faptul că mecanismele de cooperare prevăzute la art. 87 sau aplicarea principiilor proporționalității și evitării dublei sancționări ar fi lipsite de relevanță. Totuși, acestea nu pot substitui necesitatea unei delimitări suficient de clare a competențelor sancționatorii la nivelul normei primare.</w:t>
            </w:r>
          </w:p>
          <w:p w14:paraId="523EDB1A" w14:textId="77777777" w:rsidR="00A06816" w:rsidRPr="0026420A" w:rsidRDefault="00A06816" w:rsidP="00A06816">
            <w:pPr>
              <w:pStyle w:val="Default"/>
              <w:rPr>
                <w:rFonts w:ascii="Times New Roman" w:hAnsi="Times New Roman" w:cs="Times New Roman"/>
                <w:sz w:val="20"/>
                <w:szCs w:val="20"/>
                <w:lang w:val="ro-RO"/>
              </w:rPr>
            </w:pPr>
            <w:r w:rsidRPr="0026420A">
              <w:rPr>
                <w:rFonts w:ascii="Times New Roman" w:hAnsi="Times New Roman" w:cs="Times New Roman"/>
                <w:sz w:val="20"/>
                <w:szCs w:val="20"/>
                <w:lang w:val="ro-RO"/>
              </w:rPr>
              <w:t>Cooperarea interinstituțională, schimbul de informații, constituirea grupurilor de lucru sau încheierea acordurilor de colaborare reprezintă mecanisme de coordonare a exercitării competențelor, însă nu răspund la întrebarea esențială privind autoritatea competentă să constate încălcarea și să aplice măsurile sau sancțiunile în cazul entităților aflate simultan sub supravegherea BNM și a CNPF.</w:t>
            </w:r>
          </w:p>
          <w:p w14:paraId="50685A7F" w14:textId="77777777" w:rsidR="00A06816" w:rsidRPr="0026420A" w:rsidRDefault="00A06816" w:rsidP="00A06816">
            <w:pPr>
              <w:pStyle w:val="Default"/>
              <w:rPr>
                <w:rFonts w:ascii="Times New Roman" w:hAnsi="Times New Roman" w:cs="Times New Roman"/>
                <w:sz w:val="20"/>
                <w:szCs w:val="20"/>
                <w:lang w:val="ro-RO"/>
              </w:rPr>
            </w:pPr>
            <w:r w:rsidRPr="0026420A">
              <w:rPr>
                <w:rFonts w:ascii="Times New Roman" w:hAnsi="Times New Roman" w:cs="Times New Roman"/>
                <w:sz w:val="20"/>
                <w:szCs w:val="20"/>
                <w:lang w:val="ro-RO"/>
              </w:rPr>
              <w:t>De asemenea, invocarea principiului evitării dublei sancționări nu înlătură necesitatea existenței unor reguli clare de repartizare a competențelor, întrucât principiul non bis in idem operează ulterior declanșării procedurilor și nu reprezintă, prin el însuși, un mecanism de delimitare a competențelor între autorități.</w:t>
            </w:r>
          </w:p>
          <w:p w14:paraId="7C3947DC" w14:textId="4E64A31C" w:rsidR="00A06816" w:rsidRPr="0026420A" w:rsidRDefault="00A06816" w:rsidP="00A06816">
            <w:pPr>
              <w:pBdr>
                <w:top w:val="none" w:sz="4" w:space="0" w:color="000000"/>
                <w:left w:val="none" w:sz="4" w:space="0" w:color="000000"/>
                <w:bottom w:val="none" w:sz="4" w:space="0" w:color="000000"/>
                <w:right w:val="none" w:sz="4" w:space="0" w:color="000000"/>
              </w:pBdr>
              <w:ind w:firstLine="0"/>
            </w:pPr>
            <w:r w:rsidRPr="0026420A">
              <w:t>În acest context, apreciem că norma ar trebui să asigure un nivel suficient de previzibilitate cu privire la repartizarea atribuțiilor de supraveghere și sancționare în cazul entităților care, prin natura activității desfășurate, se află concomitent sub competența mai multor autorități, astfel încât să fie evitate incertitudinile privind autoritatea competentă și riscul suprapunerii procedurilor administrative.</w:t>
            </w:r>
          </w:p>
        </w:tc>
        <w:tc>
          <w:tcPr>
            <w:tcW w:w="5281" w:type="dxa"/>
            <w:tcMar>
              <w:top w:w="0" w:type="dxa"/>
              <w:left w:w="108" w:type="dxa"/>
              <w:bottom w:w="0" w:type="dxa"/>
              <w:right w:w="108" w:type="dxa"/>
            </w:tcMar>
          </w:tcPr>
          <w:p w14:paraId="05D2555F" w14:textId="77777777" w:rsidR="00A06816" w:rsidRDefault="00A06816" w:rsidP="00A06816">
            <w:pPr>
              <w:ind w:firstLine="0"/>
              <w:rPr>
                <w:b/>
                <w:bCs/>
                <w:iCs/>
              </w:rPr>
            </w:pPr>
            <w:r w:rsidRPr="00E33E61">
              <w:rPr>
                <w:b/>
                <w:bCs/>
                <w:iCs/>
              </w:rPr>
              <w:lastRenderedPageBreak/>
              <w:t>Se acceptă parțial.</w:t>
            </w:r>
          </w:p>
          <w:p w14:paraId="7121DC13" w14:textId="77777777" w:rsidR="00A06816" w:rsidRPr="00E33E61" w:rsidRDefault="00A06816" w:rsidP="00A06816">
            <w:pPr>
              <w:ind w:firstLine="0"/>
              <w:rPr>
                <w:iCs/>
              </w:rPr>
            </w:pPr>
            <w:r w:rsidRPr="00E33E61">
              <w:rPr>
                <w:iCs/>
              </w:rPr>
              <w:t xml:space="preserve">Proiectul a fost completat la art. 97 cu norme exprese care delimitează faptele pentru care Comisia Națională este competentă să constate și să aplice măsuri sau sancțiuni, respectiv faptele pentru care Banca Națională este competentă. </w:t>
            </w:r>
          </w:p>
          <w:p w14:paraId="3B04B871" w14:textId="77777777" w:rsidR="00A06816" w:rsidRPr="00E33E61" w:rsidRDefault="00A06816" w:rsidP="00A06816">
            <w:pPr>
              <w:ind w:firstLine="0"/>
              <w:rPr>
                <w:iCs/>
              </w:rPr>
            </w:pPr>
            <w:r w:rsidRPr="00E33E61">
              <w:rPr>
                <w:iCs/>
              </w:rPr>
              <w:t xml:space="preserve">De asemenea, proiectul prevede un mecanism expres de cooperare și consultare în cazul în care aceeași faptă sau fapte </w:t>
            </w:r>
            <w:r w:rsidRPr="00E33E61">
              <w:rPr>
                <w:iCs/>
              </w:rPr>
              <w:lastRenderedPageBreak/>
              <w:t xml:space="preserve">materiale conexe, rezultate din aceeași conduită, intră în aria de competență a ambelor autorități. În asemenea situații, autoritățile competente cooperează și se consultă înainte de aplicarea măsurilor sau sancțiunilor, cu excepția cazurilor urgente, în care întârzierea ar putea prejudicia grav interesele deținătorilor de </w:t>
            </w:r>
            <w:proofErr w:type="spellStart"/>
            <w:r w:rsidRPr="00E33E61">
              <w:rPr>
                <w:iCs/>
              </w:rPr>
              <w:t>criptoactive</w:t>
            </w:r>
            <w:proofErr w:type="spellEnd"/>
            <w:r w:rsidRPr="00E33E61">
              <w:rPr>
                <w:iCs/>
              </w:rPr>
              <w:t>, ale clienților, stabilitatea financiară, funcționarea sistemelor de plăți sau buna funcționare a pieței.</w:t>
            </w:r>
          </w:p>
          <w:p w14:paraId="3C86CEE3" w14:textId="3F24A47D"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pPr>
            <w:r w:rsidRPr="00E33E61">
              <w:rPr>
                <w:iCs/>
              </w:rPr>
              <w:t xml:space="preserve">Prin urmare, observația este valorificată prin clarificarea normei primare, fără a institui un criteriu rigid al „autorității principale” în funcție de statutul entității. O instituție de credit care desfășoară activități privind </w:t>
            </w:r>
            <w:proofErr w:type="spellStart"/>
            <w:r w:rsidRPr="00E33E61">
              <w:rPr>
                <w:iCs/>
              </w:rPr>
              <w:t>criptoactivele</w:t>
            </w:r>
            <w:proofErr w:type="spellEnd"/>
            <w:r w:rsidRPr="00E33E61">
              <w:rPr>
                <w:iCs/>
              </w:rPr>
              <w:t xml:space="preserve"> poate fi supusă competenței Comisiei Naționale pentru încălcările legate de serviciile de </w:t>
            </w:r>
            <w:proofErr w:type="spellStart"/>
            <w:r w:rsidRPr="00E33E61">
              <w:rPr>
                <w:iCs/>
              </w:rPr>
              <w:t>criptoactive</w:t>
            </w:r>
            <w:proofErr w:type="spellEnd"/>
            <w:r w:rsidRPr="00E33E61">
              <w:rPr>
                <w:iCs/>
              </w:rPr>
              <w:t xml:space="preserve">, piața </w:t>
            </w:r>
            <w:proofErr w:type="spellStart"/>
            <w:r w:rsidRPr="00E33E61">
              <w:rPr>
                <w:iCs/>
              </w:rPr>
              <w:t>criptoactivelor</w:t>
            </w:r>
            <w:proofErr w:type="spellEnd"/>
            <w:r w:rsidRPr="00E33E61">
              <w:rPr>
                <w:iCs/>
              </w:rPr>
              <w:t xml:space="preserve"> sau abuzul de piață, iar competenței Băncii Naționale pentru încălcările legate de </w:t>
            </w:r>
            <w:proofErr w:type="spellStart"/>
            <w:r w:rsidRPr="00E33E61">
              <w:rPr>
                <w:iCs/>
              </w:rPr>
              <w:t>tokenurile</w:t>
            </w:r>
            <w:proofErr w:type="spellEnd"/>
            <w:r w:rsidRPr="00E33E61">
              <w:rPr>
                <w:iCs/>
              </w:rPr>
              <w:t xml:space="preserve"> de monedă electronică și de regimul aflat în aria sa de supraveghere. Această soluție permite evitarea dublării procedurilor, respectarea principiului proporționalității și aplicarea principiului evitării sancționării repetate pentru aceeași faptă.</w:t>
            </w:r>
          </w:p>
        </w:tc>
      </w:tr>
      <w:tr w:rsidR="00A06816" w:rsidRPr="0026420A" w14:paraId="3203AB41" w14:textId="77777777" w:rsidTr="00080634">
        <w:trPr>
          <w:trHeight w:val="615"/>
        </w:trPr>
        <w:tc>
          <w:tcPr>
            <w:tcW w:w="2206" w:type="dxa"/>
            <w:tcMar>
              <w:top w:w="0" w:type="dxa"/>
              <w:left w:w="108" w:type="dxa"/>
              <w:bottom w:w="0" w:type="dxa"/>
              <w:right w:w="108" w:type="dxa"/>
            </w:tcMar>
          </w:tcPr>
          <w:p w14:paraId="72A97E41"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6B5D79B3"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7BC7164A" w14:textId="77777777" w:rsidR="00A06816" w:rsidRDefault="00A06816" w:rsidP="00A06816">
            <w:pPr>
              <w:pStyle w:val="Default"/>
              <w:jc w:val="both"/>
              <w:rPr>
                <w:rFonts w:ascii="Times New Roman" w:hAnsi="Times New Roman" w:cs="Times New Roman"/>
                <w:b/>
                <w:bCs/>
                <w:sz w:val="20"/>
                <w:szCs w:val="20"/>
                <w:lang w:val="ro-RO"/>
              </w:rPr>
            </w:pPr>
            <w:r w:rsidRPr="0026420A">
              <w:rPr>
                <w:rFonts w:ascii="Times New Roman" w:hAnsi="Times New Roman" w:cs="Times New Roman"/>
                <w:b/>
                <w:bCs/>
                <w:sz w:val="20"/>
                <w:szCs w:val="20"/>
                <w:lang w:val="ro-RO"/>
              </w:rPr>
              <w:t>General cu privire la sancțiunile impuse în Secțiunea 3 Sancțiunile și măsurile aplicate de autoritățile competente din CAPITOLUL VII AUTORITĂȚILE</w:t>
            </w:r>
            <w:r>
              <w:rPr>
                <w:rFonts w:ascii="Times New Roman" w:hAnsi="Times New Roman" w:cs="Times New Roman"/>
                <w:b/>
                <w:bCs/>
                <w:sz w:val="20"/>
                <w:szCs w:val="20"/>
                <w:lang w:val="ro-RO"/>
              </w:rPr>
              <w:t xml:space="preserve"> </w:t>
            </w:r>
            <w:r w:rsidRPr="0026420A">
              <w:rPr>
                <w:rFonts w:ascii="Times New Roman" w:hAnsi="Times New Roman" w:cs="Times New Roman"/>
                <w:b/>
                <w:bCs/>
                <w:sz w:val="20"/>
                <w:szCs w:val="20"/>
                <w:lang w:val="ro-RO"/>
              </w:rPr>
              <w:t>COMPETENTE.</w:t>
            </w:r>
          </w:p>
          <w:p w14:paraId="1FAF0EA5" w14:textId="77777777" w:rsidR="00A06816" w:rsidRPr="0026420A" w:rsidRDefault="00A06816" w:rsidP="00A06816">
            <w:pPr>
              <w:pStyle w:val="Default"/>
              <w:jc w:val="both"/>
              <w:rPr>
                <w:rFonts w:ascii="Times New Roman" w:hAnsi="Times New Roman" w:cs="Times New Roman"/>
                <w:sz w:val="20"/>
                <w:szCs w:val="20"/>
                <w:lang w:val="ro-RO"/>
              </w:rPr>
            </w:pPr>
            <w:r w:rsidRPr="0026420A">
              <w:rPr>
                <w:rFonts w:ascii="Times New Roman" w:hAnsi="Times New Roman" w:cs="Times New Roman"/>
                <w:sz w:val="20"/>
                <w:szCs w:val="20"/>
                <w:lang w:val="ro-RO"/>
              </w:rPr>
              <w:lastRenderedPageBreak/>
              <w:t xml:space="preserve">Înțelegem faptul că nivelul sancțiunilor propuse urmărește alinierea la cadrul european. Totuși, având în vedere dimensiunea pieței financiare și a debutului ecosistemului </w:t>
            </w:r>
            <w:proofErr w:type="spellStart"/>
            <w:r w:rsidRPr="0026420A">
              <w:rPr>
                <w:rFonts w:ascii="Times New Roman" w:hAnsi="Times New Roman" w:cs="Times New Roman"/>
                <w:sz w:val="20"/>
                <w:szCs w:val="20"/>
                <w:lang w:val="ro-RO"/>
              </w:rPr>
              <w:t>criptoactivelor</w:t>
            </w:r>
            <w:proofErr w:type="spellEnd"/>
            <w:r w:rsidRPr="0026420A">
              <w:rPr>
                <w:rFonts w:ascii="Times New Roman" w:hAnsi="Times New Roman" w:cs="Times New Roman"/>
                <w:sz w:val="20"/>
                <w:szCs w:val="20"/>
                <w:lang w:val="ro-RO"/>
              </w:rPr>
              <w:t xml:space="preserve"> din Republica Moldova, precum și capacitatea economică a participanților potențiali la piață, se consideră oportună reevaluarea caracterului proporțional al cuantumurilor maxime propuse și a mecanismului de individualizare a acestora, astfel încât regimul sancționator să rămână eficient, disuasiv și proporțional, fără a descuraja în mod excesiv dezvoltarea pieței sau accesul unor participanți legitimi. </w:t>
            </w:r>
          </w:p>
          <w:p w14:paraId="19D189DD" w14:textId="77777777" w:rsidR="00A06816" w:rsidRPr="0026420A" w:rsidRDefault="00A06816" w:rsidP="00A06816">
            <w:pPr>
              <w:pStyle w:val="Default"/>
              <w:jc w:val="both"/>
              <w:rPr>
                <w:rFonts w:ascii="Times New Roman" w:hAnsi="Times New Roman" w:cs="Times New Roman"/>
                <w:sz w:val="20"/>
                <w:szCs w:val="20"/>
                <w:lang w:val="ro-RO"/>
              </w:rPr>
            </w:pPr>
            <w:r w:rsidRPr="0026420A">
              <w:rPr>
                <w:rFonts w:ascii="Times New Roman" w:hAnsi="Times New Roman" w:cs="Times New Roman"/>
                <w:sz w:val="20"/>
                <w:szCs w:val="20"/>
                <w:lang w:val="ro-RO"/>
              </w:rPr>
              <w:t xml:space="preserve">Deși cuantumurile respective reproduc logica cadrului european, se consideră necesară evaluarea adecvării acestora la realitățile economice și dimensiunea pieței din Republica Moldova, în vederea asigurării unui echilibru între caracterul disuasiv al sancțiunilor și principiul proporționalității. </w:t>
            </w:r>
          </w:p>
          <w:p w14:paraId="7C12AC0E" w14:textId="16A2A66C" w:rsidR="00A06816" w:rsidRPr="0026420A" w:rsidRDefault="00A06816" w:rsidP="00A06816">
            <w:pPr>
              <w:pBdr>
                <w:top w:val="none" w:sz="4" w:space="0" w:color="000000"/>
                <w:left w:val="none" w:sz="4" w:space="0" w:color="000000"/>
                <w:bottom w:val="none" w:sz="4" w:space="0" w:color="000000"/>
                <w:right w:val="none" w:sz="4" w:space="0" w:color="000000"/>
              </w:pBdr>
              <w:ind w:firstLine="0"/>
            </w:pPr>
            <w:r w:rsidRPr="0026420A">
              <w:t xml:space="preserve">Alternativ, se consideră oportună examinarea posibilității aplicării acestora începând cu data intrării în vigoare a Tratatului de aderare a Republicii Moldova la Uniunea Europeană. O asemenea abordare ar permite asigurarea unei convergențe treptate cu cadrul sancționator european, menținând în același timp caracterul eficient, proporțional și disuasiv al măsurilor aplicabile în raport cu realitățile economice și gradul de dezvoltare al pieței naționale. </w:t>
            </w:r>
          </w:p>
        </w:tc>
        <w:tc>
          <w:tcPr>
            <w:tcW w:w="5281" w:type="dxa"/>
            <w:tcMar>
              <w:top w:w="0" w:type="dxa"/>
              <w:left w:w="108" w:type="dxa"/>
              <w:bottom w:w="0" w:type="dxa"/>
              <w:right w:w="108" w:type="dxa"/>
            </w:tcMar>
          </w:tcPr>
          <w:p w14:paraId="78D74D7B" w14:textId="77777777" w:rsidR="00A06816" w:rsidRDefault="00A06816" w:rsidP="00A06816">
            <w:pPr>
              <w:ind w:firstLine="0"/>
              <w:rPr>
                <w:b/>
                <w:bCs/>
                <w:iCs/>
              </w:rPr>
            </w:pPr>
            <w:r w:rsidRPr="009201FD">
              <w:rPr>
                <w:b/>
                <w:bCs/>
                <w:iCs/>
              </w:rPr>
              <w:lastRenderedPageBreak/>
              <w:t xml:space="preserve">Nu se acceptă. </w:t>
            </w:r>
          </w:p>
          <w:p w14:paraId="76C45620" w14:textId="77777777" w:rsidR="00A06816" w:rsidRPr="00DF4740" w:rsidRDefault="00A06816" w:rsidP="00A06816">
            <w:pPr>
              <w:ind w:firstLine="0"/>
              <w:rPr>
                <w:iCs/>
              </w:rPr>
            </w:pPr>
            <w:r w:rsidRPr="00DF4740">
              <w:rPr>
                <w:iCs/>
              </w:rPr>
              <w:t xml:space="preserve">Regimul sancționator propus urmărește alinierea la Regulamentul </w:t>
            </w:r>
            <w:proofErr w:type="spellStart"/>
            <w:r w:rsidRPr="00DF4740">
              <w:rPr>
                <w:iCs/>
              </w:rPr>
              <w:t>MiCA</w:t>
            </w:r>
            <w:proofErr w:type="spellEnd"/>
            <w:r w:rsidRPr="00DF4740">
              <w:rPr>
                <w:iCs/>
              </w:rPr>
              <w:t xml:space="preserve"> și instituirea unor măsuri efective, </w:t>
            </w:r>
            <w:r w:rsidRPr="00DF4740">
              <w:rPr>
                <w:iCs/>
              </w:rPr>
              <w:lastRenderedPageBreak/>
              <w:t>proporționale și disuasive pentru o piață cu profil ridicat de risc, caracterizată prin volatilitate, caracter transfrontalier, risc de pierdere pentru clienți și posibilitate de arbitraj de reglementare.</w:t>
            </w:r>
          </w:p>
          <w:p w14:paraId="6528FFEF" w14:textId="77777777" w:rsidR="00A06816" w:rsidRPr="00DF4740" w:rsidRDefault="00A06816" w:rsidP="00A06816">
            <w:pPr>
              <w:ind w:firstLine="0"/>
              <w:rPr>
                <w:iCs/>
              </w:rPr>
            </w:pPr>
            <w:r w:rsidRPr="00DF4740">
              <w:rPr>
                <w:iCs/>
              </w:rPr>
              <w:t>Aplicarea concretă a sancțiunilor se va realiza individualizat, în funcție de gravitatea și durata încălcării, vinovăție, prejudiciile cauzate, beneficiile obținute, cooperarea cu autoritatea, măsurile de remediere, recidivă, impactul asupra clienților și capacitatea financiară a persoanei sancționate. Prin urmare, proporționalitatea este asigurată prin mecanismul legal de individualizare, nu prin reducerea generală a plafoanelor maxime.</w:t>
            </w:r>
          </w:p>
          <w:p w14:paraId="735F81CE" w14:textId="70EF6CD5"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pPr>
            <w:r w:rsidRPr="00DF4740">
              <w:rPr>
                <w:iCs/>
              </w:rPr>
              <w:t>Nu se justifică nici amânarea aplicării regimului sancționator până la aderarea Republicii Moldova la Uniunea Europeană, deoarece un cadru de autorizare și supraveghere trebuie să fie însoțit, de la intrarea în vigoare, de măsuri și sancțiuni capabile să asigure conformarea, protecția clienților și integritatea pieței.</w:t>
            </w:r>
          </w:p>
        </w:tc>
      </w:tr>
      <w:tr w:rsidR="00A06816" w:rsidRPr="0026420A" w14:paraId="28B5498C" w14:textId="77777777" w:rsidTr="003B3760">
        <w:trPr>
          <w:trHeight w:val="392"/>
        </w:trPr>
        <w:tc>
          <w:tcPr>
            <w:tcW w:w="13887" w:type="dxa"/>
            <w:gridSpan w:val="4"/>
            <w:tcBorders>
              <w:top w:val="single" w:sz="4" w:space="0" w:color="auto"/>
              <w:bottom w:val="single" w:sz="4" w:space="0" w:color="auto"/>
            </w:tcBorders>
            <w:tcMar>
              <w:top w:w="0" w:type="dxa"/>
              <w:left w:w="108" w:type="dxa"/>
              <w:bottom w:w="0" w:type="dxa"/>
              <w:right w:w="108" w:type="dxa"/>
            </w:tcMar>
          </w:tcPr>
          <w:p w14:paraId="6349FE7F" w14:textId="3072CA30" w:rsidR="00A06816" w:rsidRPr="0026420A" w:rsidRDefault="00A06816" w:rsidP="00A06816">
            <w:pPr>
              <w:pBdr>
                <w:top w:val="none" w:sz="4" w:space="0" w:color="000000"/>
                <w:left w:val="none" w:sz="4" w:space="0" w:color="000000"/>
                <w:bottom w:val="none" w:sz="4" w:space="0" w:color="000000"/>
                <w:right w:val="none" w:sz="4" w:space="0" w:color="000000"/>
              </w:pBdr>
              <w:shd w:val="clear" w:color="auto" w:fill="D9D9D9" w:themeFill="background1" w:themeFillShade="D9"/>
              <w:ind w:firstLine="0"/>
              <w:jc w:val="center"/>
              <w:rPr>
                <w:b/>
                <w:sz w:val="24"/>
                <w:szCs w:val="24"/>
              </w:rPr>
            </w:pPr>
            <w:r w:rsidRPr="00A06816">
              <w:rPr>
                <w:b/>
                <w:sz w:val="24"/>
                <w:szCs w:val="24"/>
                <w:shd w:val="clear" w:color="auto" w:fill="D9D9D9" w:themeFill="background1" w:themeFillShade="D9"/>
              </w:rPr>
              <w:lastRenderedPageBreak/>
              <w:t>Exper</w:t>
            </w:r>
            <w:r w:rsidRPr="0026420A">
              <w:rPr>
                <w:b/>
                <w:sz w:val="24"/>
                <w:szCs w:val="24"/>
              </w:rPr>
              <w:t>tiza</w:t>
            </w:r>
            <w:r>
              <w:rPr>
                <w:b/>
                <w:sz w:val="24"/>
                <w:szCs w:val="24"/>
              </w:rPr>
              <w:t>re</w:t>
            </w:r>
          </w:p>
        </w:tc>
      </w:tr>
      <w:tr w:rsidR="00A06816" w:rsidRPr="0026420A" w14:paraId="0AD8D97C" w14:textId="77777777" w:rsidTr="001F4857">
        <w:trPr>
          <w:trHeight w:val="615"/>
        </w:trPr>
        <w:tc>
          <w:tcPr>
            <w:tcW w:w="2206" w:type="dxa"/>
            <w:vMerge w:val="restart"/>
            <w:tcBorders>
              <w:top w:val="single" w:sz="4" w:space="0" w:color="auto"/>
            </w:tcBorders>
            <w:tcMar>
              <w:top w:w="0" w:type="dxa"/>
              <w:left w:w="108" w:type="dxa"/>
              <w:bottom w:w="0" w:type="dxa"/>
              <w:right w:w="108" w:type="dxa"/>
            </w:tcMar>
          </w:tcPr>
          <w:p w14:paraId="1AF3A639" w14:textId="77777777" w:rsidR="00A06816" w:rsidRPr="0026420A" w:rsidRDefault="00A06816" w:rsidP="00A06816">
            <w:pPr>
              <w:ind w:firstLine="0"/>
              <w:jc w:val="left"/>
              <w:rPr>
                <w:b/>
                <w:bCs/>
              </w:rPr>
            </w:pPr>
            <w:r w:rsidRPr="0026420A">
              <w:rPr>
                <w:b/>
                <w:bCs/>
              </w:rPr>
              <w:t>Centrul de Armonizare a Legislației</w:t>
            </w:r>
          </w:p>
          <w:p w14:paraId="103C8DC2" w14:textId="77777777" w:rsidR="00A06816" w:rsidRPr="0026420A" w:rsidRDefault="00A06816" w:rsidP="00A06816">
            <w:pPr>
              <w:ind w:firstLine="0"/>
              <w:jc w:val="left"/>
              <w:rPr>
                <w:b/>
                <w:bCs/>
              </w:rPr>
            </w:pPr>
          </w:p>
          <w:p w14:paraId="7E171607" w14:textId="77777777" w:rsidR="00A06816" w:rsidRPr="0026420A" w:rsidRDefault="00A06816" w:rsidP="00A06816">
            <w:pPr>
              <w:ind w:firstLine="0"/>
              <w:jc w:val="left"/>
              <w:rPr>
                <w:b/>
                <w:bCs/>
              </w:rPr>
            </w:pPr>
          </w:p>
          <w:p w14:paraId="56B5007B" w14:textId="77777777" w:rsidR="00A06816" w:rsidRPr="0026420A" w:rsidRDefault="00A06816" w:rsidP="00A06816">
            <w:pPr>
              <w:ind w:firstLine="0"/>
              <w:jc w:val="left"/>
              <w:rPr>
                <w:i/>
                <w:iCs/>
              </w:rPr>
            </w:pPr>
            <w:r w:rsidRPr="0026420A">
              <w:rPr>
                <w:i/>
                <w:iCs/>
              </w:rPr>
              <w:t>Nr. 31/02-126-5223</w:t>
            </w:r>
          </w:p>
          <w:p w14:paraId="7E7D98F3" w14:textId="78E044EC" w:rsidR="00A06816" w:rsidRPr="0026420A" w:rsidRDefault="00A06816" w:rsidP="00A06816">
            <w:pPr>
              <w:ind w:firstLine="0"/>
              <w:jc w:val="left"/>
              <w:rPr>
                <w:b/>
                <w:bCs/>
              </w:rPr>
            </w:pPr>
            <w:r w:rsidRPr="0026420A">
              <w:rPr>
                <w:i/>
                <w:iCs/>
              </w:rPr>
              <w:t>Din 08.05.2026</w:t>
            </w:r>
          </w:p>
        </w:tc>
        <w:tc>
          <w:tcPr>
            <w:tcW w:w="579" w:type="dxa"/>
            <w:tcMar>
              <w:top w:w="0" w:type="dxa"/>
              <w:left w:w="108" w:type="dxa"/>
              <w:bottom w:w="0" w:type="dxa"/>
              <w:right w:w="108" w:type="dxa"/>
            </w:tcMar>
          </w:tcPr>
          <w:p w14:paraId="3361AA80"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44D6ACAB" w14:textId="1910DC1B" w:rsidR="00A06816" w:rsidRPr="0026420A" w:rsidRDefault="00A06816" w:rsidP="00A06816">
            <w:pPr>
              <w:pBdr>
                <w:top w:val="none" w:sz="4" w:space="0" w:color="000000"/>
                <w:left w:val="none" w:sz="4" w:space="0" w:color="000000"/>
                <w:bottom w:val="none" w:sz="4" w:space="0" w:color="000000"/>
                <w:right w:val="none" w:sz="4" w:space="0" w:color="000000"/>
              </w:pBdr>
              <w:ind w:firstLine="0"/>
              <w:rPr>
                <w:b/>
                <w:bCs/>
              </w:rPr>
            </w:pPr>
            <w:r w:rsidRPr="0026420A">
              <w:t>Textul din art. 2 alin. (6) al proiectului instituie o obligație generală</w:t>
            </w:r>
            <w:r w:rsidRPr="0026420A">
              <w:rPr>
                <w:b/>
                <w:bCs/>
              </w:rPr>
              <w:t xml:space="preserve"> </w:t>
            </w:r>
            <w:r w:rsidRPr="0026420A">
              <w:t xml:space="preserve">asupra oricărei persoane implicate în emiterea, oferta publică sau admiterea la tranzacționare a </w:t>
            </w:r>
            <w:proofErr w:type="spellStart"/>
            <w:r w:rsidRPr="0026420A">
              <w:t>criptoactivelor</w:t>
            </w:r>
            <w:proofErr w:type="spellEnd"/>
            <w:r w:rsidRPr="0026420A">
              <w:t>. Această formulare este incompatibilă cu prevederile Regulamentului (UE) 2023/1114 (</w:t>
            </w:r>
            <w:proofErr w:type="spellStart"/>
            <w:r w:rsidRPr="0026420A">
              <w:t>MiCA</w:t>
            </w:r>
            <w:proofErr w:type="spellEnd"/>
            <w:r w:rsidRPr="0026420A">
              <w:t xml:space="preserve">), deoarece extinde în mod nediferențiat sfera subiecților obligați. În dreptul european și în standardele internaționale, obligațiile AML/CFT nu se aplică automat tuturor persoanelor implicate în activități cu </w:t>
            </w:r>
            <w:proofErr w:type="spellStart"/>
            <w:r w:rsidRPr="0026420A">
              <w:t>criptoactive</w:t>
            </w:r>
            <w:proofErr w:type="spellEnd"/>
            <w:r w:rsidRPr="0026420A">
              <w:t xml:space="preserve">, ci doar entităților raportoare definite (de ex. furnizori de servicii de </w:t>
            </w:r>
            <w:proofErr w:type="spellStart"/>
            <w:r w:rsidRPr="0026420A">
              <w:t>criptoactive</w:t>
            </w:r>
            <w:proofErr w:type="spellEnd"/>
            <w:r w:rsidRPr="0026420A">
              <w:t xml:space="preserve">). În context, se recomandă a include o referință generică la legislația națională cu privire la prevenirea și combaterea spălării banilor, aflată în proces de actualizare, având în vedere că, în prezent, aceasta nu include furnizorii de servicii de </w:t>
            </w:r>
            <w:proofErr w:type="spellStart"/>
            <w:r w:rsidRPr="0026420A">
              <w:t>criptoactive</w:t>
            </w:r>
            <w:proofErr w:type="spellEnd"/>
            <w:r w:rsidRPr="0026420A">
              <w:t xml:space="preserve"> în lista entităților raportoare.</w:t>
            </w:r>
          </w:p>
        </w:tc>
        <w:tc>
          <w:tcPr>
            <w:tcW w:w="5281" w:type="dxa"/>
            <w:tcMar>
              <w:top w:w="0" w:type="dxa"/>
              <w:left w:w="108" w:type="dxa"/>
              <w:bottom w:w="0" w:type="dxa"/>
              <w:right w:w="108" w:type="dxa"/>
            </w:tcMar>
          </w:tcPr>
          <w:p w14:paraId="3215D6D9" w14:textId="77777777" w:rsidR="00A06816" w:rsidRPr="0026420A" w:rsidRDefault="00A06816" w:rsidP="00A06816">
            <w:pPr>
              <w:ind w:firstLine="0"/>
              <w:rPr>
                <w:b/>
                <w:bCs/>
              </w:rPr>
            </w:pPr>
            <w:r w:rsidRPr="0026420A">
              <w:rPr>
                <w:b/>
                <w:bCs/>
              </w:rPr>
              <w:t>Se acceptă parțial</w:t>
            </w:r>
          </w:p>
          <w:p w14:paraId="7AAAF07D" w14:textId="0AE00572"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rPr>
                <w:b/>
                <w:bCs/>
              </w:rPr>
            </w:pPr>
            <w:r w:rsidRPr="0026420A">
              <w:t>Se exclude alin.(6) de la art. 2 al proiectului de Lege.</w:t>
            </w:r>
          </w:p>
        </w:tc>
      </w:tr>
      <w:tr w:rsidR="00A06816" w:rsidRPr="0026420A" w14:paraId="1639E870" w14:textId="77777777" w:rsidTr="001F4857">
        <w:trPr>
          <w:trHeight w:val="615"/>
        </w:trPr>
        <w:tc>
          <w:tcPr>
            <w:tcW w:w="2206" w:type="dxa"/>
            <w:vMerge/>
            <w:tcMar>
              <w:top w:w="0" w:type="dxa"/>
              <w:left w:w="108" w:type="dxa"/>
              <w:bottom w:w="0" w:type="dxa"/>
              <w:right w:w="108" w:type="dxa"/>
            </w:tcMar>
          </w:tcPr>
          <w:p w14:paraId="1A36489B" w14:textId="15DEAF31" w:rsidR="00A06816" w:rsidRPr="0026420A" w:rsidRDefault="00A06816" w:rsidP="00A06816">
            <w:pPr>
              <w:ind w:firstLine="0"/>
              <w:jc w:val="left"/>
              <w:rPr>
                <w:b/>
                <w:bCs/>
              </w:rPr>
            </w:pPr>
          </w:p>
        </w:tc>
        <w:tc>
          <w:tcPr>
            <w:tcW w:w="579" w:type="dxa"/>
            <w:tcMar>
              <w:top w:w="0" w:type="dxa"/>
              <w:left w:w="108" w:type="dxa"/>
              <w:bottom w:w="0" w:type="dxa"/>
              <w:right w:w="108" w:type="dxa"/>
            </w:tcMar>
          </w:tcPr>
          <w:p w14:paraId="2F8C18B5"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2C9CACA6" w14:textId="0C05D1D2" w:rsidR="00A06816" w:rsidRPr="0026420A" w:rsidRDefault="00A06816" w:rsidP="00A06816">
            <w:pPr>
              <w:pBdr>
                <w:top w:val="none" w:sz="4" w:space="0" w:color="000000"/>
                <w:left w:val="none" w:sz="4" w:space="0" w:color="000000"/>
                <w:bottom w:val="none" w:sz="4" w:space="0" w:color="000000"/>
                <w:right w:val="none" w:sz="4" w:space="0" w:color="000000"/>
              </w:pBdr>
              <w:ind w:firstLine="0"/>
              <w:rPr>
                <w:b/>
                <w:bCs/>
              </w:rPr>
            </w:pPr>
            <w:r w:rsidRPr="0026420A">
              <w:t xml:space="preserve">Prevederile art. 2 (4) din actul UE sunt transpuse parțial prin art. 2 (4) al proiectului național. Definiția de „depozite structurate”, astfel cum este prevăzută la art. 3, pct. 51 nu este transpusă în cadrul normativ național. La fel, tabelul de concordanță nu conține referințele normative sau textul definițiilor integrate în cadrul legal special, cum </w:t>
            </w:r>
            <w:r w:rsidRPr="0026420A">
              <w:lastRenderedPageBreak/>
              <w:t>ar fi: (d) poziții de securitizare în contextul unei securitizări, astfel cum este definită la art. 2 pct. 1 din Regulamentul (UE) 2017/2402; (e) produse de asigurare generală sau de viață care se încadrează în clasele de asigurare enumerate în anexele I și II la Directiva 2009/138/CE a Parlamentului European și a Consiliului (27) sau contractele de reasigurare și de retrocesiune menționate în directiva respectivă; (g) sisteme de pensii ocupaționale recunoscute oficial care intră sub incidența Directivei (UE) 2016/2341 a Parlamentului European și a Consiliului (28) sau a Directivei 3  2009/138/CE; (i) un produs paneuropean de pensii personale, astfel cum este definit la articolul 2 punctul 2 din Regulamentul (UE) 2019/1238 al Parlamentului European și al Consiliului (29); (j) sisteme de securitate socială care intră sub incidența Regulamentelor (CE) nr. 883/2004 (30) și (CE) nr. 987/2009 (31) ale Parlamentului European și ale Consiliului.</w:t>
            </w:r>
          </w:p>
        </w:tc>
        <w:tc>
          <w:tcPr>
            <w:tcW w:w="5281" w:type="dxa"/>
            <w:tcMar>
              <w:top w:w="0" w:type="dxa"/>
              <w:left w:w="108" w:type="dxa"/>
              <w:bottom w:w="0" w:type="dxa"/>
              <w:right w:w="108" w:type="dxa"/>
            </w:tcMar>
          </w:tcPr>
          <w:p w14:paraId="31901EBB" w14:textId="77777777" w:rsidR="00A06816" w:rsidRPr="0026420A" w:rsidRDefault="00A06816" w:rsidP="00A06816">
            <w:pPr>
              <w:ind w:firstLine="0"/>
              <w:rPr>
                <w:b/>
                <w:bCs/>
              </w:rPr>
            </w:pPr>
            <w:r w:rsidRPr="0026420A">
              <w:rPr>
                <w:b/>
                <w:bCs/>
              </w:rPr>
              <w:lastRenderedPageBreak/>
              <w:t>Se acceptă</w:t>
            </w:r>
          </w:p>
          <w:p w14:paraId="00F7CB3F" w14:textId="77777777" w:rsidR="00A06816" w:rsidRPr="0026420A" w:rsidRDefault="00A06816" w:rsidP="00A06816">
            <w:pPr>
              <w:ind w:firstLine="0"/>
            </w:pPr>
            <w:r w:rsidRPr="0026420A">
              <w:t xml:space="preserve">Textul prevederii se completează cu </w:t>
            </w:r>
            <w:r w:rsidRPr="0026420A">
              <w:rPr>
                <w:i/>
                <w:iCs/>
              </w:rPr>
              <w:t>”un produs paneuropean de pensii personale”.</w:t>
            </w:r>
          </w:p>
          <w:p w14:paraId="11982E6E" w14:textId="3D3CE529"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rPr>
                <w:b/>
                <w:bCs/>
              </w:rPr>
            </w:pPr>
            <w:r w:rsidRPr="0026420A">
              <w:t>Tabelul de concordanță se completează cu referințele corespunzătoare.</w:t>
            </w:r>
          </w:p>
        </w:tc>
      </w:tr>
      <w:tr w:rsidR="00A06816" w:rsidRPr="0026420A" w14:paraId="5FC65612" w14:textId="77777777" w:rsidTr="001F4857">
        <w:trPr>
          <w:trHeight w:val="615"/>
        </w:trPr>
        <w:tc>
          <w:tcPr>
            <w:tcW w:w="2206" w:type="dxa"/>
            <w:vMerge/>
            <w:tcMar>
              <w:top w:w="0" w:type="dxa"/>
              <w:left w:w="108" w:type="dxa"/>
              <w:bottom w:w="0" w:type="dxa"/>
              <w:right w:w="108" w:type="dxa"/>
            </w:tcMar>
          </w:tcPr>
          <w:p w14:paraId="4C2D6FD0" w14:textId="2C71661C" w:rsidR="00A06816" w:rsidRPr="0026420A" w:rsidRDefault="00A06816" w:rsidP="00A06816">
            <w:pPr>
              <w:ind w:firstLine="0"/>
              <w:jc w:val="left"/>
              <w:rPr>
                <w:b/>
                <w:bCs/>
              </w:rPr>
            </w:pPr>
          </w:p>
        </w:tc>
        <w:tc>
          <w:tcPr>
            <w:tcW w:w="579" w:type="dxa"/>
            <w:tcMar>
              <w:top w:w="0" w:type="dxa"/>
              <w:left w:w="108" w:type="dxa"/>
              <w:bottom w:w="0" w:type="dxa"/>
              <w:right w:w="108" w:type="dxa"/>
            </w:tcMar>
          </w:tcPr>
          <w:p w14:paraId="062749CB"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2C46B24F" w14:textId="377C169B" w:rsidR="00A06816" w:rsidRPr="0026420A" w:rsidRDefault="00A06816" w:rsidP="00A06816">
            <w:pPr>
              <w:pBdr>
                <w:top w:val="none" w:sz="4" w:space="0" w:color="000000"/>
                <w:left w:val="none" w:sz="4" w:space="0" w:color="000000"/>
                <w:bottom w:val="none" w:sz="4" w:space="0" w:color="000000"/>
                <w:right w:val="none" w:sz="4" w:space="0" w:color="000000"/>
              </w:pBdr>
              <w:ind w:firstLine="0"/>
              <w:rPr>
                <w:b/>
                <w:bCs/>
              </w:rPr>
            </w:pPr>
            <w:r w:rsidRPr="0026420A">
              <w:t xml:space="preserve">Prevederile art.16 din Regulamentul UE privind condițiile de autorizare pentru oferta publică sau admiterea la tranzacționare a </w:t>
            </w:r>
            <w:proofErr w:type="spellStart"/>
            <w:r w:rsidRPr="0026420A">
              <w:t>tokenurilor</w:t>
            </w:r>
            <w:proofErr w:type="spellEnd"/>
            <w:r w:rsidRPr="0026420A">
              <w:t xml:space="preserve"> raportate la active este transpus parțial prin art. 16 al proiectului național. Structura și pragurile valorice sunt reproduse fidel, cu adaptări monetare și instituționale. Diferențele majore constau în limitarea formei juridice la SRL și SA și lipsa mecanismului de recunoaștere mutuală la nivel european.</w:t>
            </w:r>
          </w:p>
        </w:tc>
        <w:tc>
          <w:tcPr>
            <w:tcW w:w="5281" w:type="dxa"/>
            <w:tcMar>
              <w:top w:w="0" w:type="dxa"/>
              <w:left w:w="108" w:type="dxa"/>
              <w:bottom w:w="0" w:type="dxa"/>
              <w:right w:w="108" w:type="dxa"/>
            </w:tcMar>
          </w:tcPr>
          <w:p w14:paraId="64E2FABD" w14:textId="77777777" w:rsidR="00A06816" w:rsidRPr="0026420A" w:rsidRDefault="00A06816" w:rsidP="00A06816">
            <w:pPr>
              <w:ind w:firstLine="0"/>
              <w:rPr>
                <w:b/>
                <w:bCs/>
              </w:rPr>
            </w:pPr>
            <w:r w:rsidRPr="0026420A">
              <w:rPr>
                <w:b/>
                <w:bCs/>
              </w:rPr>
              <w:t>Se ia act.</w:t>
            </w:r>
          </w:p>
          <w:p w14:paraId="72BA14FA" w14:textId="77777777" w:rsidR="00A06816" w:rsidRPr="0026420A" w:rsidRDefault="00A06816" w:rsidP="00A06816">
            <w:pPr>
              <w:ind w:firstLine="0"/>
            </w:pPr>
            <w:r w:rsidRPr="0026420A">
              <w:t>Pentru claritate, Tabelul de concordanță se completează cu observații suplimentare.</w:t>
            </w:r>
          </w:p>
          <w:p w14:paraId="67C39F5F" w14:textId="77777777" w:rsidR="00A06816" w:rsidRPr="0026420A" w:rsidRDefault="00A06816" w:rsidP="00A06816">
            <w:pPr>
              <w:ind w:firstLine="0"/>
            </w:pPr>
          </w:p>
          <w:p w14:paraId="2F335811" w14:textId="2E7BF7ED"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rPr>
                <w:b/>
                <w:bCs/>
              </w:rPr>
            </w:pPr>
          </w:p>
        </w:tc>
      </w:tr>
      <w:tr w:rsidR="00A06816" w:rsidRPr="0026420A" w14:paraId="185F7508" w14:textId="77777777" w:rsidTr="001F4857">
        <w:trPr>
          <w:trHeight w:val="615"/>
        </w:trPr>
        <w:tc>
          <w:tcPr>
            <w:tcW w:w="2206" w:type="dxa"/>
            <w:vMerge/>
            <w:tcMar>
              <w:top w:w="0" w:type="dxa"/>
              <w:left w:w="108" w:type="dxa"/>
              <w:bottom w:w="0" w:type="dxa"/>
              <w:right w:w="108" w:type="dxa"/>
            </w:tcMar>
          </w:tcPr>
          <w:p w14:paraId="25B287DB"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4D129C52"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5E03E5BB" w14:textId="0396F0AD" w:rsidR="00A06816" w:rsidRPr="0026420A" w:rsidRDefault="00A06816" w:rsidP="00A06816">
            <w:pPr>
              <w:pBdr>
                <w:top w:val="none" w:sz="4" w:space="0" w:color="000000"/>
                <w:left w:val="none" w:sz="4" w:space="0" w:color="000000"/>
                <w:bottom w:val="none" w:sz="4" w:space="0" w:color="000000"/>
                <w:right w:val="none" w:sz="4" w:space="0" w:color="000000"/>
              </w:pBdr>
              <w:ind w:firstLine="0"/>
              <w:rPr>
                <w:b/>
                <w:bCs/>
              </w:rPr>
            </w:pPr>
            <w:r w:rsidRPr="0026420A">
              <w:t>Prevederile art. 19 din actul UE sunt parțial transpuse prin art. 19 al proiectului național. Nu sunt transpuse prevederile art. 19 (4), în speță, cerințele stabilite la lit. d) și e), care urmează a fi transpuse în sensul prevederilor Directivei 97/9/CE a Parlamentului European și a Consiliului și Directivei 2014/49/UE. La fel, nu sunt transpuse prevederile art. 19 (6), în speță, cerințele stabilite la lit. d), care urmează să integreze prevederile Regulamentului (UE) 2017/1129. În context, menționăm că autorul a evidențiat în tabelul de concordanță acțiunile normative care vor asigura transpunerea completă a acestor definiții în cadrul normativ național.</w:t>
            </w:r>
          </w:p>
        </w:tc>
        <w:tc>
          <w:tcPr>
            <w:tcW w:w="5281" w:type="dxa"/>
            <w:tcMar>
              <w:top w:w="0" w:type="dxa"/>
              <w:left w:w="108" w:type="dxa"/>
              <w:bottom w:w="0" w:type="dxa"/>
              <w:right w:w="108" w:type="dxa"/>
            </w:tcMar>
          </w:tcPr>
          <w:p w14:paraId="509BCBAD" w14:textId="77777777" w:rsidR="00A06816" w:rsidRPr="0026420A" w:rsidRDefault="00A06816" w:rsidP="00A06816">
            <w:pPr>
              <w:ind w:firstLine="0"/>
              <w:rPr>
                <w:b/>
                <w:bCs/>
              </w:rPr>
            </w:pPr>
            <w:r w:rsidRPr="0026420A">
              <w:rPr>
                <w:b/>
                <w:bCs/>
              </w:rPr>
              <w:t>Se ia act.</w:t>
            </w:r>
          </w:p>
          <w:p w14:paraId="03E199D9" w14:textId="77777777" w:rsidR="00A06816" w:rsidRPr="0026420A" w:rsidRDefault="00A06816" w:rsidP="00A06816">
            <w:pPr>
              <w:ind w:firstLine="0"/>
            </w:pPr>
            <w:r w:rsidRPr="0026420A">
              <w:t>Pentru claritate, Tabelul de concordanță se completează cu observații suplimentare.</w:t>
            </w:r>
          </w:p>
          <w:p w14:paraId="56911F02" w14:textId="65E40695"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rPr>
                <w:b/>
                <w:bCs/>
              </w:rPr>
            </w:pPr>
          </w:p>
        </w:tc>
      </w:tr>
      <w:tr w:rsidR="00A06816" w:rsidRPr="0026420A" w14:paraId="47B74FC0" w14:textId="77777777" w:rsidTr="001F4857">
        <w:trPr>
          <w:trHeight w:val="615"/>
        </w:trPr>
        <w:tc>
          <w:tcPr>
            <w:tcW w:w="2206" w:type="dxa"/>
            <w:vMerge/>
            <w:tcMar>
              <w:top w:w="0" w:type="dxa"/>
              <w:left w:w="108" w:type="dxa"/>
              <w:bottom w:w="0" w:type="dxa"/>
              <w:right w:w="108" w:type="dxa"/>
            </w:tcMar>
          </w:tcPr>
          <w:p w14:paraId="71EF20D5"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7DCB82E3"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036933E2" w14:textId="6FE6B8A6" w:rsidR="00A06816" w:rsidRPr="0026420A" w:rsidRDefault="00A06816" w:rsidP="00A06816">
            <w:pPr>
              <w:pBdr>
                <w:top w:val="none" w:sz="4" w:space="0" w:color="000000"/>
                <w:left w:val="none" w:sz="4" w:space="0" w:color="000000"/>
                <w:bottom w:val="none" w:sz="4" w:space="0" w:color="000000"/>
                <w:right w:val="none" w:sz="4" w:space="0" w:color="000000"/>
              </w:pBdr>
              <w:ind w:firstLine="0"/>
              <w:rPr>
                <w:b/>
                <w:bCs/>
              </w:rPr>
            </w:pPr>
            <w:r w:rsidRPr="0026420A">
              <w:t>Prevederile art. 34 din actul UE sunt parțial transpuse prin art. 34 al proiectului național. Nu sunt transpuse prevederile art. 34 (6), în speță, cerințele specifice de securitate stabilite în acest domeniu, care urmează a fi elaborate și aprobate de către CNPF.</w:t>
            </w:r>
          </w:p>
        </w:tc>
        <w:tc>
          <w:tcPr>
            <w:tcW w:w="5281" w:type="dxa"/>
            <w:tcMar>
              <w:top w:w="0" w:type="dxa"/>
              <w:left w:w="108" w:type="dxa"/>
              <w:bottom w:w="0" w:type="dxa"/>
              <w:right w:w="108" w:type="dxa"/>
            </w:tcMar>
          </w:tcPr>
          <w:p w14:paraId="01469E96" w14:textId="77777777" w:rsidR="00A06816" w:rsidRPr="0026420A" w:rsidRDefault="00A06816" w:rsidP="00A06816">
            <w:pPr>
              <w:ind w:firstLine="0"/>
              <w:rPr>
                <w:b/>
                <w:bCs/>
              </w:rPr>
            </w:pPr>
            <w:r w:rsidRPr="0026420A">
              <w:rPr>
                <w:b/>
                <w:bCs/>
              </w:rPr>
              <w:t>Se ia act.</w:t>
            </w:r>
          </w:p>
          <w:p w14:paraId="0D3E9D43" w14:textId="77777777" w:rsidR="00A06816" w:rsidRPr="0026420A" w:rsidRDefault="00A06816" w:rsidP="00A06816">
            <w:pPr>
              <w:ind w:firstLine="0"/>
            </w:pPr>
            <w:r w:rsidRPr="0026420A">
              <w:t>Pentru claritate, Tabelul de concordanță se completează cu observații suplimentare.</w:t>
            </w:r>
          </w:p>
          <w:p w14:paraId="75F80A7D" w14:textId="11F5F105"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rPr>
                <w:b/>
                <w:bCs/>
              </w:rPr>
            </w:pPr>
          </w:p>
        </w:tc>
      </w:tr>
      <w:tr w:rsidR="00A06816" w:rsidRPr="0026420A" w14:paraId="11C5A5CA" w14:textId="77777777" w:rsidTr="001F4857">
        <w:trPr>
          <w:trHeight w:val="615"/>
        </w:trPr>
        <w:tc>
          <w:tcPr>
            <w:tcW w:w="2206" w:type="dxa"/>
            <w:vMerge/>
            <w:tcMar>
              <w:top w:w="0" w:type="dxa"/>
              <w:left w:w="108" w:type="dxa"/>
              <w:bottom w:w="0" w:type="dxa"/>
              <w:right w:w="108" w:type="dxa"/>
            </w:tcMar>
          </w:tcPr>
          <w:p w14:paraId="0699F0D3"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5AB890BD"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75958470" w14:textId="1758288A" w:rsidR="00A06816" w:rsidRPr="0026420A" w:rsidRDefault="00A06816" w:rsidP="00A06816">
            <w:pPr>
              <w:pBdr>
                <w:top w:val="none" w:sz="4" w:space="0" w:color="000000"/>
                <w:left w:val="none" w:sz="4" w:space="0" w:color="000000"/>
                <w:bottom w:val="none" w:sz="4" w:space="0" w:color="000000"/>
                <w:right w:val="none" w:sz="4" w:space="0" w:color="000000"/>
              </w:pBdr>
              <w:ind w:firstLine="0"/>
              <w:rPr>
                <w:b/>
                <w:bCs/>
              </w:rPr>
            </w:pPr>
            <w:r w:rsidRPr="0026420A">
              <w:t>Prevederile art. 35 din actul UE sunt parțial transpuse prin art. 35 al proiectului național. Nu este transpusă noțiunea de fonduri proprii, care constau în elementele și instrumentele de fonduri proprii de nivel 1 de bază menționate la art. 26-30 din Regulamentul (UE) nr. 575/2013.</w:t>
            </w:r>
          </w:p>
        </w:tc>
        <w:tc>
          <w:tcPr>
            <w:tcW w:w="5281" w:type="dxa"/>
            <w:tcMar>
              <w:top w:w="0" w:type="dxa"/>
              <w:left w:w="108" w:type="dxa"/>
              <w:bottom w:w="0" w:type="dxa"/>
              <w:right w:w="108" w:type="dxa"/>
            </w:tcMar>
          </w:tcPr>
          <w:p w14:paraId="2C17F4C6" w14:textId="77777777" w:rsidR="00A06816" w:rsidRPr="0026420A" w:rsidRDefault="00A06816" w:rsidP="00A06816">
            <w:pPr>
              <w:ind w:firstLine="0"/>
              <w:rPr>
                <w:b/>
                <w:bCs/>
              </w:rPr>
            </w:pPr>
            <w:r w:rsidRPr="0026420A">
              <w:rPr>
                <w:b/>
                <w:bCs/>
              </w:rPr>
              <w:t>Se ia act.</w:t>
            </w:r>
          </w:p>
          <w:p w14:paraId="2E162413" w14:textId="77777777" w:rsidR="00A06816" w:rsidRPr="0026420A" w:rsidRDefault="00A06816" w:rsidP="00A06816">
            <w:pPr>
              <w:ind w:firstLine="0"/>
            </w:pPr>
            <w:r w:rsidRPr="0026420A">
              <w:t>Pentru claritate, Tabelul de concordanță se completează cu observații suplimentare.</w:t>
            </w:r>
          </w:p>
          <w:p w14:paraId="0406BE78" w14:textId="080BBF89"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rPr>
                <w:b/>
                <w:bCs/>
              </w:rPr>
            </w:pPr>
          </w:p>
        </w:tc>
      </w:tr>
      <w:tr w:rsidR="00A06816" w:rsidRPr="0026420A" w14:paraId="4EE950D1" w14:textId="77777777" w:rsidTr="001F4857">
        <w:trPr>
          <w:trHeight w:val="615"/>
        </w:trPr>
        <w:tc>
          <w:tcPr>
            <w:tcW w:w="2206" w:type="dxa"/>
            <w:vMerge/>
            <w:tcMar>
              <w:top w:w="0" w:type="dxa"/>
              <w:left w:w="108" w:type="dxa"/>
              <w:bottom w:w="0" w:type="dxa"/>
              <w:right w:w="108" w:type="dxa"/>
            </w:tcMar>
          </w:tcPr>
          <w:p w14:paraId="691381EF"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2C6CAABB"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5FDE99E7" w14:textId="282559DC" w:rsidR="00A06816" w:rsidRPr="0026420A" w:rsidRDefault="00A06816" w:rsidP="00A06816">
            <w:pPr>
              <w:pBdr>
                <w:top w:val="none" w:sz="4" w:space="0" w:color="000000"/>
                <w:left w:val="none" w:sz="4" w:space="0" w:color="000000"/>
                <w:bottom w:val="none" w:sz="4" w:space="0" w:color="000000"/>
                <w:right w:val="none" w:sz="4" w:space="0" w:color="000000"/>
              </w:pBdr>
              <w:ind w:firstLine="0"/>
              <w:rPr>
                <w:b/>
                <w:bCs/>
              </w:rPr>
            </w:pPr>
            <w:r w:rsidRPr="0026420A">
              <w:t>Prevederile art. 36 din actul UE sunt parțial transpuse prin art. 36 al proiectului național. Nu sunt transpuse definițiile utilizate în sensul art. 2, pct. 8-10 din Regulamentul (UE) 2017/1131. În context, menționăm că autorul a evidențiat în tabelul de concordanță acțiunile normative care vor asigura transpunerea completă a acestor definiții în cadrul normativ național.</w:t>
            </w:r>
          </w:p>
        </w:tc>
        <w:tc>
          <w:tcPr>
            <w:tcW w:w="5281" w:type="dxa"/>
            <w:tcMar>
              <w:top w:w="0" w:type="dxa"/>
              <w:left w:w="108" w:type="dxa"/>
              <w:bottom w:w="0" w:type="dxa"/>
              <w:right w:w="108" w:type="dxa"/>
            </w:tcMar>
          </w:tcPr>
          <w:p w14:paraId="3BF5250A" w14:textId="77777777" w:rsidR="00A06816" w:rsidRPr="0026420A" w:rsidRDefault="00A06816" w:rsidP="00A06816">
            <w:pPr>
              <w:ind w:firstLine="0"/>
              <w:rPr>
                <w:b/>
                <w:bCs/>
              </w:rPr>
            </w:pPr>
            <w:r w:rsidRPr="0026420A">
              <w:rPr>
                <w:b/>
                <w:bCs/>
              </w:rPr>
              <w:t>Se ia act.</w:t>
            </w:r>
          </w:p>
          <w:p w14:paraId="469ABB7C" w14:textId="77777777" w:rsidR="00A06816" w:rsidRPr="0026420A" w:rsidRDefault="00A06816" w:rsidP="00A06816">
            <w:pPr>
              <w:ind w:firstLine="0"/>
            </w:pPr>
            <w:r w:rsidRPr="0026420A">
              <w:t>Pentru claritate, Tabelul de concordanță se completează cu observații suplimentare.</w:t>
            </w:r>
          </w:p>
          <w:p w14:paraId="79C3282D" w14:textId="39176F7F"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rPr>
                <w:b/>
                <w:bCs/>
              </w:rPr>
            </w:pPr>
            <w:r w:rsidRPr="0026420A">
              <w:t>Se ajustează textul prevederii cu evidențierea mai clară a definițiilor transpuse.</w:t>
            </w:r>
          </w:p>
        </w:tc>
      </w:tr>
      <w:tr w:rsidR="00A06816" w:rsidRPr="0026420A" w14:paraId="7A831624" w14:textId="77777777" w:rsidTr="001F4857">
        <w:trPr>
          <w:trHeight w:val="615"/>
        </w:trPr>
        <w:tc>
          <w:tcPr>
            <w:tcW w:w="2206" w:type="dxa"/>
            <w:vMerge/>
            <w:tcMar>
              <w:top w:w="0" w:type="dxa"/>
              <w:left w:w="108" w:type="dxa"/>
              <w:bottom w:w="0" w:type="dxa"/>
              <w:right w:w="108" w:type="dxa"/>
            </w:tcMar>
          </w:tcPr>
          <w:p w14:paraId="2CDED493"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7B8DDF8B"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0CC5D707" w14:textId="1F7E0F6A" w:rsidR="00A06816" w:rsidRPr="0026420A" w:rsidRDefault="00A06816" w:rsidP="00A06816">
            <w:pPr>
              <w:pBdr>
                <w:top w:val="none" w:sz="4" w:space="0" w:color="000000"/>
                <w:left w:val="none" w:sz="4" w:space="0" w:color="000000"/>
                <w:bottom w:val="none" w:sz="4" w:space="0" w:color="000000"/>
                <w:right w:val="none" w:sz="4" w:space="0" w:color="000000"/>
              </w:pBdr>
              <w:ind w:firstLine="0"/>
              <w:rPr>
                <w:b/>
                <w:bCs/>
              </w:rPr>
            </w:pPr>
            <w:r w:rsidRPr="0026420A">
              <w:t>Prevederile art. 37 din actul UE sunt parțial transpuse prin art. 37 al proiectului național. Nu sunt transpuse definițiile utilizate în sensul art. 2 (1) din Directiva 2002/47/CE, precum și dispozițiile art.16 din Directiva 2006/73/CE. În context, menționăm că autorul a evidențiat în tabelul de concordanță acțiunile normative care vor asigura transpunerea completă a acestor definiții în cadrul normativ național.</w:t>
            </w:r>
          </w:p>
        </w:tc>
        <w:tc>
          <w:tcPr>
            <w:tcW w:w="5281" w:type="dxa"/>
            <w:tcMar>
              <w:top w:w="0" w:type="dxa"/>
              <w:left w:w="108" w:type="dxa"/>
              <w:bottom w:w="0" w:type="dxa"/>
              <w:right w:w="108" w:type="dxa"/>
            </w:tcMar>
          </w:tcPr>
          <w:p w14:paraId="2EB3FDBD" w14:textId="77777777" w:rsidR="00A06816" w:rsidRPr="0026420A" w:rsidRDefault="00A06816" w:rsidP="00A06816">
            <w:pPr>
              <w:ind w:firstLine="0"/>
              <w:rPr>
                <w:b/>
                <w:bCs/>
              </w:rPr>
            </w:pPr>
            <w:r w:rsidRPr="0026420A">
              <w:rPr>
                <w:b/>
                <w:bCs/>
              </w:rPr>
              <w:t>Se ia act.</w:t>
            </w:r>
          </w:p>
          <w:p w14:paraId="4A19FF2C" w14:textId="77777777" w:rsidR="00A06816" w:rsidRPr="0026420A" w:rsidRDefault="00A06816" w:rsidP="00A06816">
            <w:pPr>
              <w:ind w:firstLine="0"/>
            </w:pPr>
            <w:r w:rsidRPr="0026420A">
              <w:t>Pentru claritate, Tabelul de concordanță se completează cu observații suplimentare.</w:t>
            </w:r>
          </w:p>
          <w:p w14:paraId="1CD6E104" w14:textId="422208AF"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rPr>
                <w:b/>
                <w:bCs/>
              </w:rPr>
            </w:pPr>
          </w:p>
        </w:tc>
      </w:tr>
      <w:tr w:rsidR="00A06816" w:rsidRPr="0026420A" w14:paraId="6FACEE2F" w14:textId="77777777" w:rsidTr="001F4857">
        <w:trPr>
          <w:trHeight w:val="615"/>
        </w:trPr>
        <w:tc>
          <w:tcPr>
            <w:tcW w:w="2206" w:type="dxa"/>
            <w:vMerge/>
            <w:tcMar>
              <w:top w:w="0" w:type="dxa"/>
              <w:left w:w="108" w:type="dxa"/>
              <w:bottom w:w="0" w:type="dxa"/>
              <w:right w:w="108" w:type="dxa"/>
            </w:tcMar>
          </w:tcPr>
          <w:p w14:paraId="66EA4B72"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455D4721"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1BBD29B8" w14:textId="77777777" w:rsidR="00A06816" w:rsidRDefault="00A06816" w:rsidP="00A06816">
            <w:pPr>
              <w:pBdr>
                <w:top w:val="none" w:sz="4" w:space="0" w:color="000000"/>
                <w:left w:val="none" w:sz="4" w:space="0" w:color="000000"/>
                <w:bottom w:val="none" w:sz="4" w:space="0" w:color="000000"/>
                <w:right w:val="none" w:sz="4" w:space="0" w:color="000000"/>
              </w:pBdr>
              <w:ind w:firstLine="0"/>
            </w:pPr>
            <w:r w:rsidRPr="0026420A">
              <w:t xml:space="preserve">Nu sunt transpuse prevederile Titlului III, Cap. 6 și ale Titlului IV, Cap. 2 din actul UE, coroborate cu Anexele V și VI, care reglementează </w:t>
            </w:r>
            <w:proofErr w:type="spellStart"/>
            <w:r w:rsidRPr="0026420A">
              <w:t>tokenurile</w:t>
            </w:r>
            <w:proofErr w:type="spellEnd"/>
            <w:r w:rsidRPr="0026420A">
              <w:t xml:space="preserve"> semnificative. La fel, nu sunt transpuse prevederile Cap. 5 din Titlul V, care reglementează cerințele aplicate furnizorilor semnificativi de servicii de </w:t>
            </w:r>
            <w:proofErr w:type="spellStart"/>
            <w:r w:rsidRPr="0026420A">
              <w:t>criptoactive</w:t>
            </w:r>
            <w:proofErr w:type="spellEnd"/>
            <w:r w:rsidRPr="0026420A">
              <w:t>, prevederi care se propun a fi aplicate la data aderării la UE.</w:t>
            </w:r>
          </w:p>
          <w:p w14:paraId="42F62D7E" w14:textId="08AB0C41" w:rsidR="00A06816" w:rsidRPr="000E14F1" w:rsidRDefault="00A06816" w:rsidP="00A06816">
            <w:pPr>
              <w:ind w:firstLine="0"/>
              <w:rPr>
                <w:iCs/>
              </w:rPr>
            </w:pPr>
          </w:p>
          <w:p w14:paraId="267E9A5A" w14:textId="72B7AAF4" w:rsidR="00A06816" w:rsidRPr="0026420A" w:rsidRDefault="00A06816" w:rsidP="00A06816">
            <w:pPr>
              <w:pBdr>
                <w:top w:val="none" w:sz="4" w:space="0" w:color="000000"/>
                <w:left w:val="none" w:sz="4" w:space="0" w:color="000000"/>
                <w:bottom w:val="none" w:sz="4" w:space="0" w:color="000000"/>
                <w:right w:val="none" w:sz="4" w:space="0" w:color="000000"/>
              </w:pBdr>
              <w:ind w:firstLine="0"/>
              <w:rPr>
                <w:b/>
                <w:bCs/>
              </w:rPr>
            </w:pPr>
          </w:p>
        </w:tc>
        <w:tc>
          <w:tcPr>
            <w:tcW w:w="5281" w:type="dxa"/>
            <w:tcMar>
              <w:top w:w="0" w:type="dxa"/>
              <w:left w:w="108" w:type="dxa"/>
              <w:bottom w:w="0" w:type="dxa"/>
              <w:right w:w="108" w:type="dxa"/>
            </w:tcMar>
          </w:tcPr>
          <w:p w14:paraId="0B264AAE" w14:textId="77777777" w:rsidR="00A06816" w:rsidRPr="0026420A" w:rsidRDefault="00A06816" w:rsidP="00A06816">
            <w:pPr>
              <w:ind w:firstLine="0"/>
              <w:rPr>
                <w:b/>
                <w:bCs/>
              </w:rPr>
            </w:pPr>
            <w:r w:rsidRPr="0026420A">
              <w:rPr>
                <w:b/>
                <w:bCs/>
              </w:rPr>
              <w:t>Comentariu</w:t>
            </w:r>
          </w:p>
          <w:p w14:paraId="570BA863" w14:textId="36E777CC" w:rsidR="00A06816" w:rsidRPr="0026420A" w:rsidRDefault="00A06816" w:rsidP="00A06816">
            <w:pPr>
              <w:ind w:firstLine="0"/>
            </w:pPr>
            <w:r w:rsidRPr="000E14F1">
              <w:rPr>
                <w:iCs/>
              </w:rPr>
              <w:t xml:space="preserve">Cu titlu informativ, se precizează că </w:t>
            </w:r>
            <w:r>
              <w:rPr>
                <w:iCs/>
              </w:rPr>
              <w:t xml:space="preserve">referința </w:t>
            </w:r>
            <w:r w:rsidRPr="0026420A">
              <w:t>la ”</w:t>
            </w:r>
            <w:r w:rsidRPr="0026420A">
              <w:rPr>
                <w:i/>
                <w:iCs/>
              </w:rPr>
              <w:t>prevederile Titlului III, Cap. 6”</w:t>
            </w:r>
            <w:r w:rsidRPr="0026420A">
              <w:t xml:space="preserve"> urmează a fi citită corect ca referință la ”</w:t>
            </w:r>
            <w:r w:rsidRPr="0026420A">
              <w:rPr>
                <w:i/>
                <w:iCs/>
              </w:rPr>
              <w:t>prevederile Titlului III, Cap. 5</w:t>
            </w:r>
            <w:r w:rsidRPr="0026420A">
              <w:t xml:space="preserve">” care se referă </w:t>
            </w:r>
            <w:proofErr w:type="spellStart"/>
            <w:r w:rsidRPr="0026420A">
              <w:rPr>
                <w:i/>
                <w:iCs/>
              </w:rPr>
              <w:t>Tokenuri</w:t>
            </w:r>
            <w:proofErr w:type="spellEnd"/>
            <w:r w:rsidRPr="0026420A">
              <w:rPr>
                <w:i/>
                <w:iCs/>
              </w:rPr>
              <w:t xml:space="preserve"> semnificative raportate la active</w:t>
            </w:r>
            <w:r>
              <w:rPr>
                <w:i/>
                <w:iCs/>
              </w:rPr>
              <w:t>,</w:t>
            </w:r>
            <w:r w:rsidRPr="0026420A">
              <w:t xml:space="preserve"> și </w:t>
            </w:r>
            <w:r>
              <w:t>care</w:t>
            </w:r>
            <w:r w:rsidRPr="0026420A">
              <w:t xml:space="preserve"> nu sunt transpuse în proiectul de Lege. </w:t>
            </w:r>
          </w:p>
          <w:p w14:paraId="61F42E9B" w14:textId="7547BA20" w:rsidR="00A06816" w:rsidRPr="0026420A" w:rsidRDefault="00A06816" w:rsidP="00A06816">
            <w:pPr>
              <w:pBdr>
                <w:top w:val="none" w:sz="4" w:space="0" w:color="000000"/>
                <w:left w:val="none" w:sz="4" w:space="0" w:color="000000"/>
                <w:bottom w:val="none" w:sz="4" w:space="0" w:color="000000"/>
                <w:right w:val="none" w:sz="4" w:space="0" w:color="000000"/>
              </w:pBdr>
              <w:ind w:firstLine="0"/>
              <w:rPr>
                <w:b/>
                <w:bCs/>
              </w:rPr>
            </w:pPr>
            <w:r w:rsidRPr="0026420A">
              <w:t xml:space="preserve">Totodată, este de menționat că prevederile Titlului III, Cap. 5 și ale Titlului IV, Cap. 2, coroborate cu Anexele V și VI, care reglementează </w:t>
            </w:r>
            <w:proofErr w:type="spellStart"/>
            <w:r w:rsidRPr="0026420A">
              <w:t>tokenurile</w:t>
            </w:r>
            <w:proofErr w:type="spellEnd"/>
            <w:r w:rsidRPr="0026420A">
              <w:t xml:space="preserve"> semnificative, precum și prevederile Cap. 5 din Titlul V din actul UE, care reglementează cerințele aplicate furnizorilor semnificativi de servicii de </w:t>
            </w:r>
            <w:proofErr w:type="spellStart"/>
            <w:r w:rsidRPr="0026420A">
              <w:t>criptoactive</w:t>
            </w:r>
            <w:proofErr w:type="spellEnd"/>
            <w:r w:rsidRPr="0026420A">
              <w:t xml:space="preserve"> sunt prevederi UE neaplicabile și nu pot fi transpuse în general, întrucât se referă la activități ce țin de competența autorităților europene (ABE și ESMA) cu implicarea tangențială a autorităților competente a statelor membre, respectiv vor fi aplicate direct la data aderării la UE. </w:t>
            </w:r>
          </w:p>
        </w:tc>
      </w:tr>
      <w:tr w:rsidR="00A06816" w:rsidRPr="0026420A" w14:paraId="611F8A1B" w14:textId="77777777" w:rsidTr="001F4857">
        <w:trPr>
          <w:trHeight w:val="615"/>
        </w:trPr>
        <w:tc>
          <w:tcPr>
            <w:tcW w:w="2206" w:type="dxa"/>
            <w:vMerge/>
            <w:tcMar>
              <w:top w:w="0" w:type="dxa"/>
              <w:left w:w="108" w:type="dxa"/>
              <w:bottom w:w="0" w:type="dxa"/>
              <w:right w:w="108" w:type="dxa"/>
            </w:tcMar>
          </w:tcPr>
          <w:p w14:paraId="466368F7"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6EBE94DC"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2061A08E" w14:textId="610FC64D" w:rsidR="00A06816" w:rsidRPr="0026420A" w:rsidRDefault="00A06816" w:rsidP="00A06816">
            <w:pPr>
              <w:pBdr>
                <w:top w:val="none" w:sz="4" w:space="0" w:color="000000"/>
                <w:left w:val="none" w:sz="4" w:space="0" w:color="000000"/>
                <w:bottom w:val="none" w:sz="4" w:space="0" w:color="000000"/>
                <w:right w:val="none" w:sz="4" w:space="0" w:color="000000"/>
              </w:pBdr>
              <w:ind w:firstLine="0"/>
              <w:rPr>
                <w:b/>
                <w:bCs/>
              </w:rPr>
            </w:pPr>
            <w:r w:rsidRPr="0026420A">
              <w:t>Cerințele privind autorizarea prevăzute la art. 59-64 din actul UE sunt transpuse parțial prin prevederile art. 53-58 din proiectul național. Actul național transpune cerințele de bază privind autorizarea, condițiile de funcționare și interdicțiile, dar nu preia regimul transfrontalier, nu recunoaște forme juridice alternative și introduce restricții suplimentare pentru instituțiile de plată, conformitatea deplină urmând a fi asigurată de la data aderării la UE.</w:t>
            </w:r>
          </w:p>
        </w:tc>
        <w:tc>
          <w:tcPr>
            <w:tcW w:w="5281" w:type="dxa"/>
            <w:tcMar>
              <w:top w:w="0" w:type="dxa"/>
              <w:left w:w="108" w:type="dxa"/>
              <w:bottom w:w="0" w:type="dxa"/>
              <w:right w:w="108" w:type="dxa"/>
            </w:tcMar>
          </w:tcPr>
          <w:p w14:paraId="2755BE35" w14:textId="77777777" w:rsidR="00A06816" w:rsidRPr="0026420A" w:rsidRDefault="00A06816" w:rsidP="00A06816">
            <w:pPr>
              <w:ind w:firstLine="0"/>
              <w:rPr>
                <w:b/>
                <w:bCs/>
              </w:rPr>
            </w:pPr>
            <w:r w:rsidRPr="0026420A">
              <w:rPr>
                <w:b/>
                <w:bCs/>
              </w:rPr>
              <w:t>Se ia act.</w:t>
            </w:r>
          </w:p>
          <w:p w14:paraId="5C5918F6" w14:textId="1F6ED105" w:rsidR="00A06816" w:rsidRPr="0026420A" w:rsidRDefault="00A06816" w:rsidP="00A06816">
            <w:pPr>
              <w:pBdr>
                <w:top w:val="none" w:sz="4" w:space="0" w:color="000000"/>
                <w:left w:val="none" w:sz="4" w:space="0" w:color="000000"/>
                <w:bottom w:val="none" w:sz="4" w:space="0" w:color="000000"/>
                <w:right w:val="none" w:sz="4" w:space="0" w:color="000000"/>
              </w:pBdr>
              <w:ind w:firstLine="0"/>
              <w:rPr>
                <w:b/>
                <w:bCs/>
              </w:rPr>
            </w:pPr>
            <w:r w:rsidRPr="0026420A">
              <w:t>Pentru claritate, Tabelul de concordanță se completează cu observații suplimentare.</w:t>
            </w:r>
          </w:p>
        </w:tc>
      </w:tr>
      <w:tr w:rsidR="00A06816" w:rsidRPr="0026420A" w14:paraId="383ED16E" w14:textId="77777777" w:rsidTr="001F4857">
        <w:trPr>
          <w:trHeight w:val="615"/>
        </w:trPr>
        <w:tc>
          <w:tcPr>
            <w:tcW w:w="2206" w:type="dxa"/>
            <w:vMerge/>
            <w:tcMar>
              <w:top w:w="0" w:type="dxa"/>
              <w:left w:w="108" w:type="dxa"/>
              <w:bottom w:w="0" w:type="dxa"/>
              <w:right w:w="108" w:type="dxa"/>
            </w:tcMar>
          </w:tcPr>
          <w:p w14:paraId="45C38C6B"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79EEB784"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56032A34" w14:textId="5ED706D3" w:rsidR="00A06816" w:rsidRPr="0026420A" w:rsidRDefault="00A06816" w:rsidP="00A06816">
            <w:pPr>
              <w:pBdr>
                <w:top w:val="none" w:sz="4" w:space="0" w:color="000000"/>
                <w:left w:val="none" w:sz="4" w:space="0" w:color="000000"/>
                <w:bottom w:val="none" w:sz="4" w:space="0" w:color="000000"/>
                <w:right w:val="none" w:sz="4" w:space="0" w:color="000000"/>
              </w:pBdr>
              <w:ind w:firstLine="0"/>
              <w:rPr>
                <w:b/>
                <w:bCs/>
              </w:rPr>
            </w:pPr>
            <w:r w:rsidRPr="0026420A">
              <w:t xml:space="preserve">Prevederile art. 67 din proiectul național sunt parțial compatibile cu cerințele </w:t>
            </w:r>
            <w:proofErr w:type="spellStart"/>
            <w:r w:rsidRPr="0026420A">
              <w:t>MiCA</w:t>
            </w:r>
            <w:proofErr w:type="spellEnd"/>
            <w:r w:rsidRPr="0026420A">
              <w:t xml:space="preserve"> prevăzute la art. 60, în ceea ce privește garanțiile prudențiale, aplicarea fiind adaptată la nivel intern, cu accent pe supravegherea națională și pe obligații suplimentare de transparență (publicarea poliței). Pentru conformitate deplină, ar fi necesară integrarea în mecanismul european de standardizare și recunoaștere </w:t>
            </w:r>
            <w:r w:rsidRPr="0026420A">
              <w:lastRenderedPageBreak/>
              <w:t>transfrontalieră prevăzut de Regulamentul UE, care este prevăzut pentru implementare la data aderării.</w:t>
            </w:r>
          </w:p>
        </w:tc>
        <w:tc>
          <w:tcPr>
            <w:tcW w:w="5281" w:type="dxa"/>
            <w:tcMar>
              <w:top w:w="0" w:type="dxa"/>
              <w:left w:w="108" w:type="dxa"/>
              <w:bottom w:w="0" w:type="dxa"/>
              <w:right w:w="108" w:type="dxa"/>
            </w:tcMar>
          </w:tcPr>
          <w:p w14:paraId="484CD3EC" w14:textId="77777777" w:rsidR="00A06816" w:rsidRPr="0026420A" w:rsidRDefault="00A06816" w:rsidP="00A06816">
            <w:pPr>
              <w:ind w:firstLine="0"/>
              <w:rPr>
                <w:b/>
                <w:bCs/>
              </w:rPr>
            </w:pPr>
            <w:r w:rsidRPr="0026420A">
              <w:rPr>
                <w:b/>
                <w:bCs/>
              </w:rPr>
              <w:lastRenderedPageBreak/>
              <w:t>Comentariu</w:t>
            </w:r>
          </w:p>
          <w:p w14:paraId="466AE577" w14:textId="454B1A2B" w:rsidR="00A06816" w:rsidRPr="0026420A" w:rsidRDefault="00A06816" w:rsidP="00A06816">
            <w:pPr>
              <w:ind w:firstLine="0"/>
              <w:rPr>
                <w:b/>
                <w:bCs/>
              </w:rPr>
            </w:pPr>
            <w:r w:rsidRPr="000E14F1">
              <w:rPr>
                <w:iCs/>
              </w:rPr>
              <w:t xml:space="preserve">Cu titlu informativ, se precizează că </w:t>
            </w:r>
            <w:r>
              <w:rPr>
                <w:iCs/>
              </w:rPr>
              <w:t xml:space="preserve">referințele </w:t>
            </w:r>
            <w:r w:rsidRPr="0026420A">
              <w:t>”</w:t>
            </w:r>
            <w:r w:rsidRPr="0026420A">
              <w:rPr>
                <w:i/>
                <w:iCs/>
              </w:rPr>
              <w:t>art. 67 din proiectul național</w:t>
            </w:r>
            <w:r w:rsidRPr="0026420A">
              <w:t>” și ”</w:t>
            </w:r>
            <w:r w:rsidRPr="0026420A">
              <w:rPr>
                <w:i/>
                <w:iCs/>
              </w:rPr>
              <w:t xml:space="preserve">cerințele </w:t>
            </w:r>
            <w:proofErr w:type="spellStart"/>
            <w:r w:rsidRPr="0026420A">
              <w:rPr>
                <w:i/>
                <w:iCs/>
              </w:rPr>
              <w:t>MiCA</w:t>
            </w:r>
            <w:proofErr w:type="spellEnd"/>
            <w:r w:rsidRPr="0026420A">
              <w:rPr>
                <w:i/>
                <w:iCs/>
              </w:rPr>
              <w:t xml:space="preserve"> prevăzute la art. 60</w:t>
            </w:r>
            <w:r w:rsidRPr="0026420A">
              <w:t>”  urmează fi citite corect ca referințe la ”</w:t>
            </w:r>
            <w:r w:rsidRPr="0026420A">
              <w:rPr>
                <w:i/>
                <w:iCs/>
              </w:rPr>
              <w:t>cerințele prudențiale MICA prevăzute la art.67</w:t>
            </w:r>
            <w:r w:rsidRPr="0026420A">
              <w:t>” transpuse în ”</w:t>
            </w:r>
            <w:r w:rsidRPr="0026420A">
              <w:rPr>
                <w:i/>
                <w:iCs/>
              </w:rPr>
              <w:t>art. 60 din proiectul național.</w:t>
            </w:r>
          </w:p>
          <w:p w14:paraId="5276F26B" w14:textId="0DF1F32E" w:rsidR="00A06816" w:rsidRPr="0026420A" w:rsidRDefault="00A06816" w:rsidP="00A06816">
            <w:pPr>
              <w:pBdr>
                <w:top w:val="none" w:sz="4" w:space="0" w:color="000000"/>
                <w:left w:val="none" w:sz="4" w:space="0" w:color="000000"/>
                <w:bottom w:val="none" w:sz="4" w:space="0" w:color="000000"/>
                <w:right w:val="none" w:sz="4" w:space="0" w:color="000000"/>
              </w:pBdr>
              <w:ind w:firstLine="0"/>
              <w:rPr>
                <w:b/>
                <w:bCs/>
              </w:rPr>
            </w:pPr>
            <w:r w:rsidRPr="0026420A">
              <w:lastRenderedPageBreak/>
              <w:t>De asemenea, cerințele prudențiale MICA prevăzute la art.67 nu stabilesc aspecte aferent mecanismului european de standardizare și recunoaștere transfrontalieră.</w:t>
            </w:r>
          </w:p>
        </w:tc>
      </w:tr>
      <w:tr w:rsidR="00A06816" w:rsidRPr="0026420A" w14:paraId="6602E92F" w14:textId="77777777" w:rsidTr="001F4857">
        <w:trPr>
          <w:trHeight w:val="615"/>
        </w:trPr>
        <w:tc>
          <w:tcPr>
            <w:tcW w:w="2206" w:type="dxa"/>
            <w:vMerge/>
            <w:tcMar>
              <w:top w:w="0" w:type="dxa"/>
              <w:left w:w="108" w:type="dxa"/>
              <w:bottom w:w="0" w:type="dxa"/>
              <w:right w:w="108" w:type="dxa"/>
            </w:tcMar>
          </w:tcPr>
          <w:p w14:paraId="7F420D65"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2408E1E4"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03CEA799" w14:textId="3ABC3F20" w:rsidR="00A06816" w:rsidRPr="0026420A" w:rsidRDefault="00A06816" w:rsidP="00A06816">
            <w:pPr>
              <w:pBdr>
                <w:top w:val="none" w:sz="4" w:space="0" w:color="000000"/>
                <w:left w:val="none" w:sz="4" w:space="0" w:color="000000"/>
                <w:bottom w:val="none" w:sz="4" w:space="0" w:color="000000"/>
                <w:right w:val="none" w:sz="4" w:space="0" w:color="000000"/>
              </w:pBdr>
              <w:ind w:firstLine="0"/>
              <w:rPr>
                <w:b/>
                <w:bCs/>
              </w:rPr>
            </w:pPr>
            <w:r w:rsidRPr="0026420A">
              <w:t>Prevederile art. 70 din actul UE sunt transpuse parțial prin prevederile art. 63 din proiectul național. Aplicarea este adaptată la nivel intern, prin limitarea plasării fondurilor doar la instituții de credit și prin referințe la legislația națională (Legea nr. 114/2012), fără includerea băncii centrale și fără integrarea în cadrul european PSD2. Pentru conformitate deplină, ar fi necesară extinderea opțiunilor de plasare a fondurilor și alinierea la regimul european al serviciilor de plată.</w:t>
            </w:r>
          </w:p>
        </w:tc>
        <w:tc>
          <w:tcPr>
            <w:tcW w:w="5281" w:type="dxa"/>
            <w:tcMar>
              <w:top w:w="0" w:type="dxa"/>
              <w:left w:w="108" w:type="dxa"/>
              <w:bottom w:w="0" w:type="dxa"/>
              <w:right w:w="108" w:type="dxa"/>
            </w:tcMar>
          </w:tcPr>
          <w:p w14:paraId="6994D4D4" w14:textId="77777777"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rPr>
                <w:b/>
                <w:bCs/>
              </w:rPr>
            </w:pPr>
            <w:r w:rsidRPr="0026420A">
              <w:rPr>
                <w:b/>
                <w:bCs/>
              </w:rPr>
              <w:t>Se acceptă</w:t>
            </w:r>
          </w:p>
          <w:p w14:paraId="2A003BCD" w14:textId="0DB5B7D7" w:rsidR="00A06816" w:rsidRPr="0026420A" w:rsidRDefault="00A06816" w:rsidP="00A06816">
            <w:pPr>
              <w:pBdr>
                <w:top w:val="none" w:sz="4" w:space="0" w:color="000000"/>
                <w:left w:val="none" w:sz="4" w:space="0" w:color="000000"/>
                <w:bottom w:val="none" w:sz="4" w:space="0" w:color="000000"/>
                <w:right w:val="none" w:sz="4" w:space="0" w:color="000000"/>
              </w:pBdr>
              <w:ind w:firstLine="0"/>
              <w:rPr>
                <w:bCs/>
              </w:rPr>
            </w:pPr>
            <w:r w:rsidRPr="0026420A">
              <w:rPr>
                <w:bCs/>
              </w:rPr>
              <w:t>Textul prevederilor proiectului de Lege se completează corespunzător cu includerea băncii centrale.</w:t>
            </w:r>
          </w:p>
        </w:tc>
      </w:tr>
      <w:tr w:rsidR="00A06816" w:rsidRPr="0026420A" w14:paraId="3951E00E" w14:textId="77777777" w:rsidTr="001F4857">
        <w:trPr>
          <w:trHeight w:val="615"/>
        </w:trPr>
        <w:tc>
          <w:tcPr>
            <w:tcW w:w="2206" w:type="dxa"/>
            <w:vMerge/>
            <w:tcMar>
              <w:top w:w="0" w:type="dxa"/>
              <w:left w:w="108" w:type="dxa"/>
              <w:bottom w:w="0" w:type="dxa"/>
              <w:right w:w="108" w:type="dxa"/>
            </w:tcMar>
          </w:tcPr>
          <w:p w14:paraId="4DFECC25"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42EA9835"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6985F163" w14:textId="77777777" w:rsidR="00A06816" w:rsidRPr="0026420A" w:rsidRDefault="00A06816" w:rsidP="00A06816">
            <w:pPr>
              <w:ind w:firstLine="0"/>
            </w:pPr>
            <w:r w:rsidRPr="0026420A">
              <w:rPr>
                <w:i/>
                <w:iCs/>
              </w:rPr>
              <w:t xml:space="preserve">b) Prevederi UE aplicabile la data aderării: </w:t>
            </w:r>
          </w:p>
          <w:p w14:paraId="528A5C46" w14:textId="77777777" w:rsidR="00A06816" w:rsidRPr="0026420A" w:rsidRDefault="00A06816" w:rsidP="00A06816">
            <w:pPr>
              <w:ind w:firstLine="0"/>
            </w:pPr>
            <w:r w:rsidRPr="0026420A">
              <w:t>Proiectul de lege limitează aplicabilitatea normelor la piața internă a Republicii Moldova și nu instituie un mecanism de „</w:t>
            </w:r>
            <w:proofErr w:type="spellStart"/>
            <w:r w:rsidRPr="0026420A">
              <w:t>passporting</w:t>
            </w:r>
            <w:proofErr w:type="spellEnd"/>
            <w:r w:rsidRPr="0026420A">
              <w:t>” sau de recunoaștere automată a licențelor eliberate în alte jurisdicții. În acest context, definițiile și dispozițiile referitoare la regimul transfrontalier nu sunt preluate, iar mecanismul european de standardizare ESMA/EBA este substituit prin reglementări emise de Comisia Națională a Pieței Financiare și Banca Națională a Moldovei. De asemenea, mecanismul de notificare către statele gazdă și comunicarea către instituțiile UE sunt înlocuite cu prevederi adaptate specificului normativ intern, care, conform dispozițiilor art. 104 alin. (3) din proiectul național, vor fi substituite de la data aderării la UE.</w:t>
            </w:r>
          </w:p>
          <w:p w14:paraId="2102C631" w14:textId="77777777" w:rsidR="00A06816" w:rsidRPr="0026420A" w:rsidRDefault="00A06816" w:rsidP="00A06816">
            <w:pPr>
              <w:ind w:firstLine="0"/>
            </w:pPr>
            <w:r w:rsidRPr="0026420A">
              <w:t>Cu privire la desemnarea autorităților competente, instituirea mecanismului de prevenire și sancționare, precum și a mecanismelor de cooperare prevăzute la Titlurile VI și VII ale Regulamentului UE, menționăm că proiectul național introduce o divizare explicită între autoritățile competente, conform prevederilor art. 93 din Titlul VII „Autoritățile competente, ABE și ESMA” din Regulamentul (UE) 2023/1114, desemnând CNPF și BNM drept autorități competente, fiecare cu atribuții distincte. La fel, proiectul național instituie un regim de prevenire și interzicere a abuzului de piață, similar celui european, dar cu adaptări normative (competențe ale instituțiile UE preluate la nivel național, notificare, evidență și registre interne etc.), care au rolul de a asigura transparența și integritatea pieței până la data aderării.</w:t>
            </w:r>
          </w:p>
          <w:p w14:paraId="027A1AB3" w14:textId="77777777" w:rsidR="00A06816" w:rsidRPr="0026420A" w:rsidRDefault="00A06816" w:rsidP="00A06816">
            <w:pPr>
              <w:ind w:firstLine="0"/>
            </w:pPr>
            <w:r w:rsidRPr="0026420A">
              <w:t xml:space="preserve">Totodată, evidențiem că prevederile art. 85 alin. (5)–(9) din proiect, referitoare la punctul unic de contact, obligațiile de notificare și raportare către ESMA și ABE, precum și asigurarea cooperării internaționale și interstatale, conform art. 104 alin. (2), urmează a fi aplicate din data aderării, ceea ce reflectă o transpunere etapizată. </w:t>
            </w:r>
          </w:p>
          <w:p w14:paraId="3CDE1141" w14:textId="215EF0CA" w:rsidR="00A06816" w:rsidRPr="0026420A" w:rsidRDefault="00A06816" w:rsidP="00A06816">
            <w:pPr>
              <w:pBdr>
                <w:top w:val="none" w:sz="4" w:space="0" w:color="000000"/>
                <w:left w:val="none" w:sz="4" w:space="0" w:color="000000"/>
                <w:bottom w:val="none" w:sz="4" w:space="0" w:color="000000"/>
                <w:right w:val="none" w:sz="4" w:space="0" w:color="000000"/>
              </w:pBdr>
              <w:ind w:firstLine="0"/>
              <w:rPr>
                <w:b/>
                <w:bCs/>
              </w:rPr>
            </w:pPr>
            <w:r w:rsidRPr="0026420A">
              <w:lastRenderedPageBreak/>
              <w:t>În acest sens, dispozițiile finale prevăzute la art. 104 alin. (2) și (3) din proiect stabilesc măsuri normative interne, care-și propun implementarea integrală a prevederilor Regulamentului european la data aderării. În context, textul legii este restructurat ca lege de punere în aplicare a Regulamentului (UE) 2023/1114, prin eliminarea capitolelor de transpunere parțială sau a supra-reglementărilor, precum și prin adaptarea trimiterilor interne la articolele din Regulamentele UE, păstrând doar dispozițiile privind autoritățile competente, sancțiunile și mecanismele de implementare, conform cerințelor înaintate statelor membre ale UE.</w:t>
            </w:r>
          </w:p>
        </w:tc>
        <w:tc>
          <w:tcPr>
            <w:tcW w:w="5281" w:type="dxa"/>
            <w:tcMar>
              <w:top w:w="0" w:type="dxa"/>
              <w:left w:w="108" w:type="dxa"/>
              <w:bottom w:w="0" w:type="dxa"/>
              <w:right w:w="108" w:type="dxa"/>
            </w:tcMar>
          </w:tcPr>
          <w:p w14:paraId="3A4F2CBE" w14:textId="77777777"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rPr>
                <w:b/>
                <w:bCs/>
              </w:rPr>
            </w:pPr>
            <w:r w:rsidRPr="0026420A">
              <w:rPr>
                <w:b/>
                <w:bCs/>
              </w:rPr>
              <w:lastRenderedPageBreak/>
              <w:t>Comentariu</w:t>
            </w:r>
          </w:p>
          <w:p w14:paraId="6094A887" w14:textId="77777777" w:rsidR="00A06816" w:rsidRPr="0026420A" w:rsidRDefault="00A06816" w:rsidP="00A06816">
            <w:pPr>
              <w:pBdr>
                <w:top w:val="none" w:sz="4" w:space="0" w:color="000000"/>
                <w:left w:val="none" w:sz="4" w:space="0" w:color="000000"/>
                <w:bottom w:val="none" w:sz="4" w:space="0" w:color="000000"/>
                <w:right w:val="none" w:sz="4" w:space="0" w:color="000000"/>
              </w:pBdr>
              <w:ind w:firstLine="0"/>
              <w:rPr>
                <w:bCs/>
              </w:rPr>
            </w:pPr>
            <w:r w:rsidRPr="0026420A">
              <w:rPr>
                <w:bCs/>
              </w:rPr>
              <w:t xml:space="preserve">În ceea ce privește lipsa mecanismului de recunoaștere mutuală la nivel european, aceasta este justificată de statutul Republicii Moldova, în calitate de stat terț care nu este încă membru al Uniunii Europene. Mecanismele </w:t>
            </w:r>
            <w:proofErr w:type="spellStart"/>
            <w:r w:rsidRPr="0026420A">
              <w:rPr>
                <w:bCs/>
              </w:rPr>
              <w:t>MiCA</w:t>
            </w:r>
            <w:proofErr w:type="spellEnd"/>
            <w:r w:rsidRPr="0026420A">
              <w:rPr>
                <w:bCs/>
              </w:rPr>
              <w:t xml:space="preserve"> privind regimul </w:t>
            </w:r>
            <w:proofErr w:type="spellStart"/>
            <w:r w:rsidRPr="0026420A">
              <w:rPr>
                <w:bCs/>
              </w:rPr>
              <w:t>pașaportizare</w:t>
            </w:r>
            <w:proofErr w:type="spellEnd"/>
            <w:r w:rsidRPr="0026420A">
              <w:rPr>
                <w:bCs/>
              </w:rPr>
              <w:t>, notificarea transfrontalieră, cooperarea între autoritățile competente ale statelor membre, precum și înregistrarea în registrele ESMA/EBA și recunoașterea efectelor autorizațiilor în Uniune funcționează exclusiv în cadrul pieței interne a UE. În lipsa calității de stat membru, Republica Moldova nu poate acorda sau primi efecte juridice automate similare unei autorizații emise într-un stat membru al UE.</w:t>
            </w:r>
          </w:p>
          <w:p w14:paraId="3C45AC20" w14:textId="77777777" w:rsidR="00A06816" w:rsidRPr="0026420A" w:rsidRDefault="00A06816" w:rsidP="00A06816">
            <w:pPr>
              <w:pBdr>
                <w:top w:val="none" w:sz="4" w:space="0" w:color="000000"/>
                <w:left w:val="none" w:sz="4" w:space="0" w:color="000000"/>
                <w:bottom w:val="none" w:sz="4" w:space="0" w:color="000000"/>
                <w:right w:val="none" w:sz="4" w:space="0" w:color="000000"/>
              </w:pBdr>
              <w:ind w:firstLine="0"/>
              <w:rPr>
                <w:bCs/>
              </w:rPr>
            </w:pPr>
          </w:p>
          <w:p w14:paraId="2E14C112" w14:textId="77777777" w:rsidR="00A06816" w:rsidRPr="0026420A" w:rsidRDefault="00A06816" w:rsidP="00A06816">
            <w:pPr>
              <w:ind w:firstLine="0"/>
            </w:pPr>
            <w:r w:rsidRPr="0026420A">
              <w:t>În consecință, proiectul de lege transpune parțial și adaptat acquis-</w:t>
            </w:r>
            <w:proofErr w:type="spellStart"/>
            <w:r w:rsidRPr="0026420A">
              <w:t>ul</w:t>
            </w:r>
            <w:proofErr w:type="spellEnd"/>
            <w:r w:rsidRPr="0026420A">
              <w:t xml:space="preserve"> </w:t>
            </w:r>
            <w:proofErr w:type="spellStart"/>
            <w:r w:rsidRPr="0026420A">
              <w:t>MiCA</w:t>
            </w:r>
            <w:proofErr w:type="spellEnd"/>
            <w:r w:rsidRPr="0026420A">
              <w:t xml:space="preserve"> pentru piața națională, fără a institui un regim de </w:t>
            </w:r>
            <w:proofErr w:type="spellStart"/>
            <w:r w:rsidRPr="0026420A">
              <w:t>pașaportizare</w:t>
            </w:r>
            <w:proofErr w:type="spellEnd"/>
            <w:r w:rsidRPr="0026420A">
              <w:t xml:space="preserve"> sau recunoaștere mutuală europeană. </w:t>
            </w:r>
          </w:p>
          <w:p w14:paraId="6D3FA21C" w14:textId="77777777" w:rsidR="00A06816" w:rsidRPr="0026420A" w:rsidRDefault="00A06816" w:rsidP="00A06816">
            <w:pPr>
              <w:ind w:firstLine="0"/>
            </w:pPr>
            <w:r w:rsidRPr="0026420A">
              <w:t>La etapa actuală, aceste prevederi comunitare nu sunt aplicabile Republicii Moldova, iar autoritățile naționale nu pot genera sau recunoaște efecte juridice automate similare unei autorizații emise în UE.</w:t>
            </w:r>
          </w:p>
          <w:p w14:paraId="3D3AEC75" w14:textId="77777777" w:rsidR="00A06816" w:rsidRPr="0026420A" w:rsidRDefault="00A06816" w:rsidP="00A06816">
            <w:pPr>
              <w:ind w:firstLine="0"/>
            </w:pPr>
          </w:p>
          <w:p w14:paraId="188E07B8" w14:textId="77777777" w:rsidR="00A06816" w:rsidRPr="0026420A" w:rsidRDefault="00A06816" w:rsidP="00A06816">
            <w:pPr>
              <w:ind w:firstLine="0"/>
            </w:pPr>
            <w:r w:rsidRPr="0026420A">
              <w:t xml:space="preserve">Totodată, proiectul de lege se completează cu un articol suplimentar (Articolul 105) la Capitolul VIII ”Dispoziții finale și tranzitorii” cu privire la </w:t>
            </w:r>
            <w:r w:rsidRPr="0026420A">
              <w:rPr>
                <w:i/>
                <w:iCs/>
              </w:rPr>
              <w:t xml:space="preserve">regimul de tranziție către mecanismele Uniunii Europene de recunoaștere mutuală și cooperare europeană în domeniul </w:t>
            </w:r>
            <w:proofErr w:type="spellStart"/>
            <w:r w:rsidRPr="0026420A">
              <w:rPr>
                <w:i/>
                <w:iCs/>
              </w:rPr>
              <w:t>criptoactivelor</w:t>
            </w:r>
            <w:proofErr w:type="spellEnd"/>
            <w:r w:rsidRPr="0026420A">
              <w:t xml:space="preserve">, în scopul delimitării efectelor juridice ale regimului național aplicabil până la aderarea R. Moldova la UE și pregătirea aplicării mecanismelor europene de recunoaștere mutuală și cooperare în domeniul </w:t>
            </w:r>
            <w:proofErr w:type="spellStart"/>
            <w:r w:rsidRPr="0026420A">
              <w:t>criptoactivelor</w:t>
            </w:r>
            <w:proofErr w:type="spellEnd"/>
            <w:r w:rsidRPr="0026420A">
              <w:t>.</w:t>
            </w:r>
          </w:p>
          <w:p w14:paraId="2E48C8F3" w14:textId="66B4AC5F" w:rsidR="00A06816" w:rsidRPr="0026420A" w:rsidRDefault="00A06816" w:rsidP="00A06816">
            <w:pPr>
              <w:pBdr>
                <w:top w:val="none" w:sz="4" w:space="0" w:color="000000"/>
                <w:left w:val="none" w:sz="4" w:space="0" w:color="000000"/>
                <w:bottom w:val="none" w:sz="4" w:space="0" w:color="000000"/>
                <w:right w:val="none" w:sz="4" w:space="0" w:color="000000"/>
              </w:pBdr>
              <w:ind w:firstLine="0"/>
              <w:rPr>
                <w:bCs/>
              </w:rPr>
            </w:pPr>
          </w:p>
        </w:tc>
      </w:tr>
      <w:tr w:rsidR="00A06816" w:rsidRPr="0026420A" w14:paraId="39F38BAF" w14:textId="77777777" w:rsidTr="001F4857">
        <w:trPr>
          <w:trHeight w:val="615"/>
        </w:trPr>
        <w:tc>
          <w:tcPr>
            <w:tcW w:w="2206" w:type="dxa"/>
            <w:vMerge/>
            <w:tcMar>
              <w:top w:w="0" w:type="dxa"/>
              <w:left w:w="108" w:type="dxa"/>
              <w:bottom w:w="0" w:type="dxa"/>
              <w:right w:w="108" w:type="dxa"/>
            </w:tcMar>
          </w:tcPr>
          <w:p w14:paraId="4C5A1AF6"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37C93A98"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5CCFBFBD" w14:textId="77777777" w:rsidR="00A06816" w:rsidRPr="0026420A" w:rsidRDefault="00A06816" w:rsidP="00A06816">
            <w:pPr>
              <w:ind w:firstLine="0"/>
            </w:pPr>
            <w:r w:rsidRPr="0026420A">
              <w:rPr>
                <w:i/>
                <w:iCs/>
              </w:rPr>
              <w:t xml:space="preserve">c) </w:t>
            </w:r>
            <w:proofErr w:type="spellStart"/>
            <w:r w:rsidRPr="0026420A">
              <w:rPr>
                <w:i/>
                <w:iCs/>
              </w:rPr>
              <w:t>MiCA</w:t>
            </w:r>
            <w:proofErr w:type="spellEnd"/>
            <w:r w:rsidRPr="0026420A">
              <w:rPr>
                <w:i/>
                <w:iCs/>
              </w:rPr>
              <w:t xml:space="preserve"> – acte delegate și de punere în aplicare (20 august 2025): </w:t>
            </w:r>
          </w:p>
          <w:p w14:paraId="28FBA7ED" w14:textId="77777777" w:rsidR="00A06816" w:rsidRPr="0026420A" w:rsidRDefault="00A06816" w:rsidP="00A06816">
            <w:pPr>
              <w:ind w:firstLine="0"/>
            </w:pPr>
            <w:r w:rsidRPr="0026420A">
              <w:t xml:space="preserve">O serie de prevederi din actul UE urmează a fi implementate prin mai multe acte delegate și de punere în aplicare, după cum urmează: </w:t>
            </w:r>
          </w:p>
          <w:p w14:paraId="59660903" w14:textId="77777777" w:rsidR="00A06816" w:rsidRPr="0026420A" w:rsidRDefault="00A06816" w:rsidP="00A06816">
            <w:pPr>
              <w:ind w:firstLine="0"/>
            </w:pPr>
            <w:r w:rsidRPr="0026420A">
              <w:t xml:space="preserve">- art. 6 (11), art. 19 (10), art. 51 (10) - prin Regulamentul de punere în aplicare (UE) 2024/2984 al Comisiei; </w:t>
            </w:r>
          </w:p>
          <w:p w14:paraId="3A7490BB" w14:textId="77777777" w:rsidR="00A06816" w:rsidRPr="0026420A" w:rsidRDefault="00A06816" w:rsidP="00A06816">
            <w:pPr>
              <w:ind w:firstLine="0"/>
            </w:pPr>
            <w:r w:rsidRPr="0026420A">
              <w:t xml:space="preserve">- art. 6 (12), art. 19 (12), art. 51 (15), art. 66 (16) - prin Regulamentul delegat (UE) 2025/422 al Comisiei; </w:t>
            </w:r>
          </w:p>
          <w:p w14:paraId="24E12B34" w14:textId="77777777" w:rsidR="00A06816" w:rsidRPr="0026420A" w:rsidRDefault="00A06816" w:rsidP="00A06816">
            <w:pPr>
              <w:ind w:firstLine="0"/>
            </w:pPr>
            <w:r w:rsidRPr="0026420A">
              <w:t xml:space="preserve">- art. 17 (8) și (3) - prin Regulamentul delegat (UE) 2025/296 al Comisiei; </w:t>
            </w:r>
          </w:p>
          <w:p w14:paraId="6D43387D" w14:textId="77777777" w:rsidR="00A06816" w:rsidRPr="0026420A" w:rsidRDefault="00A06816" w:rsidP="00A06816">
            <w:pPr>
              <w:ind w:firstLine="0"/>
            </w:pPr>
            <w:r w:rsidRPr="0026420A">
              <w:t xml:space="preserve">- art. 18(6) și (3) - prin Regulamentul delegat (UE) 2025/1125 al Comisiei; </w:t>
            </w:r>
          </w:p>
          <w:p w14:paraId="46DB0201" w14:textId="77777777" w:rsidR="00A06816" w:rsidRPr="0026420A" w:rsidRDefault="00A06816" w:rsidP="00A06816">
            <w:pPr>
              <w:ind w:firstLine="0"/>
            </w:pPr>
            <w:r w:rsidRPr="0026420A">
              <w:t xml:space="preserve">- art. 18 (7) - prin Regulamentul de punere în aplicare (UE) 2025/1126 al Comisiei; </w:t>
            </w:r>
          </w:p>
          <w:p w14:paraId="5AE8BE19" w14:textId="77777777" w:rsidR="00A06816" w:rsidRPr="0026420A" w:rsidRDefault="00A06816" w:rsidP="00A06816">
            <w:pPr>
              <w:ind w:firstLine="0"/>
            </w:pPr>
            <w:r w:rsidRPr="0026420A">
              <w:t xml:space="preserve">- art. 22 (6) și (3) - prin Regulamentul delegat (UE) 2025/298 al Comisiei; </w:t>
            </w:r>
          </w:p>
          <w:p w14:paraId="2DD1A7D7" w14:textId="77777777" w:rsidR="00A06816" w:rsidRPr="0026420A" w:rsidRDefault="00A06816" w:rsidP="00A06816">
            <w:pPr>
              <w:ind w:firstLine="0"/>
            </w:pPr>
            <w:r w:rsidRPr="0026420A">
              <w:t xml:space="preserve">- art. 22 (7) și (3) - prin Regulamentul de punere în aplicare (UE) 2024/2902 al Comisiei; </w:t>
            </w:r>
          </w:p>
          <w:p w14:paraId="5F20A604" w14:textId="77777777" w:rsidR="00A06816" w:rsidRPr="0026420A" w:rsidRDefault="00A06816" w:rsidP="00A06816">
            <w:pPr>
              <w:ind w:firstLine="0"/>
            </w:pPr>
            <w:r w:rsidRPr="0026420A">
              <w:t xml:space="preserve">- art. 31(5) și (3) - prin Regulamentul delegat (UE) 2025/293 al Comisiei; </w:t>
            </w:r>
          </w:p>
          <w:p w14:paraId="028DC92A" w14:textId="77777777" w:rsidR="00A06816" w:rsidRPr="0026420A" w:rsidRDefault="00A06816" w:rsidP="00A06816">
            <w:pPr>
              <w:ind w:firstLine="0"/>
            </w:pPr>
            <w:r w:rsidRPr="0026420A">
              <w:t xml:space="preserve">- art. 32 (5) și (3) - prin Regulamentul delegat (UE) 2025/1141 al Comisiei: </w:t>
            </w:r>
          </w:p>
          <w:p w14:paraId="146AFE57" w14:textId="77777777" w:rsidR="00A06816" w:rsidRPr="0026420A" w:rsidRDefault="00A06816" w:rsidP="00A06816">
            <w:pPr>
              <w:ind w:firstLine="0"/>
            </w:pPr>
            <w:r w:rsidRPr="0026420A">
              <w:t xml:space="preserve">- art. 35 (6) și (3) - prin Regulamentul delegat (UE) 2025/415 al Comisiei; </w:t>
            </w:r>
          </w:p>
          <w:p w14:paraId="67AC1E48" w14:textId="77777777" w:rsidR="00A06816" w:rsidRPr="0026420A" w:rsidRDefault="00A06816" w:rsidP="00A06816">
            <w:pPr>
              <w:ind w:firstLine="0"/>
            </w:pPr>
            <w:r w:rsidRPr="0026420A">
              <w:t xml:space="preserve">- art. 42 (4) - prin Regulamentul delegat (UE) 2025/413 al Comisiei; </w:t>
            </w:r>
          </w:p>
          <w:p w14:paraId="5112965C" w14:textId="77777777" w:rsidR="00A06816" w:rsidRPr="0026420A" w:rsidRDefault="00A06816" w:rsidP="00A06816">
            <w:pPr>
              <w:ind w:firstLine="0"/>
            </w:pPr>
            <w:r w:rsidRPr="0026420A">
              <w:t xml:space="preserve">- art. 43 (11) - prin Regulamentul delegat (UE) 2024/1506 al Comisiei; </w:t>
            </w:r>
          </w:p>
          <w:p w14:paraId="511F17F8" w14:textId="77777777" w:rsidR="00A06816" w:rsidRPr="0026420A" w:rsidRDefault="00A06816" w:rsidP="00A06816">
            <w:pPr>
              <w:ind w:firstLine="0"/>
            </w:pPr>
            <w:r w:rsidRPr="0026420A">
              <w:t xml:space="preserve">- art. 45 (7) și (4) - prin Regulamentele delegate (UE) 2025/418 și 2025/419 ale Comisiei; </w:t>
            </w:r>
          </w:p>
          <w:p w14:paraId="30E7690D" w14:textId="77777777" w:rsidR="00A06816" w:rsidRPr="0026420A" w:rsidRDefault="00A06816" w:rsidP="00A06816">
            <w:pPr>
              <w:ind w:firstLine="0"/>
            </w:pPr>
            <w:r w:rsidRPr="0026420A">
              <w:t xml:space="preserve">- art. 60 (13) - prin Regulamentul delegat (UE) 2025/303 al Comisiei; </w:t>
            </w:r>
          </w:p>
          <w:p w14:paraId="38B5D70A" w14:textId="77777777" w:rsidR="00A06816" w:rsidRPr="0026420A" w:rsidRDefault="00A06816" w:rsidP="00A06816">
            <w:pPr>
              <w:ind w:firstLine="0"/>
            </w:pPr>
            <w:r w:rsidRPr="0026420A">
              <w:t xml:space="preserve">- art. 60 (14) - prin Regulamentul de punere în aplicare (UE) 2025/304 al Comisiei; </w:t>
            </w:r>
          </w:p>
          <w:p w14:paraId="330760C4" w14:textId="77777777" w:rsidR="00A06816" w:rsidRPr="0026420A" w:rsidRDefault="00A06816" w:rsidP="00A06816">
            <w:pPr>
              <w:ind w:firstLine="0"/>
            </w:pPr>
            <w:r w:rsidRPr="0026420A">
              <w:lastRenderedPageBreak/>
              <w:t xml:space="preserve">- art. 62 (5) și (3) - prin Regulamentul delegat (UE) 2025/305 al Comisiei; </w:t>
            </w:r>
          </w:p>
          <w:p w14:paraId="3D1819A4" w14:textId="77777777" w:rsidR="00A06816" w:rsidRPr="0026420A" w:rsidRDefault="00A06816" w:rsidP="00A06816">
            <w:pPr>
              <w:ind w:firstLine="0"/>
            </w:pPr>
            <w:r w:rsidRPr="0026420A">
              <w:t xml:space="preserve">- art. 62 (6) - prin Regulamentul de punere în aplicare (UE) 2025/306 al Comisiei; </w:t>
            </w:r>
          </w:p>
          <w:p w14:paraId="609C8BA2" w14:textId="77777777" w:rsidR="00A06816" w:rsidRPr="0026420A" w:rsidRDefault="00A06816" w:rsidP="00A06816">
            <w:pPr>
              <w:ind w:firstLine="0"/>
            </w:pPr>
            <w:r w:rsidRPr="0026420A">
              <w:t xml:space="preserve">- art. 68 (10) și (3) - prin Regulamentele delegate (UE) 2025/299 și 2025/1140 ale Comisiei; </w:t>
            </w:r>
          </w:p>
          <w:p w14:paraId="70A5A4A2" w14:textId="77777777" w:rsidR="00A06816" w:rsidRPr="0026420A" w:rsidRDefault="00A06816" w:rsidP="00A06816">
            <w:pPr>
              <w:ind w:firstLine="0"/>
            </w:pPr>
            <w:r w:rsidRPr="0026420A">
              <w:t xml:space="preserve">- art. 71 (5) și (3) - prin Regulamentul delegat (UE) 2025/294 al Comisiei; </w:t>
            </w:r>
          </w:p>
          <w:p w14:paraId="1DA9D271" w14:textId="77777777" w:rsidR="00A06816" w:rsidRPr="0026420A" w:rsidRDefault="00A06816" w:rsidP="00A06816">
            <w:pPr>
              <w:ind w:firstLine="0"/>
            </w:pPr>
            <w:r w:rsidRPr="0026420A">
              <w:t xml:space="preserve">- art. 72 (5) - prin Regulamentul delegat (UE) 2025/1142 al Comisiei; </w:t>
            </w:r>
          </w:p>
          <w:p w14:paraId="16FAE8A2" w14:textId="77777777" w:rsidR="00A06816" w:rsidRPr="0026420A" w:rsidRDefault="00A06816" w:rsidP="00A06816">
            <w:pPr>
              <w:ind w:firstLine="0"/>
            </w:pPr>
            <w:r w:rsidRPr="0026420A">
              <w:t xml:space="preserve">- art. 76 (16) și (3) - prin Regulamentele delegate (UE) 2025/417 și 2025/416 ale Comisiei; </w:t>
            </w:r>
          </w:p>
          <w:p w14:paraId="32BB4F71" w14:textId="77777777" w:rsidR="00A06816" w:rsidRPr="0026420A" w:rsidRDefault="00A06816" w:rsidP="00A06816">
            <w:pPr>
              <w:ind w:firstLine="0"/>
            </w:pPr>
            <w:r w:rsidRPr="0026420A">
              <w:t>- art. 84 (4) - prin Regulamentul delegat (UE) 2025/414 al Comisiei;</w:t>
            </w:r>
          </w:p>
          <w:p w14:paraId="56E36B8E" w14:textId="77777777" w:rsidR="00A06816" w:rsidRPr="0026420A" w:rsidRDefault="00A06816" w:rsidP="00A06816">
            <w:pPr>
              <w:ind w:firstLine="0"/>
            </w:pPr>
            <w:r w:rsidRPr="0026420A">
              <w:t xml:space="preserve">- art. 88 (4) și (3) - prin Regulamentul de punere în aplicare (UE) 2024/2861 al Comisiei; </w:t>
            </w:r>
          </w:p>
          <w:p w14:paraId="6DA207B1" w14:textId="77777777" w:rsidR="00A06816" w:rsidRPr="0026420A" w:rsidRDefault="00A06816" w:rsidP="00A06816">
            <w:pPr>
              <w:ind w:firstLine="0"/>
            </w:pPr>
            <w:r w:rsidRPr="0026420A">
              <w:t xml:space="preserve">- art. 92 (2) și (3) - prin Regulamentul delegat (UE) 2025/885 al Comisiei; </w:t>
            </w:r>
          </w:p>
          <w:p w14:paraId="7C0DFAB9" w14:textId="77777777" w:rsidR="00A06816" w:rsidRPr="0026420A" w:rsidRDefault="00A06816" w:rsidP="00A06816">
            <w:pPr>
              <w:ind w:firstLine="0"/>
            </w:pPr>
            <w:r w:rsidRPr="0026420A">
              <w:t xml:space="preserve">- art. 93 (3) - prin Regulamentul de punere în aplicare (UE) 2024/2494 al Comisiei; </w:t>
            </w:r>
          </w:p>
          <w:p w14:paraId="3F587AED" w14:textId="77777777" w:rsidR="00A06816" w:rsidRPr="0026420A" w:rsidRDefault="00A06816" w:rsidP="00A06816">
            <w:pPr>
              <w:ind w:firstLine="0"/>
            </w:pPr>
            <w:r w:rsidRPr="0026420A">
              <w:t xml:space="preserve">- art. 95 (10) și (3) - prin Regulamentul delegat (UE) 2025/300 al Comisiei; </w:t>
            </w:r>
          </w:p>
          <w:p w14:paraId="4070A958" w14:textId="77777777" w:rsidR="00A06816" w:rsidRPr="0026420A" w:rsidRDefault="00A06816" w:rsidP="00A06816">
            <w:pPr>
              <w:ind w:firstLine="0"/>
            </w:pPr>
            <w:r w:rsidRPr="0026420A">
              <w:t xml:space="preserve">- art. 95 (11) - prin Regulamentul de punere în aplicare (UE) 2024/2545 al Comisiei; </w:t>
            </w:r>
          </w:p>
          <w:p w14:paraId="3D1D673E" w14:textId="77777777" w:rsidR="00A06816" w:rsidRPr="0026420A" w:rsidRDefault="00A06816" w:rsidP="00A06816">
            <w:pPr>
              <w:ind w:firstLine="0"/>
            </w:pPr>
            <w:r w:rsidRPr="0026420A">
              <w:t xml:space="preserve">- art. 103 (8), art. 104 (8), art. 105 (7) - prin Regulamentul delegat (UE) 2024/1507 al Comisiei; </w:t>
            </w:r>
          </w:p>
          <w:p w14:paraId="2C0E79EF" w14:textId="77777777" w:rsidR="00A06816" w:rsidRPr="0026420A" w:rsidRDefault="00A06816" w:rsidP="00A06816">
            <w:pPr>
              <w:ind w:firstLine="0"/>
            </w:pPr>
            <w:r w:rsidRPr="0026420A">
              <w:t xml:space="preserve">- art. 107 (3) - prin Regulamentul delegat (UE) 2025/292 al Comisiei; </w:t>
            </w:r>
          </w:p>
          <w:p w14:paraId="42689972" w14:textId="77777777" w:rsidR="00A06816" w:rsidRPr="0026420A" w:rsidRDefault="00A06816" w:rsidP="00A06816">
            <w:pPr>
              <w:ind w:firstLine="0"/>
            </w:pPr>
            <w:r w:rsidRPr="0026420A">
              <w:t xml:space="preserve">- art. 109 (8) - prin Regulamentul delegat (UE) 2025/421 al Comisiei; </w:t>
            </w:r>
          </w:p>
          <w:p w14:paraId="41D3792A" w14:textId="77777777" w:rsidR="00A06816" w:rsidRPr="0026420A" w:rsidRDefault="00A06816" w:rsidP="00A06816">
            <w:pPr>
              <w:ind w:firstLine="0"/>
            </w:pPr>
            <w:r w:rsidRPr="0026420A">
              <w:t xml:space="preserve">- art. 119 (8) și (3) - prin Regulamentul delegat (UE) 2025/297 al Comisiei; </w:t>
            </w:r>
          </w:p>
          <w:p w14:paraId="68DC166C" w14:textId="77777777" w:rsidR="00A06816" w:rsidRPr="0026420A" w:rsidRDefault="00A06816" w:rsidP="00A06816">
            <w:pPr>
              <w:ind w:firstLine="0"/>
            </w:pPr>
            <w:r w:rsidRPr="0026420A">
              <w:t xml:space="preserve">- art. 134 (10) - prin Regulamentul delegat (UE) 2024/1504 al Comisiei; </w:t>
            </w:r>
          </w:p>
          <w:p w14:paraId="3DD9984F" w14:textId="5E552917" w:rsidR="00A06816" w:rsidRPr="0026420A" w:rsidRDefault="00A06816" w:rsidP="00A06816">
            <w:pPr>
              <w:pBdr>
                <w:top w:val="none" w:sz="4" w:space="0" w:color="000000"/>
                <w:left w:val="none" w:sz="4" w:space="0" w:color="000000"/>
                <w:bottom w:val="none" w:sz="4" w:space="0" w:color="000000"/>
                <w:right w:val="none" w:sz="4" w:space="0" w:color="000000"/>
              </w:pBdr>
              <w:ind w:firstLine="0"/>
              <w:rPr>
                <w:b/>
                <w:bCs/>
              </w:rPr>
            </w:pPr>
            <w:r w:rsidRPr="0026420A">
              <w:t>- art. 137 (3) - prin Regulamentul delegat (UE) 2024/1503 al Comisiei.</w:t>
            </w:r>
          </w:p>
        </w:tc>
        <w:tc>
          <w:tcPr>
            <w:tcW w:w="5281" w:type="dxa"/>
            <w:tcMar>
              <w:top w:w="0" w:type="dxa"/>
              <w:left w:w="108" w:type="dxa"/>
              <w:bottom w:w="0" w:type="dxa"/>
              <w:right w:w="108" w:type="dxa"/>
            </w:tcMar>
          </w:tcPr>
          <w:p w14:paraId="5AAB0100" w14:textId="77777777" w:rsidR="00A06816" w:rsidRPr="0026420A" w:rsidRDefault="00A06816" w:rsidP="00A06816">
            <w:pPr>
              <w:ind w:firstLine="0"/>
              <w:rPr>
                <w:b/>
                <w:bCs/>
              </w:rPr>
            </w:pPr>
            <w:r w:rsidRPr="0026420A">
              <w:lastRenderedPageBreak/>
              <w:t xml:space="preserve"> </w:t>
            </w:r>
            <w:r w:rsidRPr="0026420A">
              <w:rPr>
                <w:b/>
                <w:bCs/>
              </w:rPr>
              <w:t>Se ia act.</w:t>
            </w:r>
          </w:p>
          <w:p w14:paraId="6D524586" w14:textId="77777777" w:rsidR="00A06816" w:rsidRPr="0026420A" w:rsidRDefault="00A06816" w:rsidP="00A06816">
            <w:pPr>
              <w:ind w:firstLine="0"/>
            </w:pPr>
            <w:r w:rsidRPr="0026420A">
              <w:t>Pentru claritate, Tabelul de concordanță se completează cu observații suplimentare aferent implementării actelor delegate în modul corespunzător.</w:t>
            </w:r>
          </w:p>
          <w:p w14:paraId="08420E6F" w14:textId="77777777" w:rsidR="00A06816" w:rsidRPr="0026420A" w:rsidRDefault="00A06816" w:rsidP="00A06816">
            <w:pPr>
              <w:ind w:firstLine="0"/>
            </w:pPr>
          </w:p>
          <w:p w14:paraId="7E9B0F51" w14:textId="77777777" w:rsidR="00A06816" w:rsidRPr="0026420A" w:rsidRDefault="00A06816" w:rsidP="00A06816">
            <w:pPr>
              <w:ind w:firstLine="0"/>
            </w:pPr>
            <w:r w:rsidRPr="0026420A">
              <w:t>Comentariu.</w:t>
            </w:r>
          </w:p>
          <w:p w14:paraId="1DA78DDD" w14:textId="77777777" w:rsidR="00A06816" w:rsidRPr="0026420A" w:rsidRDefault="00A06816" w:rsidP="00A06816">
            <w:pPr>
              <w:ind w:firstLine="0"/>
            </w:pPr>
            <w:r w:rsidRPr="0026420A">
              <w:t xml:space="preserve">Având în vedere că o serie de prevederi din actul UE (art. 45 (7) și (4),  art. 119 (8) și (3), art. 134 (10), art. 137 (3)) nu sunt aplicabile ori se referă la atribuțiile unor autorități europene, unele acte delegate și de punere în aplicare nu vor fi transpuse în cadrul secundar, și anume: </w:t>
            </w:r>
          </w:p>
          <w:p w14:paraId="3FFA1F71" w14:textId="77777777" w:rsidR="00A06816" w:rsidRPr="0026420A" w:rsidRDefault="00A06816" w:rsidP="00A06816">
            <w:pPr>
              <w:ind w:firstLine="0"/>
            </w:pPr>
            <w:r w:rsidRPr="0026420A">
              <w:t>- Regulamentele delegate (UE) 2025/418 și 2025/419 ale Comisiei;</w:t>
            </w:r>
          </w:p>
          <w:p w14:paraId="799508D1" w14:textId="77777777" w:rsidR="00A06816" w:rsidRPr="0026420A" w:rsidRDefault="00A06816" w:rsidP="00A06816">
            <w:pPr>
              <w:ind w:firstLine="0"/>
            </w:pPr>
            <w:r w:rsidRPr="0026420A">
              <w:t xml:space="preserve">- Regulamentul delegat (UE) 2025/297 al Comisiei; </w:t>
            </w:r>
          </w:p>
          <w:p w14:paraId="658020CD" w14:textId="77777777" w:rsidR="00A06816" w:rsidRPr="0026420A" w:rsidRDefault="00A06816" w:rsidP="00A06816">
            <w:pPr>
              <w:ind w:firstLine="0"/>
            </w:pPr>
            <w:r w:rsidRPr="0026420A">
              <w:t xml:space="preserve">- Regulamentul delegat (UE) 2024/1504 al Comisiei; </w:t>
            </w:r>
          </w:p>
          <w:p w14:paraId="5FB4E64A" w14:textId="7F774172"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rPr>
                <w:b/>
                <w:bCs/>
              </w:rPr>
            </w:pPr>
            <w:r w:rsidRPr="0026420A">
              <w:t>- Regulamentul delegat (UE) 2024/1503 al Comisiei.</w:t>
            </w:r>
          </w:p>
        </w:tc>
      </w:tr>
      <w:tr w:rsidR="00A06816" w:rsidRPr="0026420A" w14:paraId="0EDEE947" w14:textId="77777777" w:rsidTr="001F4857">
        <w:trPr>
          <w:trHeight w:val="615"/>
        </w:trPr>
        <w:tc>
          <w:tcPr>
            <w:tcW w:w="2206" w:type="dxa"/>
            <w:vMerge/>
            <w:tcMar>
              <w:top w:w="0" w:type="dxa"/>
              <w:left w:w="108" w:type="dxa"/>
              <w:bottom w:w="0" w:type="dxa"/>
              <w:right w:w="108" w:type="dxa"/>
            </w:tcMar>
          </w:tcPr>
          <w:p w14:paraId="4E519DD2"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2C206C23"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7EE94BC1" w14:textId="77777777" w:rsidR="00A06816" w:rsidRPr="0026420A" w:rsidRDefault="00A06816" w:rsidP="00A06816">
            <w:pPr>
              <w:ind w:firstLine="0"/>
            </w:pPr>
            <w:r w:rsidRPr="0026420A">
              <w:rPr>
                <w:b/>
                <w:bCs/>
              </w:rPr>
              <w:t xml:space="preserve">III. Respectarea mecanismului de armonizare </w:t>
            </w:r>
          </w:p>
          <w:p w14:paraId="570C31E8" w14:textId="77777777" w:rsidR="00A06816" w:rsidRPr="0026420A" w:rsidRDefault="00A06816" w:rsidP="00A06816">
            <w:pPr>
              <w:ind w:firstLine="0"/>
            </w:pPr>
            <w:r w:rsidRPr="0026420A">
              <w:rPr>
                <w:i/>
                <w:iCs/>
              </w:rPr>
              <w:t xml:space="preserve">a) Obiecții la tabelul de concordanță </w:t>
            </w:r>
          </w:p>
          <w:p w14:paraId="09E388CC" w14:textId="77777777" w:rsidR="00A06816" w:rsidRPr="0026420A" w:rsidRDefault="00A06816" w:rsidP="00A06816">
            <w:pPr>
              <w:ind w:firstLine="0"/>
            </w:pPr>
            <w:r w:rsidRPr="0026420A">
              <w:t xml:space="preserve">Tabelul de concordanță elaborat corespunde parțial cerințelor de conținut prevăzute în Anexa nr. 2 la HG nr. 1171/2018. În acest sens, tabelul de concordanță urmează a fi completat conform următoarelor cerințe: </w:t>
            </w:r>
          </w:p>
          <w:p w14:paraId="72E1554D" w14:textId="7903A2B8" w:rsidR="00A06816" w:rsidRPr="0026420A" w:rsidRDefault="00A06816" w:rsidP="00A06816">
            <w:pPr>
              <w:pBdr>
                <w:top w:val="none" w:sz="4" w:space="0" w:color="000000"/>
                <w:left w:val="none" w:sz="4" w:space="0" w:color="000000"/>
                <w:bottom w:val="none" w:sz="4" w:space="0" w:color="000000"/>
                <w:right w:val="none" w:sz="4" w:space="0" w:color="000000"/>
              </w:pBdr>
              <w:ind w:firstLine="0"/>
              <w:rPr>
                <w:b/>
                <w:bCs/>
              </w:rPr>
            </w:pPr>
            <w:r w:rsidRPr="0026420A">
              <w:t xml:space="preserve">La compartimentul 9 se menționează diverse observații, în special diferențele dintre prevederile actului juridic european și prevederile proiectului de act normativ național, în cazul în care se realizează o transpunere parțială sau doar a anumitor elemente structurale ale </w:t>
            </w:r>
            <w:r w:rsidRPr="0026420A">
              <w:lastRenderedPageBreak/>
              <w:t>dispozițiilor actului juridic european. Se explică motivele care stau la baza transpunerii parțiale și se inserează trimiteri, mențiuni relevante. Se indică termenele preconizate pentru realizarea transpunerii integrale a dispozițiilor actului juridic european și proiectele de acte normative care vor înlătura diferențele de compatibilitate constatate la compartimentul 8 al tabelului de concordanță. De asemenea, în cazul prevederilor cu specific național, se indică angajamentul autorului, cu explicațiile de rigoare, că acestea nu excedă obiectul de reglementare al actului UE sau nu supra reglementează domeniul.</w:t>
            </w:r>
          </w:p>
        </w:tc>
        <w:tc>
          <w:tcPr>
            <w:tcW w:w="5281" w:type="dxa"/>
            <w:tcMar>
              <w:top w:w="0" w:type="dxa"/>
              <w:left w:w="108" w:type="dxa"/>
              <w:bottom w:w="0" w:type="dxa"/>
              <w:right w:w="108" w:type="dxa"/>
            </w:tcMar>
          </w:tcPr>
          <w:p w14:paraId="0BE79B94" w14:textId="77777777" w:rsidR="00A06816" w:rsidRPr="0026420A" w:rsidRDefault="00A06816" w:rsidP="00A06816">
            <w:pPr>
              <w:ind w:firstLine="0"/>
            </w:pPr>
            <w:r w:rsidRPr="0026420A">
              <w:rPr>
                <w:b/>
                <w:bCs/>
              </w:rPr>
              <w:lastRenderedPageBreak/>
              <w:t>Se acceptă.</w:t>
            </w:r>
          </w:p>
          <w:p w14:paraId="4F484200" w14:textId="77777777" w:rsidR="00A06816" w:rsidRPr="0026420A" w:rsidRDefault="00A06816" w:rsidP="00A06816">
            <w:pPr>
              <w:ind w:firstLine="0"/>
            </w:pPr>
            <w:r w:rsidRPr="0026420A">
              <w:t>Tabelul de concordanță se ajustează conform recomandărilor.</w:t>
            </w:r>
          </w:p>
          <w:p w14:paraId="49925BF7" w14:textId="1B8657EB"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rPr>
                <w:b/>
                <w:bCs/>
              </w:rPr>
            </w:pPr>
          </w:p>
        </w:tc>
      </w:tr>
      <w:tr w:rsidR="00A06816" w:rsidRPr="0026420A" w14:paraId="38AF577E" w14:textId="77777777" w:rsidTr="001F4857">
        <w:trPr>
          <w:trHeight w:val="615"/>
        </w:trPr>
        <w:tc>
          <w:tcPr>
            <w:tcW w:w="2206" w:type="dxa"/>
            <w:vMerge/>
            <w:tcMar>
              <w:top w:w="0" w:type="dxa"/>
              <w:left w:w="108" w:type="dxa"/>
              <w:bottom w:w="0" w:type="dxa"/>
              <w:right w:w="108" w:type="dxa"/>
            </w:tcMar>
          </w:tcPr>
          <w:p w14:paraId="4C47C5AC"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78773C2F"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2C923BA4" w14:textId="77777777" w:rsidR="00A06816" w:rsidRPr="0026420A" w:rsidRDefault="00A06816" w:rsidP="00A06816">
            <w:pPr>
              <w:ind w:firstLine="0"/>
            </w:pPr>
            <w:r w:rsidRPr="0026420A">
              <w:rPr>
                <w:i/>
                <w:iCs/>
              </w:rPr>
              <w:t xml:space="preserve">b) Obiecții la clauza de armonizare </w:t>
            </w:r>
          </w:p>
          <w:p w14:paraId="0106DCDF" w14:textId="77777777" w:rsidR="00A06816" w:rsidRPr="0026420A" w:rsidRDefault="00A06816" w:rsidP="00A06816">
            <w:pPr>
              <w:ind w:firstLine="0"/>
            </w:pPr>
            <w:r w:rsidRPr="0026420A">
              <w:t>Clauza de armonizare se include după preambul și clauza de adoptare a proiectului de act normativ, în conformitate cu cele 5 modele prevăzute în Anexa nr. 1 la HG nr. 1171/2018. Aceasta indică gradul de transpunere și actul sau actele Uniunii Europene transpus(e), descrie tipul, numărul, instituția (instituțiile) Uniunii Europene care a(u) adoptat actul, precum și seria, numărul și data Jurnalului Oficial al UE în care a fost publicat. Pentru actul UE, se indică cele mai recente modificări care sunt transpuse în legislația națională.</w:t>
            </w:r>
          </w:p>
          <w:p w14:paraId="7F5405C3" w14:textId="77777777" w:rsidR="00A06816" w:rsidRPr="0026420A" w:rsidRDefault="00A06816" w:rsidP="00A06816">
            <w:pPr>
              <w:ind w:firstLine="0"/>
            </w:pPr>
            <w:r w:rsidRPr="0026420A">
              <w:t xml:space="preserve">În context, clauza de armonizare a proiectului urmează a fi expusă în următoarea redacție: </w:t>
            </w:r>
          </w:p>
          <w:p w14:paraId="114CDC13" w14:textId="556E173B" w:rsidR="00A06816" w:rsidRPr="0026420A" w:rsidRDefault="00A06816" w:rsidP="00A06816">
            <w:pPr>
              <w:pBdr>
                <w:top w:val="none" w:sz="4" w:space="0" w:color="000000"/>
                <w:left w:val="none" w:sz="4" w:space="0" w:color="000000"/>
                <w:bottom w:val="none" w:sz="4" w:space="0" w:color="000000"/>
                <w:right w:val="none" w:sz="4" w:space="0" w:color="000000"/>
              </w:pBdr>
              <w:ind w:firstLine="0"/>
              <w:rPr>
                <w:b/>
                <w:bCs/>
              </w:rPr>
            </w:pPr>
            <w:r w:rsidRPr="0026420A">
              <w:rPr>
                <w:b/>
                <w:bCs/>
              </w:rPr>
              <w:t xml:space="preserve">„Prezenta Lege transpune parțial Regulamentul (UE) 2023/1114 al Parlamentului European și al Consiliului din 31 mai 2023 privind piețele </w:t>
            </w:r>
            <w:proofErr w:type="spellStart"/>
            <w:r w:rsidRPr="0026420A">
              <w:rPr>
                <w:b/>
                <w:bCs/>
              </w:rPr>
              <w:t>criptoactivelor</w:t>
            </w:r>
            <w:proofErr w:type="spellEnd"/>
            <w:r w:rsidRPr="0026420A">
              <w:rPr>
                <w:b/>
                <w:bCs/>
              </w:rPr>
              <w:t xml:space="preserve"> și de modificare a Regulamentelor (UE) nr. 1093/2010 și (UE) nr. 1095/2010 și a Directivelor 2013/36/UE și (UE) 2019/1937, publicat în Jurnalul Oficial al Uniunii Europene seria L 150 din 9 iunie 2023, CELEX: 32023R1114, astfel cum a fost modificat ultima oară prin Regulamentul (UE) 2023/2869 al Parlamentului European și al Consiliului din 13 decembrie 2023.”</w:t>
            </w:r>
          </w:p>
        </w:tc>
        <w:tc>
          <w:tcPr>
            <w:tcW w:w="5281" w:type="dxa"/>
            <w:tcMar>
              <w:top w:w="0" w:type="dxa"/>
              <w:left w:w="108" w:type="dxa"/>
              <w:bottom w:w="0" w:type="dxa"/>
              <w:right w:w="108" w:type="dxa"/>
            </w:tcMar>
          </w:tcPr>
          <w:p w14:paraId="7B7E0E84" w14:textId="77777777" w:rsidR="00A06816" w:rsidRPr="0026420A" w:rsidRDefault="00A06816" w:rsidP="00A06816">
            <w:pPr>
              <w:ind w:firstLine="0"/>
              <w:rPr>
                <w:b/>
                <w:bCs/>
                <w:iCs/>
              </w:rPr>
            </w:pPr>
            <w:r w:rsidRPr="0026420A">
              <w:rPr>
                <w:b/>
                <w:bCs/>
                <w:iCs/>
              </w:rPr>
              <w:t>Se acceptă.</w:t>
            </w:r>
          </w:p>
          <w:p w14:paraId="4CA38843" w14:textId="2DFFE739" w:rsidR="00A06816" w:rsidRPr="0026420A" w:rsidRDefault="00A06816" w:rsidP="00A06816">
            <w:pPr>
              <w:pBdr>
                <w:top w:val="none" w:sz="4" w:space="0" w:color="000000"/>
                <w:left w:val="none" w:sz="4" w:space="0" w:color="000000"/>
                <w:bottom w:val="none" w:sz="4" w:space="0" w:color="000000"/>
                <w:right w:val="none" w:sz="4" w:space="0" w:color="000000"/>
              </w:pBdr>
              <w:ind w:firstLine="0"/>
              <w:jc w:val="left"/>
              <w:rPr>
                <w:b/>
                <w:bCs/>
              </w:rPr>
            </w:pPr>
            <w:r w:rsidRPr="0026420A">
              <w:rPr>
                <w:iCs/>
              </w:rPr>
              <w:t>Clauza de armonizare se ajustează corespunzător.</w:t>
            </w:r>
          </w:p>
        </w:tc>
      </w:tr>
      <w:tr w:rsidR="00A06816" w:rsidRPr="0026420A" w14:paraId="65DC7917" w14:textId="77777777" w:rsidTr="000A671F">
        <w:trPr>
          <w:trHeight w:val="615"/>
        </w:trPr>
        <w:tc>
          <w:tcPr>
            <w:tcW w:w="2206" w:type="dxa"/>
            <w:tcBorders>
              <w:bottom w:val="nil"/>
            </w:tcBorders>
            <w:tcMar>
              <w:top w:w="0" w:type="dxa"/>
              <w:left w:w="108" w:type="dxa"/>
              <w:bottom w:w="0" w:type="dxa"/>
              <w:right w:w="108" w:type="dxa"/>
            </w:tcMar>
          </w:tcPr>
          <w:p w14:paraId="590E9A8C" w14:textId="77777777" w:rsidR="00A06816" w:rsidRPr="000E14F1" w:rsidRDefault="00A06816" w:rsidP="00A06816">
            <w:pPr>
              <w:ind w:firstLine="0"/>
              <w:jc w:val="left"/>
              <w:rPr>
                <w:b/>
                <w:bCs/>
                <w:i/>
                <w:iCs/>
              </w:rPr>
            </w:pPr>
            <w:r w:rsidRPr="000E14F1">
              <w:rPr>
                <w:b/>
                <w:bCs/>
                <w:i/>
                <w:iCs/>
              </w:rPr>
              <w:t>Centrul Național Anticorupție al</w:t>
            </w:r>
          </w:p>
          <w:p w14:paraId="204BC50D" w14:textId="77777777" w:rsidR="00A06816" w:rsidRPr="000E14F1" w:rsidRDefault="00A06816" w:rsidP="00A06816">
            <w:pPr>
              <w:ind w:firstLine="0"/>
              <w:jc w:val="left"/>
              <w:rPr>
                <w:b/>
                <w:bCs/>
                <w:i/>
                <w:iCs/>
              </w:rPr>
            </w:pPr>
            <w:r w:rsidRPr="000E14F1">
              <w:rPr>
                <w:b/>
                <w:bCs/>
                <w:i/>
                <w:iCs/>
              </w:rPr>
              <w:t>Republicii Moldova</w:t>
            </w:r>
          </w:p>
          <w:p w14:paraId="15D3558C" w14:textId="77777777" w:rsidR="00A06816" w:rsidRPr="000E14F1" w:rsidRDefault="00A06816" w:rsidP="00A06816">
            <w:pPr>
              <w:ind w:firstLine="0"/>
              <w:jc w:val="left"/>
              <w:rPr>
                <w:b/>
                <w:bCs/>
                <w:i/>
                <w:iCs/>
              </w:rPr>
            </w:pPr>
          </w:p>
          <w:p w14:paraId="67859CD2" w14:textId="77777777" w:rsidR="00A06816" w:rsidRPr="000E14F1" w:rsidRDefault="00A06816" w:rsidP="00A06816">
            <w:pPr>
              <w:ind w:firstLine="0"/>
              <w:jc w:val="left"/>
              <w:rPr>
                <w:i/>
                <w:iCs/>
              </w:rPr>
            </w:pPr>
            <w:r w:rsidRPr="000E14F1">
              <w:rPr>
                <w:i/>
                <w:iCs/>
              </w:rPr>
              <w:t>RAPORT DE EXPERTIZĂ ANTICORUPŢIE</w:t>
            </w:r>
          </w:p>
          <w:p w14:paraId="0BDE10A4" w14:textId="77777777" w:rsidR="00A06816" w:rsidRPr="000E14F1" w:rsidRDefault="00A06816" w:rsidP="00A06816">
            <w:pPr>
              <w:ind w:firstLine="0"/>
              <w:jc w:val="left"/>
              <w:rPr>
                <w:i/>
                <w:iCs/>
              </w:rPr>
            </w:pPr>
            <w:r w:rsidRPr="000E14F1">
              <w:rPr>
                <w:i/>
                <w:iCs/>
              </w:rPr>
              <w:t>Nr. ELO26/11589 din 19.06.2026</w:t>
            </w:r>
          </w:p>
          <w:p w14:paraId="613109B7" w14:textId="77777777" w:rsidR="00A06816" w:rsidRPr="000E14F1" w:rsidRDefault="00A06816" w:rsidP="00A06816">
            <w:pPr>
              <w:ind w:firstLine="0"/>
              <w:jc w:val="left"/>
              <w:rPr>
                <w:i/>
                <w:iCs/>
              </w:rPr>
            </w:pPr>
            <w:r w:rsidRPr="000E14F1">
              <w:rPr>
                <w:i/>
                <w:iCs/>
              </w:rPr>
              <w:t xml:space="preserve">la proiectul de lege privind piața </w:t>
            </w:r>
            <w:proofErr w:type="spellStart"/>
            <w:r w:rsidRPr="000E14F1">
              <w:rPr>
                <w:i/>
                <w:iCs/>
              </w:rPr>
              <w:lastRenderedPageBreak/>
              <w:t>criptoactivelor</w:t>
            </w:r>
            <w:proofErr w:type="spellEnd"/>
            <w:r w:rsidRPr="000E14F1">
              <w:rPr>
                <w:i/>
                <w:iCs/>
              </w:rPr>
              <w:t xml:space="preserve"> (număr unic</w:t>
            </w:r>
          </w:p>
          <w:p w14:paraId="314E9CC7" w14:textId="77777777" w:rsidR="00A06816" w:rsidRPr="000E14F1" w:rsidRDefault="00A06816" w:rsidP="00A06816">
            <w:pPr>
              <w:ind w:firstLine="0"/>
              <w:jc w:val="left"/>
              <w:rPr>
                <w:i/>
                <w:iCs/>
              </w:rPr>
            </w:pPr>
            <w:r w:rsidRPr="000E14F1">
              <w:rPr>
                <w:i/>
                <w:iCs/>
              </w:rPr>
              <w:t>338/MF/BNM/2026)</w:t>
            </w:r>
          </w:p>
          <w:p w14:paraId="70C2FFA5"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03D64F10"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6D60AB9A" w14:textId="77777777" w:rsidR="00A06816" w:rsidRPr="0026420A" w:rsidRDefault="00A06816" w:rsidP="00A06816">
            <w:pPr>
              <w:ind w:firstLine="0"/>
              <w:rPr>
                <w:b/>
                <w:bCs/>
                <w:i/>
                <w:iCs/>
              </w:rPr>
            </w:pPr>
            <w:r w:rsidRPr="0026420A">
              <w:rPr>
                <w:b/>
                <w:bCs/>
                <w:i/>
                <w:iCs/>
              </w:rPr>
              <w:t>Art.2 alin.(1)</w:t>
            </w:r>
          </w:p>
          <w:p w14:paraId="1C88AD92" w14:textId="33DE9A31" w:rsidR="00A06816" w:rsidRPr="0026420A" w:rsidRDefault="00A06816" w:rsidP="00A06816">
            <w:pPr>
              <w:ind w:firstLine="0"/>
              <w:rPr>
                <w:b/>
                <w:bCs/>
                <w:i/>
                <w:iCs/>
              </w:rPr>
            </w:pPr>
            <w:r w:rsidRPr="0026420A">
              <w:rPr>
                <w:b/>
                <w:bCs/>
                <w:i/>
                <w:iCs/>
              </w:rPr>
              <w:t>Obiecții:</w:t>
            </w:r>
          </w:p>
          <w:p w14:paraId="6F294DCF" w14:textId="138153B1" w:rsidR="00A06816" w:rsidRPr="0026420A" w:rsidRDefault="00A06816" w:rsidP="00A06816">
            <w:pPr>
              <w:ind w:firstLine="0"/>
            </w:pPr>
            <w:r w:rsidRPr="0026420A">
              <w:t xml:space="preserve">Utilizarea expresiei ”persoanelor fizice și juridice din Republica Moldova,” atribuie caracter ambiguu sferei subiectelor de drept vizate de prevederile proiectului, fapt care denotă întrunirea parțială a exigențelor de calitate a legii vizate de art.54 alin.(1) </w:t>
            </w:r>
            <w:proofErr w:type="spellStart"/>
            <w:r w:rsidRPr="0026420A">
              <w:t>lit.a</w:t>
            </w:r>
            <w:proofErr w:type="spellEnd"/>
            <w:r w:rsidRPr="0026420A">
              <w:t>) al Legii nr.100/2017.</w:t>
            </w:r>
          </w:p>
          <w:p w14:paraId="1D9EA0C9" w14:textId="1AB01B9A" w:rsidR="00A06816" w:rsidRPr="0026420A" w:rsidRDefault="00A06816" w:rsidP="00A06816">
            <w:pPr>
              <w:ind w:firstLine="0"/>
            </w:pPr>
            <w:r w:rsidRPr="0026420A">
              <w:t xml:space="preserve">Deficiența în cauză, poate condiționa incertitudine la etapa implementării normei sub aspectul delimitării fără echivoc a criteriului juridic vizat de către autor pentru determinarea sferei de aplicare a normei, respectiv dacă se urmărește domiciliul persoanei fizice, </w:t>
            </w:r>
            <w:r w:rsidRPr="0026420A">
              <w:lastRenderedPageBreak/>
              <w:t>reședința obișnuită, cetățenia, locul constituirii persoanei juridice/înregistrării, sediul acesteia sau locul desfășurării activității.</w:t>
            </w:r>
          </w:p>
          <w:p w14:paraId="1E7FAB0E" w14:textId="6729543A" w:rsidR="00A06816" w:rsidRPr="0026420A" w:rsidRDefault="00A06816" w:rsidP="00A06816">
            <w:pPr>
              <w:ind w:firstLine="0"/>
            </w:pPr>
            <w:r w:rsidRPr="0026420A">
              <w:t>Condescendent, cu referire la utilizarea generică a noțiunii de ”</w:t>
            </w:r>
            <w:proofErr w:type="spellStart"/>
            <w:r w:rsidRPr="0026420A">
              <w:t>criptoactiv</w:t>
            </w:r>
            <w:proofErr w:type="spellEnd"/>
            <w:r w:rsidRPr="0026420A">
              <w:t xml:space="preserve"> ” se evidențiază faptul că prevederile Legii nr. 308/2017 operează cu noțiunea de „active virtuale”, noțiune care este utilizată inclusive pentru definirea furnizorilor de servicii privind activele virtuale și pentru delimitarea sferei de aplicare a</w:t>
            </w:r>
          </w:p>
          <w:p w14:paraId="22D1F501" w14:textId="77777777" w:rsidR="00A06816" w:rsidRPr="0026420A" w:rsidRDefault="00A06816" w:rsidP="00A06816">
            <w:pPr>
              <w:ind w:firstLine="0"/>
            </w:pPr>
            <w:r w:rsidRPr="0026420A">
              <w:t>obligațiilor AML/CFT și derivă din standardele Grupului de Acțiune Financiară Internațională (FATF).</w:t>
            </w:r>
          </w:p>
          <w:p w14:paraId="1EB2F6D2" w14:textId="77777777" w:rsidR="00A06816" w:rsidRPr="0026420A" w:rsidRDefault="00A06816" w:rsidP="00A06816">
            <w:pPr>
              <w:ind w:firstLine="0"/>
            </w:pPr>
          </w:p>
          <w:p w14:paraId="79FCD08C" w14:textId="77777777" w:rsidR="00A06816" w:rsidRPr="0026420A" w:rsidRDefault="00A06816" w:rsidP="00A06816">
            <w:pPr>
              <w:ind w:firstLine="0"/>
              <w:rPr>
                <w:i/>
                <w:iCs/>
              </w:rPr>
            </w:pPr>
            <w:r w:rsidRPr="0026420A">
              <w:t>Astfel, potrivit art.3 al Legii prenotate:</w:t>
            </w:r>
            <w:r w:rsidRPr="0026420A">
              <w:rPr>
                <w:i/>
                <w:iCs/>
              </w:rPr>
              <w:t xml:space="preserve"> </w:t>
            </w:r>
          </w:p>
          <w:p w14:paraId="6BB0F4B0" w14:textId="0E1FEE12" w:rsidR="00A06816" w:rsidRPr="0026420A" w:rsidRDefault="00A06816" w:rsidP="00A06816">
            <w:pPr>
              <w:ind w:firstLine="0"/>
              <w:rPr>
                <w:i/>
                <w:iCs/>
              </w:rPr>
            </w:pPr>
            <w:r w:rsidRPr="0026420A">
              <w:rPr>
                <w:i/>
                <w:iCs/>
              </w:rPr>
              <w:t xml:space="preserve">Articolul 3. </w:t>
            </w:r>
            <w:proofErr w:type="spellStart"/>
            <w:r w:rsidRPr="0026420A">
              <w:rPr>
                <w:i/>
                <w:iCs/>
              </w:rPr>
              <w:t>Noţiuni</w:t>
            </w:r>
            <w:proofErr w:type="spellEnd"/>
            <w:r w:rsidRPr="0026420A">
              <w:rPr>
                <w:i/>
                <w:iCs/>
              </w:rPr>
              <w:t xml:space="preserve"> principale</w:t>
            </w:r>
          </w:p>
          <w:p w14:paraId="495156DD" w14:textId="099CD4E9" w:rsidR="00A06816" w:rsidRPr="0026420A" w:rsidRDefault="00A06816" w:rsidP="00A06816">
            <w:pPr>
              <w:ind w:firstLine="0"/>
              <w:rPr>
                <w:i/>
                <w:iCs/>
              </w:rPr>
            </w:pPr>
            <w:r w:rsidRPr="0026420A">
              <w:rPr>
                <w:i/>
                <w:iCs/>
              </w:rPr>
              <w:t xml:space="preserve">activ virtual – reprezentare digitală a valorii care nu este emisă ori garantată de o bancă centrală sau de o autoritate publică, nu este în mod obligatoriu legată de o monedă instituită legal </w:t>
            </w:r>
            <w:proofErr w:type="spellStart"/>
            <w:r w:rsidRPr="0026420A">
              <w:rPr>
                <w:i/>
                <w:iCs/>
              </w:rPr>
              <w:t>şi</w:t>
            </w:r>
            <w:proofErr w:type="spellEnd"/>
            <w:r w:rsidRPr="0026420A">
              <w:rPr>
                <w:i/>
                <w:iCs/>
              </w:rPr>
              <w:t xml:space="preserve"> nu </w:t>
            </w:r>
            <w:proofErr w:type="spellStart"/>
            <w:r w:rsidRPr="0026420A">
              <w:rPr>
                <w:i/>
                <w:iCs/>
              </w:rPr>
              <w:t>deţine</w:t>
            </w:r>
            <w:proofErr w:type="spellEnd"/>
            <w:r w:rsidRPr="0026420A">
              <w:rPr>
                <w:i/>
                <w:iCs/>
              </w:rPr>
              <w:t xml:space="preserve"> statutul legal de monedă sau de bani, dar care poate fi </w:t>
            </w:r>
            <w:proofErr w:type="spellStart"/>
            <w:r w:rsidRPr="0026420A">
              <w:rPr>
                <w:i/>
                <w:iCs/>
              </w:rPr>
              <w:t>tranzacţionată</w:t>
            </w:r>
            <w:proofErr w:type="spellEnd"/>
            <w:r w:rsidRPr="0026420A">
              <w:rPr>
                <w:i/>
                <w:iCs/>
              </w:rPr>
              <w:t xml:space="preserve"> în mod electronic, transferată sau utilizată în scopul efectuării de </w:t>
            </w:r>
            <w:proofErr w:type="spellStart"/>
            <w:r w:rsidRPr="0026420A">
              <w:rPr>
                <w:i/>
                <w:iCs/>
              </w:rPr>
              <w:t>plăţi</w:t>
            </w:r>
            <w:proofErr w:type="spellEnd"/>
            <w:r w:rsidRPr="0026420A">
              <w:rPr>
                <w:i/>
                <w:iCs/>
              </w:rPr>
              <w:t xml:space="preserve"> sau </w:t>
            </w:r>
            <w:proofErr w:type="spellStart"/>
            <w:r w:rsidRPr="0026420A">
              <w:rPr>
                <w:i/>
                <w:iCs/>
              </w:rPr>
              <w:t>investiţii</w:t>
            </w:r>
            <w:proofErr w:type="spellEnd"/>
            <w:r w:rsidRPr="0026420A">
              <w:rPr>
                <w:i/>
                <w:iCs/>
              </w:rPr>
              <w:t>. Activele virtuale nu includ reprezentările digitale ale monedelor fiduciare (</w:t>
            </w:r>
            <w:proofErr w:type="spellStart"/>
            <w:r w:rsidRPr="0026420A">
              <w:rPr>
                <w:i/>
                <w:iCs/>
              </w:rPr>
              <w:t>fiat</w:t>
            </w:r>
            <w:proofErr w:type="spellEnd"/>
            <w:r w:rsidRPr="0026420A">
              <w:rPr>
                <w:i/>
                <w:iCs/>
              </w:rPr>
              <w:t xml:space="preserve">), ale valorilor mobiliare </w:t>
            </w:r>
            <w:proofErr w:type="spellStart"/>
            <w:r w:rsidRPr="0026420A">
              <w:rPr>
                <w:i/>
                <w:iCs/>
              </w:rPr>
              <w:t>şi</w:t>
            </w:r>
            <w:proofErr w:type="spellEnd"/>
            <w:r w:rsidRPr="0026420A">
              <w:rPr>
                <w:i/>
                <w:iCs/>
              </w:rPr>
              <w:t xml:space="preserve"> ale altor active financiare stabilite de </w:t>
            </w:r>
            <w:proofErr w:type="spellStart"/>
            <w:r w:rsidRPr="0026420A">
              <w:rPr>
                <w:i/>
                <w:iCs/>
              </w:rPr>
              <w:t>legislaţia</w:t>
            </w:r>
            <w:proofErr w:type="spellEnd"/>
            <w:r w:rsidRPr="0026420A">
              <w:rPr>
                <w:i/>
                <w:iCs/>
              </w:rPr>
              <w:t xml:space="preserve"> </w:t>
            </w:r>
            <w:proofErr w:type="spellStart"/>
            <w:r w:rsidRPr="0026420A">
              <w:rPr>
                <w:i/>
                <w:iCs/>
              </w:rPr>
              <w:t>naţională</w:t>
            </w:r>
            <w:proofErr w:type="spellEnd"/>
            <w:r w:rsidRPr="0026420A">
              <w:rPr>
                <w:i/>
                <w:iCs/>
              </w:rPr>
              <w:t>;</w:t>
            </w:r>
          </w:p>
          <w:p w14:paraId="165F2ABF" w14:textId="0C13E0F9" w:rsidR="00A06816" w:rsidRPr="0026420A" w:rsidRDefault="00A06816" w:rsidP="00A06816">
            <w:pPr>
              <w:ind w:firstLine="0"/>
              <w:rPr>
                <w:i/>
                <w:iCs/>
              </w:rPr>
            </w:pPr>
            <w:r w:rsidRPr="0026420A">
              <w:rPr>
                <w:i/>
                <w:iCs/>
              </w:rPr>
              <w:t>furnizor de servicii privind activele virtuale – persoană fizică sau juridică care prestează în calitate de profesionist, pentru/sau în numele altei persoane fizice sau juridice, una sau mai multe dintre următoarele</w:t>
            </w:r>
          </w:p>
          <w:p w14:paraId="5BF79E01" w14:textId="77777777" w:rsidR="00A06816" w:rsidRPr="0026420A" w:rsidRDefault="00A06816" w:rsidP="00A06816">
            <w:pPr>
              <w:ind w:firstLine="0"/>
              <w:rPr>
                <w:i/>
                <w:iCs/>
              </w:rPr>
            </w:pPr>
            <w:proofErr w:type="spellStart"/>
            <w:r w:rsidRPr="0026420A">
              <w:rPr>
                <w:i/>
                <w:iCs/>
              </w:rPr>
              <w:t>activităţi</w:t>
            </w:r>
            <w:proofErr w:type="spellEnd"/>
            <w:r w:rsidRPr="0026420A">
              <w:rPr>
                <w:i/>
                <w:iCs/>
              </w:rPr>
              <w:t xml:space="preserve"> sau </w:t>
            </w:r>
            <w:proofErr w:type="spellStart"/>
            <w:r w:rsidRPr="0026420A">
              <w:rPr>
                <w:i/>
                <w:iCs/>
              </w:rPr>
              <w:t>operaţiuni</w:t>
            </w:r>
            <w:proofErr w:type="spellEnd"/>
            <w:r w:rsidRPr="0026420A">
              <w:rPr>
                <w:i/>
                <w:iCs/>
              </w:rPr>
              <w:t>:</w:t>
            </w:r>
          </w:p>
          <w:p w14:paraId="4575642E" w14:textId="77777777" w:rsidR="00A06816" w:rsidRPr="0026420A" w:rsidRDefault="00A06816" w:rsidP="00A06816">
            <w:pPr>
              <w:ind w:firstLine="0"/>
              <w:rPr>
                <w:i/>
                <w:iCs/>
              </w:rPr>
            </w:pPr>
            <w:r w:rsidRPr="0026420A">
              <w:rPr>
                <w:i/>
                <w:iCs/>
              </w:rPr>
              <w:t xml:space="preserve">a) schimb între activele virtuale </w:t>
            </w:r>
            <w:proofErr w:type="spellStart"/>
            <w:r w:rsidRPr="0026420A">
              <w:rPr>
                <w:i/>
                <w:iCs/>
              </w:rPr>
              <w:t>şi</w:t>
            </w:r>
            <w:proofErr w:type="spellEnd"/>
            <w:r w:rsidRPr="0026420A">
              <w:rPr>
                <w:i/>
                <w:iCs/>
              </w:rPr>
              <w:t xml:space="preserve"> monedele fiduciare;</w:t>
            </w:r>
          </w:p>
          <w:p w14:paraId="43910E0E" w14:textId="77777777" w:rsidR="00A06816" w:rsidRPr="0026420A" w:rsidRDefault="00A06816" w:rsidP="00A06816">
            <w:pPr>
              <w:ind w:firstLine="0"/>
              <w:rPr>
                <w:i/>
                <w:iCs/>
              </w:rPr>
            </w:pPr>
            <w:r w:rsidRPr="0026420A">
              <w:rPr>
                <w:i/>
                <w:iCs/>
              </w:rPr>
              <w:t>b) schimb între una sau mai multe forme de active virtuale;</w:t>
            </w:r>
          </w:p>
          <w:p w14:paraId="2ED504A8" w14:textId="77777777" w:rsidR="00A06816" w:rsidRPr="0026420A" w:rsidRDefault="00A06816" w:rsidP="00A06816">
            <w:pPr>
              <w:ind w:firstLine="0"/>
              <w:rPr>
                <w:i/>
                <w:iCs/>
              </w:rPr>
            </w:pPr>
            <w:r w:rsidRPr="0026420A">
              <w:rPr>
                <w:i/>
                <w:iCs/>
              </w:rPr>
              <w:t>c) transfer de active virtuale;</w:t>
            </w:r>
          </w:p>
          <w:p w14:paraId="1ED4F431" w14:textId="78E93610" w:rsidR="00A06816" w:rsidRPr="0026420A" w:rsidRDefault="00A06816" w:rsidP="00A06816">
            <w:pPr>
              <w:ind w:firstLine="0"/>
              <w:rPr>
                <w:i/>
                <w:iCs/>
              </w:rPr>
            </w:pPr>
            <w:r w:rsidRPr="0026420A">
              <w:rPr>
                <w:i/>
                <w:iCs/>
              </w:rPr>
              <w:t xml:space="preserve">d) păstrare </w:t>
            </w:r>
            <w:proofErr w:type="spellStart"/>
            <w:r w:rsidRPr="0026420A">
              <w:rPr>
                <w:i/>
                <w:iCs/>
              </w:rPr>
              <w:t>şi</w:t>
            </w:r>
            <w:proofErr w:type="spellEnd"/>
            <w:r w:rsidRPr="0026420A">
              <w:rPr>
                <w:i/>
                <w:iCs/>
              </w:rPr>
              <w:t>/sau administrare a activelor virtuale sau a instrumentelor care conferă dreptul de control asupra activelor virtuale;</w:t>
            </w:r>
          </w:p>
          <w:p w14:paraId="6AA8B4AB" w14:textId="77777777" w:rsidR="00A06816" w:rsidRPr="0026420A" w:rsidRDefault="00A06816" w:rsidP="00A06816">
            <w:pPr>
              <w:ind w:firstLine="0"/>
              <w:rPr>
                <w:i/>
                <w:iCs/>
              </w:rPr>
            </w:pPr>
            <w:r w:rsidRPr="0026420A">
              <w:rPr>
                <w:i/>
                <w:iCs/>
              </w:rPr>
              <w:t xml:space="preserve">e) participare la </w:t>
            </w:r>
            <w:proofErr w:type="spellStart"/>
            <w:r w:rsidRPr="0026420A">
              <w:rPr>
                <w:i/>
                <w:iCs/>
              </w:rPr>
              <w:t>şi</w:t>
            </w:r>
            <w:proofErr w:type="spellEnd"/>
            <w:r w:rsidRPr="0026420A">
              <w:rPr>
                <w:i/>
                <w:iCs/>
              </w:rPr>
              <w:t xml:space="preserve"> prestare de servicii financiare privind oferta unui emitent </w:t>
            </w:r>
            <w:proofErr w:type="spellStart"/>
            <w:r w:rsidRPr="0026420A">
              <w:rPr>
                <w:i/>
                <w:iCs/>
              </w:rPr>
              <w:t>şi</w:t>
            </w:r>
            <w:proofErr w:type="spellEnd"/>
            <w:r w:rsidRPr="0026420A">
              <w:rPr>
                <w:i/>
                <w:iCs/>
              </w:rPr>
              <w:t>/sau vânzarea unui activ virtual;</w:t>
            </w:r>
          </w:p>
          <w:p w14:paraId="4A745EBF" w14:textId="4368DB94" w:rsidR="00A06816" w:rsidRPr="0026420A" w:rsidRDefault="00A06816" w:rsidP="00A06816">
            <w:pPr>
              <w:ind w:firstLine="0"/>
              <w:rPr>
                <w:i/>
                <w:iCs/>
              </w:rPr>
            </w:pPr>
            <w:r w:rsidRPr="0026420A">
              <w:rPr>
                <w:i/>
                <w:iCs/>
              </w:rPr>
              <w:t xml:space="preserve">transfer al activelor virtuale – efectuare a unei </w:t>
            </w:r>
            <w:proofErr w:type="spellStart"/>
            <w:r w:rsidRPr="0026420A">
              <w:rPr>
                <w:i/>
                <w:iCs/>
              </w:rPr>
              <w:t>tranzacţii</w:t>
            </w:r>
            <w:proofErr w:type="spellEnd"/>
            <w:r w:rsidRPr="0026420A">
              <w:rPr>
                <w:i/>
                <w:iCs/>
              </w:rPr>
              <w:t xml:space="preserve"> în numele altei persoane fizice sau juridice care transferă un activ virtual de la o adresă sau cont virtual la alta/altul;</w:t>
            </w:r>
          </w:p>
          <w:p w14:paraId="34B4A11B" w14:textId="66E1BEDB" w:rsidR="00A06816" w:rsidRPr="0026420A" w:rsidRDefault="00A06816" w:rsidP="00A06816">
            <w:pPr>
              <w:ind w:firstLine="0"/>
              <w:rPr>
                <w:i/>
                <w:iCs/>
              </w:rPr>
            </w:pPr>
            <w:r w:rsidRPr="0026420A">
              <w:rPr>
                <w:i/>
                <w:iCs/>
              </w:rPr>
              <w:t xml:space="preserve">În context, apreciind prin prisma exigențelor de tehnică legislativă vizate de art.54 alin.(1) </w:t>
            </w:r>
            <w:proofErr w:type="spellStart"/>
            <w:r w:rsidRPr="0026420A">
              <w:rPr>
                <w:i/>
                <w:iCs/>
              </w:rPr>
              <w:t>lit.c</w:t>
            </w:r>
            <w:proofErr w:type="spellEnd"/>
            <w:r w:rsidRPr="0026420A">
              <w:rPr>
                <w:i/>
                <w:iCs/>
              </w:rPr>
              <w:t xml:space="preserve">)-d), h), alin.(5) al Legii nr.100/2017, se remarcă aptul că folosirea neuniformă sau necorespunzătoare a </w:t>
            </w:r>
            <w:proofErr w:type="spellStart"/>
            <w:r w:rsidRPr="0026420A">
              <w:rPr>
                <w:i/>
                <w:iCs/>
              </w:rPr>
              <w:t>noţiunilor</w:t>
            </w:r>
            <w:proofErr w:type="spellEnd"/>
            <w:r w:rsidRPr="0026420A">
              <w:rPr>
                <w:i/>
                <w:iCs/>
              </w:rPr>
              <w:t xml:space="preserve"> în textul</w:t>
            </w:r>
            <w:r w:rsidRPr="0026420A">
              <w:t xml:space="preserve"> </w:t>
            </w:r>
            <w:r w:rsidRPr="0026420A">
              <w:rPr>
                <w:i/>
                <w:iCs/>
              </w:rPr>
              <w:t xml:space="preserve">reglementării prin recurgerea la sinonime pentru a desemna </w:t>
            </w:r>
            <w:proofErr w:type="spellStart"/>
            <w:r w:rsidRPr="0026420A">
              <w:rPr>
                <w:i/>
                <w:iCs/>
              </w:rPr>
              <w:t>acelaşi</w:t>
            </w:r>
            <w:proofErr w:type="spellEnd"/>
            <w:r w:rsidRPr="0026420A">
              <w:rPr>
                <w:i/>
                <w:iCs/>
              </w:rPr>
              <w:t xml:space="preserve"> fenomen </w:t>
            </w:r>
            <w:proofErr w:type="spellStart"/>
            <w:r w:rsidRPr="0026420A">
              <w:rPr>
                <w:i/>
                <w:iCs/>
              </w:rPr>
              <w:t>şi</w:t>
            </w:r>
            <w:proofErr w:type="spellEnd"/>
            <w:r w:rsidRPr="0026420A">
              <w:rPr>
                <w:i/>
                <w:iCs/>
              </w:rPr>
              <w:t xml:space="preserve">/sau prin aplicarea </w:t>
            </w:r>
            <w:proofErr w:type="spellStart"/>
            <w:r w:rsidRPr="0026420A">
              <w:rPr>
                <w:i/>
                <w:iCs/>
              </w:rPr>
              <w:t>aceleaşi</w:t>
            </w:r>
            <w:proofErr w:type="spellEnd"/>
            <w:r w:rsidRPr="0026420A">
              <w:rPr>
                <w:i/>
                <w:iCs/>
              </w:rPr>
              <w:t xml:space="preserve"> </w:t>
            </w:r>
            <w:proofErr w:type="spellStart"/>
            <w:r w:rsidRPr="0026420A">
              <w:rPr>
                <w:i/>
                <w:iCs/>
              </w:rPr>
              <w:t>noţiuni</w:t>
            </w:r>
            <w:proofErr w:type="spellEnd"/>
            <w:r w:rsidRPr="0026420A">
              <w:rPr>
                <w:i/>
                <w:iCs/>
              </w:rPr>
              <w:t xml:space="preserve"> la </w:t>
            </w:r>
            <w:proofErr w:type="spellStart"/>
            <w:r w:rsidRPr="0026420A">
              <w:rPr>
                <w:i/>
                <w:iCs/>
              </w:rPr>
              <w:lastRenderedPageBreak/>
              <w:t>menţionarea</w:t>
            </w:r>
            <w:proofErr w:type="spellEnd"/>
            <w:r w:rsidRPr="0026420A">
              <w:rPr>
                <w:i/>
                <w:iCs/>
              </w:rPr>
              <w:t xml:space="preserve"> fenomenelor distincte, poate provoca practici vicioase de interpretare a sensului normei, </w:t>
            </w:r>
            <w:proofErr w:type="spellStart"/>
            <w:r w:rsidRPr="0026420A">
              <w:rPr>
                <w:i/>
                <w:iCs/>
              </w:rPr>
              <w:t>şi</w:t>
            </w:r>
            <w:proofErr w:type="spellEnd"/>
            <w:r w:rsidRPr="0026420A">
              <w:rPr>
                <w:i/>
                <w:iCs/>
              </w:rPr>
              <w:t xml:space="preserve"> anume, tratarea ca fenomene diferite a </w:t>
            </w:r>
            <w:proofErr w:type="spellStart"/>
            <w:r w:rsidRPr="0026420A">
              <w:rPr>
                <w:i/>
                <w:iCs/>
              </w:rPr>
              <w:t>aceluiaşi</w:t>
            </w:r>
            <w:proofErr w:type="spellEnd"/>
            <w:r w:rsidRPr="0026420A">
              <w:rPr>
                <w:i/>
                <w:iCs/>
              </w:rPr>
              <w:t xml:space="preserve"> fenomen, din cauza numirii diferite a lui sau tratarea ca </w:t>
            </w:r>
            <w:proofErr w:type="spellStart"/>
            <w:r w:rsidRPr="0026420A">
              <w:rPr>
                <w:i/>
                <w:iCs/>
              </w:rPr>
              <w:t>acelaşi</w:t>
            </w:r>
            <w:proofErr w:type="spellEnd"/>
            <w:r w:rsidRPr="0026420A">
              <w:rPr>
                <w:i/>
                <w:iCs/>
              </w:rPr>
              <w:t xml:space="preserve"> fenomen a fenomenelor distincte din motivul confundării a două </w:t>
            </w:r>
            <w:proofErr w:type="spellStart"/>
            <w:r w:rsidRPr="0026420A">
              <w:rPr>
                <w:i/>
                <w:iCs/>
              </w:rPr>
              <w:t>noţiuni</w:t>
            </w:r>
            <w:proofErr w:type="spellEnd"/>
            <w:r w:rsidRPr="0026420A">
              <w:rPr>
                <w:i/>
                <w:iCs/>
              </w:rPr>
              <w:t xml:space="preserve"> diferite în textul reglementării.</w:t>
            </w:r>
          </w:p>
          <w:p w14:paraId="7ED9840D" w14:textId="77777777" w:rsidR="00A06816" w:rsidRPr="0026420A" w:rsidRDefault="00A06816" w:rsidP="00A06816">
            <w:pPr>
              <w:ind w:firstLine="0"/>
              <w:rPr>
                <w:b/>
                <w:bCs/>
                <w:i/>
                <w:iCs/>
              </w:rPr>
            </w:pPr>
            <w:r w:rsidRPr="0026420A">
              <w:rPr>
                <w:b/>
                <w:bCs/>
                <w:i/>
                <w:iCs/>
              </w:rPr>
              <w:t>Recomandări:</w:t>
            </w:r>
          </w:p>
          <w:p w14:paraId="26DA5D71" w14:textId="03730935" w:rsidR="00A06816" w:rsidRPr="0026420A" w:rsidRDefault="00A06816" w:rsidP="00A06816">
            <w:pPr>
              <w:ind w:firstLine="0"/>
            </w:pPr>
            <w:r w:rsidRPr="0026420A">
              <w:t>Reconsiderarea sintagmei „persoanelor fizice și juridice din Republica Moldova” și utilizarea unor criterii juridice determinate, precum domiciliul, reședința obișnuită, respectiv sediul persoanei juridice, locul înregistrării (în dependență de aspectele vizate de autor). În context, se remarcă faptul că redacția propusă a proiectului apelează frecvent la criteriul ”înregistrat în RM” - fapt care poate fi preluat în contextul</w:t>
            </w:r>
            <w:r>
              <w:t xml:space="preserve"> </w:t>
            </w:r>
            <w:r w:rsidRPr="0026420A">
              <w:t>reglementării la art.2 alin.(1) a domeniului de aplicare a legii.</w:t>
            </w:r>
          </w:p>
          <w:p w14:paraId="4AE86F27" w14:textId="223F8ED2" w:rsidR="00A06816" w:rsidRPr="0026420A" w:rsidRDefault="00A06816" w:rsidP="00A06816">
            <w:pPr>
              <w:ind w:firstLine="0"/>
              <w:rPr>
                <w:i/>
                <w:iCs/>
              </w:rPr>
            </w:pPr>
            <w:r w:rsidRPr="0026420A">
              <w:t>Reconsiderarea utilizării termenului de</w:t>
            </w:r>
            <w:r w:rsidRPr="0026420A">
              <w:rPr>
                <w:i/>
                <w:iCs/>
              </w:rPr>
              <w:t xml:space="preserve"> </w:t>
            </w:r>
            <w:proofErr w:type="spellStart"/>
            <w:r w:rsidRPr="0026420A">
              <w:rPr>
                <w:i/>
                <w:iCs/>
              </w:rPr>
              <w:t>criptoactiv</w:t>
            </w:r>
            <w:proofErr w:type="spellEnd"/>
            <w:r w:rsidRPr="0026420A">
              <w:rPr>
                <w:i/>
                <w:iCs/>
              </w:rPr>
              <w:t>.</w:t>
            </w:r>
          </w:p>
          <w:p w14:paraId="4FA3BE80" w14:textId="2D9B89A8" w:rsidR="00A06816" w:rsidRPr="0026420A" w:rsidRDefault="00A06816" w:rsidP="00A06816">
            <w:pPr>
              <w:ind w:firstLine="0"/>
              <w:rPr>
                <w:i/>
                <w:iCs/>
              </w:rPr>
            </w:pPr>
          </w:p>
        </w:tc>
        <w:tc>
          <w:tcPr>
            <w:tcW w:w="5281" w:type="dxa"/>
            <w:tcMar>
              <w:top w:w="0" w:type="dxa"/>
              <w:left w:w="108" w:type="dxa"/>
              <w:bottom w:w="0" w:type="dxa"/>
              <w:right w:w="108" w:type="dxa"/>
            </w:tcMar>
          </w:tcPr>
          <w:p w14:paraId="6352FC4D" w14:textId="77777777" w:rsidR="00F87FA8" w:rsidRPr="004B1B06" w:rsidRDefault="00F87FA8" w:rsidP="00F87FA8">
            <w:pPr>
              <w:ind w:firstLine="0"/>
              <w:rPr>
                <w:b/>
                <w:bCs/>
              </w:rPr>
            </w:pPr>
            <w:r w:rsidRPr="004B1B06">
              <w:rPr>
                <w:b/>
                <w:bCs/>
              </w:rPr>
              <w:lastRenderedPageBreak/>
              <w:t>Nu se acceptă.</w:t>
            </w:r>
          </w:p>
          <w:p w14:paraId="01A602B3" w14:textId="77777777" w:rsidR="00F87FA8" w:rsidRPr="004B1B06" w:rsidRDefault="00F87FA8" w:rsidP="00F87FA8">
            <w:pPr>
              <w:ind w:firstLine="0"/>
              <w:rPr>
                <w:lang w:val="ro-MD"/>
              </w:rPr>
            </w:pPr>
            <w:r>
              <w:t>Cu referire la u</w:t>
            </w:r>
            <w:r w:rsidRPr="0026420A">
              <w:t>tilizarea expresiei ”persoanelor fizice și juridice din Republica Moldova,”</w:t>
            </w:r>
            <w:r>
              <w:t xml:space="preserve"> reiterăm faptul că aceasta reprezintă transpunerea fidelă a prevederilor Regulamentului european </w:t>
            </w:r>
            <w:proofErr w:type="spellStart"/>
            <w:r>
              <w:t>MiCA</w:t>
            </w:r>
            <w:proofErr w:type="spellEnd"/>
            <w:r>
              <w:t xml:space="preserve">. </w:t>
            </w:r>
            <w:r w:rsidRPr="004B1B06">
              <w:rPr>
                <w:lang w:val="ro-MD"/>
              </w:rPr>
              <w:t xml:space="preserve">Prevederea art. 2 alin. (1) nu stabilește aplicabilitatea legii exclusiv în funcție de cetățenie, domiciliu, reședință, sediu sau locul înregistrării persoanei, ci în funcție de activitatea desfășurată și legătura acesteia cu piața </w:t>
            </w:r>
            <w:proofErr w:type="spellStart"/>
            <w:r w:rsidRPr="004B1B06">
              <w:rPr>
                <w:lang w:val="ro-MD"/>
              </w:rPr>
              <w:t>criptoactivelor</w:t>
            </w:r>
            <w:proofErr w:type="spellEnd"/>
            <w:r w:rsidRPr="004B1B06">
              <w:rPr>
                <w:lang w:val="ro-MD"/>
              </w:rPr>
              <w:t xml:space="preserve"> din Republica Moldova. Textul vizează atât persoanele fizice și juridice din Republica Moldova, cât și persoanele fizice și juridice străine și apatrizii, în măsura în care acestea sunt implicate în emiterea, oferta publică, admiterea la </w:t>
            </w:r>
            <w:r w:rsidRPr="004B1B06">
              <w:rPr>
                <w:lang w:val="ro-MD"/>
              </w:rPr>
              <w:lastRenderedPageBreak/>
              <w:t xml:space="preserve">tranzacționare, furnizarea serviciilor de </w:t>
            </w:r>
            <w:proofErr w:type="spellStart"/>
            <w:r w:rsidRPr="004B1B06">
              <w:rPr>
                <w:lang w:val="ro-MD"/>
              </w:rPr>
              <w:t>criptoactive</w:t>
            </w:r>
            <w:proofErr w:type="spellEnd"/>
            <w:r w:rsidRPr="004B1B06">
              <w:rPr>
                <w:lang w:val="ro-MD"/>
              </w:rPr>
              <w:t xml:space="preserve"> sau desfășurarea activităților pe piața </w:t>
            </w:r>
            <w:proofErr w:type="spellStart"/>
            <w:r w:rsidRPr="004B1B06">
              <w:rPr>
                <w:lang w:val="ro-MD"/>
              </w:rPr>
              <w:t>criptoactivelor</w:t>
            </w:r>
            <w:proofErr w:type="spellEnd"/>
            <w:r w:rsidRPr="004B1B06">
              <w:rPr>
                <w:lang w:val="ro-MD"/>
              </w:rPr>
              <w:t xml:space="preserve"> în Republica Moldova.</w:t>
            </w:r>
          </w:p>
          <w:p w14:paraId="58C22FA5" w14:textId="77777777" w:rsidR="00F87FA8" w:rsidRPr="004B1B06" w:rsidRDefault="00F87FA8" w:rsidP="00F87FA8">
            <w:pPr>
              <w:ind w:firstLine="0"/>
              <w:rPr>
                <w:lang w:val="ro-MD"/>
              </w:rPr>
            </w:pPr>
            <w:r w:rsidRPr="004B1B06">
              <w:rPr>
                <w:lang w:val="ro-MD"/>
              </w:rPr>
              <w:t xml:space="preserve">Prin urmare, criteriul determinant nu este statutul personal al subiectului, ci activitatea reglementată și conexiunea acesteia cu piața națională. Această soluție este conformă arhitecturii </w:t>
            </w:r>
            <w:proofErr w:type="spellStart"/>
            <w:r w:rsidRPr="004B1B06">
              <w:rPr>
                <w:lang w:val="ro-MD"/>
              </w:rPr>
              <w:t>MiCA</w:t>
            </w:r>
            <w:proofErr w:type="spellEnd"/>
            <w:r w:rsidRPr="004B1B06">
              <w:rPr>
                <w:lang w:val="ro-MD"/>
              </w:rPr>
              <w:t xml:space="preserve">, care stabilește domeniul de aplicare în raport cu activitățile de emitere, ofertă publică, admitere la tranzacționare și furnizare de servicii de </w:t>
            </w:r>
            <w:proofErr w:type="spellStart"/>
            <w:r w:rsidRPr="004B1B06">
              <w:rPr>
                <w:lang w:val="ro-MD"/>
              </w:rPr>
              <w:t>criptoactive</w:t>
            </w:r>
            <w:proofErr w:type="spellEnd"/>
            <w:r w:rsidRPr="004B1B06">
              <w:rPr>
                <w:lang w:val="ro-MD"/>
              </w:rPr>
              <w:t>.</w:t>
            </w:r>
          </w:p>
          <w:p w14:paraId="57D01C59" w14:textId="2CAAA3A3" w:rsidR="00A06816" w:rsidRPr="0026420A" w:rsidRDefault="00F87FA8" w:rsidP="00F87FA8">
            <w:pPr>
              <w:ind w:firstLine="0"/>
              <w:rPr>
                <w:b/>
                <w:bCs/>
                <w:iCs/>
              </w:rPr>
            </w:pPr>
            <w:r w:rsidRPr="004B1B06">
              <w:rPr>
                <w:lang w:val="ro-MD"/>
              </w:rPr>
              <w:t>În ceea ce privește utilizarea noțiunii de „</w:t>
            </w:r>
            <w:proofErr w:type="spellStart"/>
            <w:r w:rsidRPr="004B1B06">
              <w:rPr>
                <w:lang w:val="ro-MD"/>
              </w:rPr>
              <w:t>criptoactiv</w:t>
            </w:r>
            <w:proofErr w:type="spellEnd"/>
            <w:r w:rsidRPr="004B1B06">
              <w:rPr>
                <w:lang w:val="ro-MD"/>
              </w:rPr>
              <w:t xml:space="preserve">”, aceasta este justificată de obiectul proiectului, care transpune cadrul </w:t>
            </w:r>
            <w:proofErr w:type="spellStart"/>
            <w:r w:rsidRPr="004B1B06">
              <w:rPr>
                <w:lang w:val="ro-MD"/>
              </w:rPr>
              <w:t>MiCA</w:t>
            </w:r>
            <w:proofErr w:type="spellEnd"/>
            <w:r w:rsidRPr="004B1B06">
              <w:rPr>
                <w:lang w:val="ro-MD"/>
              </w:rPr>
              <w:t xml:space="preserve">. Noțiunea de „activ virtual” utilizată în Legea nr. 308/2017 aparține cadrului AML/CFT și servește unui alt scop normativ, respectiv identificarea obligațiilor entităților raportoare și aplicarea măsurilor de prevenire și combatere a spălării banilor și finanțării terorismului. Cele două noțiuni nu trebuie confundate și nici uniformizate artificial, întrucât aparțin unor regimuri juridice diferite. Totodată, Legea nr. 308/2017 urmează să fie aliniat la </w:t>
            </w:r>
            <w:proofErr w:type="spellStart"/>
            <w:r w:rsidRPr="004B1B06">
              <w:rPr>
                <w:lang w:val="ro-MD"/>
              </w:rPr>
              <w:t>aquisul</w:t>
            </w:r>
            <w:proofErr w:type="spellEnd"/>
            <w:r w:rsidRPr="004B1B06">
              <w:rPr>
                <w:lang w:val="ro-MD"/>
              </w:rPr>
              <w:t xml:space="preserve"> comunitar, respectiv nu este  necesară înlocuirea terminologiei </w:t>
            </w:r>
            <w:proofErr w:type="spellStart"/>
            <w:r w:rsidRPr="004B1B06">
              <w:rPr>
                <w:lang w:val="ro-MD"/>
              </w:rPr>
              <w:t>MiCA</w:t>
            </w:r>
            <w:proofErr w:type="spellEnd"/>
            <w:r w:rsidRPr="004B1B06">
              <w:rPr>
                <w:lang w:val="ro-MD"/>
              </w:rPr>
              <w:t xml:space="preserve"> cu terminologia FATF/AML. Menținerea noțiunii de „</w:t>
            </w:r>
            <w:proofErr w:type="spellStart"/>
            <w:r w:rsidRPr="004B1B06">
              <w:rPr>
                <w:lang w:val="ro-MD"/>
              </w:rPr>
              <w:t>criptoactiv</w:t>
            </w:r>
            <w:proofErr w:type="spellEnd"/>
            <w:r w:rsidRPr="004B1B06">
              <w:rPr>
                <w:lang w:val="ro-MD"/>
              </w:rPr>
              <w:t xml:space="preserve">” este necesară pentru alinierea terminologică și conceptuală a proiectului la Regulamentul </w:t>
            </w:r>
            <w:proofErr w:type="spellStart"/>
            <w:r w:rsidRPr="004B1B06">
              <w:rPr>
                <w:lang w:val="ro-MD"/>
              </w:rPr>
              <w:t>MiCA</w:t>
            </w:r>
            <w:proofErr w:type="spellEnd"/>
            <w:r w:rsidRPr="004B1B06">
              <w:rPr>
                <w:lang w:val="ro-MD"/>
              </w:rPr>
              <w:t>.</w:t>
            </w:r>
          </w:p>
        </w:tc>
      </w:tr>
      <w:tr w:rsidR="00A06816" w:rsidRPr="0026420A" w14:paraId="3C609D30" w14:textId="77777777" w:rsidTr="000A671F">
        <w:trPr>
          <w:trHeight w:val="615"/>
        </w:trPr>
        <w:tc>
          <w:tcPr>
            <w:tcW w:w="2206" w:type="dxa"/>
            <w:tcBorders>
              <w:top w:val="nil"/>
              <w:bottom w:val="nil"/>
            </w:tcBorders>
            <w:tcMar>
              <w:top w:w="0" w:type="dxa"/>
              <w:left w:w="108" w:type="dxa"/>
              <w:bottom w:w="0" w:type="dxa"/>
              <w:right w:w="108" w:type="dxa"/>
            </w:tcMar>
          </w:tcPr>
          <w:p w14:paraId="7A267BB2" w14:textId="3822DF26" w:rsidR="00A06816" w:rsidRPr="000E14F1" w:rsidRDefault="00A06816" w:rsidP="00A06816">
            <w:pPr>
              <w:ind w:firstLine="0"/>
              <w:jc w:val="left"/>
              <w:rPr>
                <w:b/>
                <w:bCs/>
              </w:rPr>
            </w:pPr>
          </w:p>
        </w:tc>
        <w:tc>
          <w:tcPr>
            <w:tcW w:w="579" w:type="dxa"/>
            <w:tcMar>
              <w:top w:w="0" w:type="dxa"/>
              <w:left w:w="108" w:type="dxa"/>
              <w:bottom w:w="0" w:type="dxa"/>
              <w:right w:w="108" w:type="dxa"/>
            </w:tcMar>
          </w:tcPr>
          <w:p w14:paraId="31646409" w14:textId="77777777" w:rsidR="00A06816" w:rsidRPr="000E14F1"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0BFCC7A0" w14:textId="77777777" w:rsidR="00A06816" w:rsidRPr="000E14F1" w:rsidRDefault="00A06816" w:rsidP="00A06816">
            <w:pPr>
              <w:ind w:firstLine="0"/>
              <w:rPr>
                <w:b/>
                <w:bCs/>
                <w:i/>
                <w:iCs/>
              </w:rPr>
            </w:pPr>
            <w:r w:rsidRPr="000E14F1">
              <w:rPr>
                <w:b/>
                <w:bCs/>
                <w:i/>
                <w:iCs/>
              </w:rPr>
              <w:t>Art.2 alin.(2); Art.21 alin.(3); Art.65</w:t>
            </w:r>
          </w:p>
          <w:p w14:paraId="1E2DB9A0" w14:textId="77777777" w:rsidR="00A06816" w:rsidRPr="000E14F1" w:rsidRDefault="00A06816" w:rsidP="00A06816">
            <w:pPr>
              <w:ind w:firstLine="0"/>
              <w:rPr>
                <w:b/>
                <w:bCs/>
              </w:rPr>
            </w:pPr>
            <w:r w:rsidRPr="000E14F1">
              <w:rPr>
                <w:b/>
                <w:bCs/>
              </w:rPr>
              <w:t>Obiecții:</w:t>
            </w:r>
          </w:p>
          <w:p w14:paraId="1A0DEAE2" w14:textId="451DA981" w:rsidR="00A06816" w:rsidRPr="000E14F1" w:rsidRDefault="00A06816" w:rsidP="00A06816">
            <w:pPr>
              <w:ind w:firstLine="0"/>
            </w:pPr>
            <w:r w:rsidRPr="000E14F1">
              <w:t>Analiza proiectului relevă existența unui număr semnificativ de norme de delegare normativă către Comisia Națională a Pieței Financiare, autoritatea fiind împuternicită să adopte acte normative de reglementare și de punere în aplicare într-un spectru larg de domenii. Deși majoritate a acestor delegări reprezintă transpunerea modelului de reglementare consacrat de Regulamentul (UE) 2023/1114 (</w:t>
            </w:r>
            <w:proofErr w:type="spellStart"/>
            <w:r w:rsidRPr="000E14F1">
              <w:t>MiCA</w:t>
            </w:r>
            <w:proofErr w:type="spellEnd"/>
            <w:r w:rsidRPr="000E14F1">
              <w:t>), circumstanța în speță, poate condiționa exercitarea unor atribuții extensive de reglementare de către entitate, în special în domeniile care condiționează accesul pe piață și exercitarea activităților reglementate — autorizarea,</w:t>
            </w:r>
            <w:r w:rsidR="00080634">
              <w:t xml:space="preserve"> </w:t>
            </w:r>
            <w:r w:rsidRPr="000E14F1">
              <w:t>evaluarea participațiilor calificate și cerințele de guvernanță.</w:t>
            </w:r>
          </w:p>
          <w:p w14:paraId="0C673CE1" w14:textId="77777777" w:rsidR="00A06816" w:rsidRPr="000E14F1" w:rsidRDefault="00A06816" w:rsidP="00A06816">
            <w:pPr>
              <w:ind w:firstLine="0"/>
            </w:pPr>
          </w:p>
          <w:p w14:paraId="3352713C" w14:textId="39F828A9" w:rsidR="00A06816" w:rsidRPr="000E14F1" w:rsidRDefault="00A06816" w:rsidP="00A06816">
            <w:pPr>
              <w:ind w:firstLine="0"/>
            </w:pPr>
            <w:r w:rsidRPr="000E14F1">
              <w:rPr>
                <w:b/>
                <w:bCs/>
              </w:rPr>
              <w:t>Art.2 alin.(2),</w:t>
            </w:r>
            <w:r w:rsidRPr="000E14F1">
              <w:t xml:space="preserve"> utilizarea expresiilor </w:t>
            </w:r>
            <w:r w:rsidRPr="000E14F1">
              <w:rPr>
                <w:i/>
                <w:iCs/>
              </w:rPr>
              <w:t xml:space="preserve">„pot detalia elementele tehnice ale definițiilor”, „adapta definițiile respective în funcție de evoluțiile pieței și de evoluțiile tehnologice” </w:t>
            </w:r>
            <w:r w:rsidRPr="000E14F1">
              <w:t>permite, în substanță, modificarea conținutului unor noțiuni esențiale stabilite prin lege precum ”</w:t>
            </w:r>
            <w:proofErr w:type="spellStart"/>
            <w:r w:rsidRPr="000E14F1">
              <w:rPr>
                <w:i/>
                <w:iCs/>
              </w:rPr>
              <w:t>criptoactiv</w:t>
            </w:r>
            <w:proofErr w:type="spellEnd"/>
            <w:r w:rsidRPr="000E14F1">
              <w:rPr>
                <w:i/>
                <w:iCs/>
              </w:rPr>
              <w:t xml:space="preserve">”; „serviciu de </w:t>
            </w:r>
            <w:proofErr w:type="spellStart"/>
            <w:r w:rsidRPr="000E14F1">
              <w:rPr>
                <w:i/>
                <w:iCs/>
              </w:rPr>
              <w:t>criptoactive</w:t>
            </w:r>
            <w:proofErr w:type="spellEnd"/>
            <w:r w:rsidRPr="000E14F1">
              <w:rPr>
                <w:i/>
                <w:iCs/>
              </w:rPr>
              <w:t>”; „platformă de tranzacționare”; „</w:t>
            </w:r>
            <w:proofErr w:type="spellStart"/>
            <w:r w:rsidRPr="000E14F1">
              <w:rPr>
                <w:i/>
                <w:iCs/>
              </w:rPr>
              <w:t>token</w:t>
            </w:r>
            <w:proofErr w:type="spellEnd"/>
            <w:r w:rsidRPr="000E14F1">
              <w:rPr>
                <w:i/>
                <w:iCs/>
              </w:rPr>
              <w:t xml:space="preserve"> raportat la active”; „</w:t>
            </w:r>
            <w:proofErr w:type="spellStart"/>
            <w:r w:rsidRPr="000E14F1">
              <w:rPr>
                <w:i/>
                <w:iCs/>
              </w:rPr>
              <w:t>token</w:t>
            </w:r>
            <w:proofErr w:type="spellEnd"/>
            <w:r w:rsidRPr="000E14F1">
              <w:rPr>
                <w:i/>
                <w:iCs/>
              </w:rPr>
              <w:t xml:space="preserve"> de monedă electronică”, </w:t>
            </w:r>
            <w:r w:rsidRPr="000E14F1">
              <w:t>etc.</w:t>
            </w:r>
          </w:p>
          <w:p w14:paraId="07893BE2" w14:textId="2E7B57F7" w:rsidR="00A06816" w:rsidRPr="000E14F1" w:rsidRDefault="00A06816" w:rsidP="00A06816">
            <w:pPr>
              <w:ind w:firstLine="0"/>
            </w:pPr>
            <w:r w:rsidRPr="000E14F1">
              <w:t xml:space="preserve">În context, se evidențiază faptul că </w:t>
            </w:r>
            <w:proofErr w:type="spellStart"/>
            <w:r w:rsidRPr="000E14F1">
              <w:t>acquisul</w:t>
            </w:r>
            <w:proofErr w:type="spellEnd"/>
            <w:r w:rsidRPr="000E14F1">
              <w:t xml:space="preserve"> de referință nu consacră o prerogativă echivalentă prin care autoritățile naționale pot „adapta definițiile” legale, ci optează pentru reglementarea exhaustivă a definițiilor fundamentale ale </w:t>
            </w:r>
            <w:proofErr w:type="spellStart"/>
            <w:r w:rsidRPr="000E14F1">
              <w:t>criptoactivelor</w:t>
            </w:r>
            <w:proofErr w:type="spellEnd"/>
            <w:r w:rsidRPr="000E14F1">
              <w:t xml:space="preserve">, </w:t>
            </w:r>
            <w:proofErr w:type="spellStart"/>
            <w:r w:rsidRPr="000E14F1">
              <w:t>tokenurilor</w:t>
            </w:r>
            <w:proofErr w:type="spellEnd"/>
            <w:r w:rsidRPr="000E14F1">
              <w:t xml:space="preserve"> raportate la active, </w:t>
            </w:r>
            <w:proofErr w:type="spellStart"/>
            <w:r w:rsidRPr="000E14F1">
              <w:t>tokenurilor</w:t>
            </w:r>
            <w:proofErr w:type="spellEnd"/>
            <w:r w:rsidRPr="000E14F1">
              <w:t xml:space="preserve"> de monedă electronică și serviciilor de </w:t>
            </w:r>
            <w:proofErr w:type="spellStart"/>
            <w:r w:rsidRPr="000E14F1">
              <w:t>criptoactive</w:t>
            </w:r>
            <w:proofErr w:type="spellEnd"/>
            <w:r w:rsidRPr="000E14F1">
              <w:t xml:space="preserve"> </w:t>
            </w:r>
            <w:r w:rsidRPr="000E14F1">
              <w:lastRenderedPageBreak/>
              <w:t>(sunt stabilite direct de regulament și sunt uniform aplicabile în toate statele membre), ESMA și ABE emit orientări, recomandări și standarde tehnice de reglementare sau de punere în aplicare, care nu modifică definițiile din regulament, nu pot extinde domeniul de aplicare material al actului legislativ și au rolul de a asigura aplicarea uniformă a unor concepte deja definite de legiuitorul european.</w:t>
            </w:r>
          </w:p>
          <w:p w14:paraId="0F504FF8" w14:textId="0F888DD1" w:rsidR="00A06816" w:rsidRPr="000E14F1" w:rsidRDefault="00A06816" w:rsidP="00A06816">
            <w:pPr>
              <w:ind w:firstLine="0"/>
            </w:pPr>
            <w:r w:rsidRPr="000E14F1">
              <w:t xml:space="preserve">Redacția propusă la </w:t>
            </w:r>
            <w:r w:rsidRPr="000E14F1">
              <w:rPr>
                <w:b/>
                <w:bCs/>
              </w:rPr>
              <w:t>art.21 alin.(3)</w:t>
            </w:r>
            <w:r w:rsidRPr="000E14F1">
              <w:t xml:space="preserve"> poate determina transferarea către autoritatea administrativă a unor aspecte de reglementare care, prin natura lor, țin de competența legiuitorului și stabilire a de către autoritatea competentă (CNPF), în mod autonom, a unor criterii suplimentare de eligibilitate, incompatibilități sau condiții de acces la activitate care nu sunt prevăzute expres de lege.</w:t>
            </w:r>
          </w:p>
          <w:p w14:paraId="0E7077F0" w14:textId="05A9697A" w:rsidR="00A06816" w:rsidRPr="000E14F1" w:rsidRDefault="00A06816" w:rsidP="00A06816">
            <w:pPr>
              <w:ind w:firstLine="0"/>
            </w:pPr>
            <w:r w:rsidRPr="000E14F1">
              <w:t xml:space="preserve">La </w:t>
            </w:r>
            <w:r w:rsidRPr="000E14F1">
              <w:rPr>
                <w:b/>
                <w:bCs/>
              </w:rPr>
              <w:t>art.65,</w:t>
            </w:r>
            <w:r w:rsidRPr="000E14F1">
              <w:t xml:space="preserve"> se remarcă omiterea reglementării conținutului minim obligatoriu al politicii și garanțiile procedurale concrete prin care conflictele de interese urmează să fie identificate, declarate, documentate și gestionate (i) obligația persoanelor aflate în conflict de interese de a se abține de la participarea la examinarea, deliberarea sau adoptarea deciziilor relevante; ii) modalitățile concrete de declarare, evidență, divulgare sau soluționare a conflictelor de interese; iii) obligația publicării conflictelor de interese și a măsurilor de atenuare adoptate; iv) obligația menținerii unui registru al conflictelor de interese)</w:t>
            </w:r>
          </w:p>
          <w:p w14:paraId="5E92555C" w14:textId="683A3AAB" w:rsidR="00A06816" w:rsidRPr="000E14F1" w:rsidRDefault="00A06816" w:rsidP="00A06816">
            <w:pPr>
              <w:ind w:firstLine="0"/>
            </w:pPr>
            <w:r w:rsidRPr="000E14F1">
              <w:t>În condițiile în care proiectul nu stabilește la nivel legislativ cerințe minime privind declararea, documentarea, evidența, divulgarea și soluționarea conflictelor de interese, precum și obligațiile de abținere</w:t>
            </w:r>
          </w:p>
          <w:p w14:paraId="1F986D9D" w14:textId="4C6DCBB2" w:rsidR="00A06816" w:rsidRPr="000E14F1" w:rsidRDefault="00A06816" w:rsidP="00A06816">
            <w:pPr>
              <w:ind w:firstLine="0"/>
            </w:pPr>
            <w:r w:rsidRPr="000E14F1">
              <w:t>ale persoanelor aflate în situații de incompatibilitate, competența de reglementare delegată autorității competente capătă un caracter extensiv.</w:t>
            </w:r>
          </w:p>
          <w:p w14:paraId="7AAEEFD6" w14:textId="16B31824" w:rsidR="00A06816" w:rsidRPr="000E14F1" w:rsidRDefault="00A06816" w:rsidP="00A06816">
            <w:pPr>
              <w:ind w:firstLine="0"/>
            </w:pPr>
            <w:r w:rsidRPr="000E14F1">
              <w:t>Apreciind prin prisma standardelor internaționale anticorupție, se remarcă faptul că elementele esențiale ale regimului conflictelor de interese urmează să fie determinate prin norme primare, iar nu lăsate exclusiv la discreția reglementării secundare. În absența unor repere legislative suficiente, există riscul apariției unor practici neuniforme de interpretare și aplicare, precum și al exercitării unei puteri discreționare excesive în procesul de elaborare și aplicare a normelor subordonate.</w:t>
            </w:r>
          </w:p>
          <w:p w14:paraId="752DD1BB" w14:textId="14C87BAE" w:rsidR="00A06816" w:rsidRPr="000E14F1" w:rsidRDefault="00A06816" w:rsidP="00A06816">
            <w:pPr>
              <w:ind w:firstLine="0"/>
            </w:pPr>
            <w:r w:rsidRPr="000E14F1">
              <w:t>Concentrarea unui volum semnificativ de competențe normative la nivelul autorității de supraveghere, fără delimitarea în lege a criteriilor, condițiilor și garanțiilor minime aplicabile, poate genera premise pentru</w:t>
            </w:r>
          </w:p>
          <w:p w14:paraId="51BC07B4" w14:textId="580E0CD5" w:rsidR="00A06816" w:rsidRPr="000E14F1" w:rsidRDefault="00A06816" w:rsidP="00A06816">
            <w:pPr>
              <w:ind w:firstLine="0"/>
            </w:pPr>
            <w:r w:rsidRPr="000E14F1">
              <w:lastRenderedPageBreak/>
              <w:t>reglementări selective, tratament diferențiat al subiecților supravegheați și reducerea gradului de previzibilitate juridică.</w:t>
            </w:r>
          </w:p>
          <w:p w14:paraId="1769DD98" w14:textId="4DFAFC79" w:rsidR="00A06816" w:rsidRPr="000E14F1" w:rsidRDefault="00A06816" w:rsidP="00A06816">
            <w:pPr>
              <w:ind w:firstLine="0"/>
            </w:pPr>
            <w:r w:rsidRPr="000E14F1">
              <w:t>Apreciind prin prisma art.3, 7, 14, 16, 55 al Legii nr.100/2017 și urmând jurisprudența Curții Constituționale, reținem faptul că actul normativ, se accentuează faptul că actul normativ aprobat de către entitățile</w:t>
            </w:r>
          </w:p>
          <w:p w14:paraId="288B140B" w14:textId="1ACA6FDC" w:rsidR="00A06816" w:rsidRPr="000E14F1" w:rsidRDefault="00A06816" w:rsidP="00A06816">
            <w:pPr>
              <w:ind w:firstLine="0"/>
            </w:pPr>
            <w:r w:rsidRPr="000E14F1">
              <w:t xml:space="preserve">prenotate, nu poate </w:t>
            </w:r>
            <w:proofErr w:type="spellStart"/>
            <w:r w:rsidRPr="000E14F1">
              <w:t>conţine</w:t>
            </w:r>
            <w:proofErr w:type="spellEnd"/>
            <w:r w:rsidRPr="000E14F1">
              <w:t xml:space="preserve"> norme primare, iar </w:t>
            </w:r>
            <w:proofErr w:type="spellStart"/>
            <w:r w:rsidRPr="000E14F1">
              <w:t>conţinutul</w:t>
            </w:r>
            <w:proofErr w:type="spellEnd"/>
            <w:r w:rsidRPr="000E14F1">
              <w:t xml:space="preserve"> actului normativ urmează să fie în strictă corespundere cu normele </w:t>
            </w:r>
            <w:proofErr w:type="spellStart"/>
            <w:r w:rsidRPr="000E14F1">
              <w:t>şi</w:t>
            </w:r>
            <w:proofErr w:type="spellEnd"/>
            <w:r w:rsidRPr="000E14F1">
              <w:t xml:space="preserve"> scopul actului normativ superior </w:t>
            </w:r>
            <w:proofErr w:type="spellStart"/>
            <w:r w:rsidRPr="000E14F1">
              <w:t>şi</w:t>
            </w:r>
            <w:proofErr w:type="spellEnd"/>
            <w:r w:rsidRPr="000E14F1">
              <w:t xml:space="preserve"> nu poate introduce reglementări noi, altele</w:t>
            </w:r>
          </w:p>
          <w:p w14:paraId="04C3401C" w14:textId="14350FF9" w:rsidR="00A06816" w:rsidRPr="000E14F1" w:rsidRDefault="00A06816" w:rsidP="00A06816">
            <w:pPr>
              <w:ind w:firstLine="0"/>
            </w:pPr>
            <w:r w:rsidRPr="000E14F1">
              <w:t xml:space="preserve">decât cele stabilite de lege sau actul superior. Autoritățile competente pot emite acte normative pentru aplicarea prezentei legi, prin care </w:t>
            </w:r>
            <w:proofErr w:type="spellStart"/>
            <w:r w:rsidRPr="000E14F1">
              <w:t>detaliează</w:t>
            </w:r>
            <w:proofErr w:type="spellEnd"/>
            <w:r w:rsidRPr="000E14F1">
              <w:t xml:space="preserve"> cerințele tehnice, procedurile, formatele și modalitățile de</w:t>
            </w:r>
          </w:p>
          <w:p w14:paraId="160E9796" w14:textId="10C083E5" w:rsidR="00A06816" w:rsidRPr="000E14F1" w:rsidRDefault="00A06816" w:rsidP="00A06816">
            <w:pPr>
              <w:ind w:firstLine="0"/>
            </w:pPr>
            <w:r w:rsidRPr="000E14F1">
              <w:t>raportare necesare implementării definițiilor prevăzute de lege, fără a modifica sau extinde conținutul acestora.</w:t>
            </w:r>
          </w:p>
          <w:p w14:paraId="1D750299" w14:textId="77777777" w:rsidR="00A06816" w:rsidRPr="000E14F1" w:rsidRDefault="00A06816" w:rsidP="00A06816">
            <w:pPr>
              <w:ind w:firstLine="0"/>
              <w:rPr>
                <w:b/>
                <w:bCs/>
              </w:rPr>
            </w:pPr>
            <w:r w:rsidRPr="000E14F1">
              <w:rPr>
                <w:b/>
                <w:bCs/>
              </w:rPr>
              <w:t>Recomandări:</w:t>
            </w:r>
          </w:p>
          <w:p w14:paraId="408B457E" w14:textId="1B3D89F4" w:rsidR="00A06816" w:rsidRPr="000E14F1" w:rsidRDefault="00A06816" w:rsidP="00A06816">
            <w:pPr>
              <w:ind w:firstLine="0"/>
              <w:rPr>
                <w:i/>
                <w:iCs/>
              </w:rPr>
            </w:pPr>
            <w:r w:rsidRPr="000E14F1">
              <w:t xml:space="preserve">Revizuirea redacției Art.2 alin.(2) </w:t>
            </w:r>
            <w:proofErr w:type="spellStart"/>
            <w:r w:rsidRPr="000E14F1">
              <w:t>rezumînd</w:t>
            </w:r>
            <w:proofErr w:type="spellEnd"/>
            <w:r w:rsidRPr="000E14F1">
              <w:t xml:space="preserve"> la reglementarea prerogativei autorităților competente </w:t>
            </w:r>
            <w:r w:rsidRPr="000E14F1">
              <w:rPr>
                <w:i/>
                <w:iCs/>
              </w:rPr>
              <w:t xml:space="preserve">de a emite acte normative pentru aplicarea prezentei legi, prin care </w:t>
            </w:r>
            <w:proofErr w:type="spellStart"/>
            <w:r w:rsidRPr="000E14F1">
              <w:rPr>
                <w:i/>
                <w:iCs/>
              </w:rPr>
              <w:t>detaliează</w:t>
            </w:r>
            <w:proofErr w:type="spellEnd"/>
            <w:r w:rsidRPr="000E14F1">
              <w:rPr>
                <w:i/>
                <w:iCs/>
              </w:rPr>
              <w:t xml:space="preserve"> cerințele tehnice, procedurile, formatele și modalitățile de raportare necesare implementării definițiilor prevăzute de lege, fără a modifica sau extinde conținutul acestora.</w:t>
            </w:r>
          </w:p>
          <w:p w14:paraId="39F5D096" w14:textId="77777777" w:rsidR="00A06816" w:rsidRPr="000E14F1" w:rsidRDefault="00A06816" w:rsidP="00A06816">
            <w:pPr>
              <w:ind w:firstLine="0"/>
              <w:rPr>
                <w:i/>
                <w:iCs/>
              </w:rPr>
            </w:pPr>
            <w:r w:rsidRPr="000E14F1">
              <w:t xml:space="preserve">La art.21 alin.(3) completarea după </w:t>
            </w:r>
            <w:proofErr w:type="spellStart"/>
            <w:r w:rsidRPr="000E14F1">
              <w:t>cuvîntul</w:t>
            </w:r>
            <w:proofErr w:type="spellEnd"/>
            <w:r w:rsidRPr="000E14F1">
              <w:t xml:space="preserve"> </w:t>
            </w:r>
            <w:r w:rsidRPr="000E14F1">
              <w:rPr>
                <w:i/>
                <w:iCs/>
              </w:rPr>
              <w:t xml:space="preserve">”privind” </w:t>
            </w:r>
            <w:r w:rsidRPr="000E14F1">
              <w:t xml:space="preserve">cu </w:t>
            </w:r>
            <w:proofErr w:type="spellStart"/>
            <w:r w:rsidRPr="000E14F1">
              <w:t>cuvîntul</w:t>
            </w:r>
            <w:proofErr w:type="spellEnd"/>
            <w:r w:rsidRPr="000E14F1">
              <w:t xml:space="preserve"> </w:t>
            </w:r>
            <w:r w:rsidRPr="000E14F1">
              <w:rPr>
                <w:i/>
                <w:iCs/>
              </w:rPr>
              <w:t>”procedura”.</w:t>
            </w:r>
          </w:p>
          <w:p w14:paraId="265B000A" w14:textId="758E128F" w:rsidR="00A06816" w:rsidRPr="000E14F1" w:rsidRDefault="00A06816" w:rsidP="00A06816">
            <w:pPr>
              <w:ind w:firstLine="0"/>
            </w:pPr>
            <w:r w:rsidRPr="000E14F1">
              <w:t xml:space="preserve">Reglementarea expresă, la nivel de lege, a elementelor esențiale ale regimului conflictelor de interese aplicabil furnizorilor de servicii de </w:t>
            </w:r>
            <w:proofErr w:type="spellStart"/>
            <w:r w:rsidRPr="000E14F1">
              <w:t>criptoactive</w:t>
            </w:r>
            <w:proofErr w:type="spellEnd"/>
            <w:r w:rsidRPr="000E14F1">
              <w:t>, inclusiv prin stabilirea cerințelor minime privind identificarea, declararea, documentarea, evidența și gestionarea conflictelor de interese, obligația de declarare și abținere a persoanelor aflate în situații de conflict de interese de la participarea la examinarea, deliberarea și adoptarea deciziilor relevante, precum și instituirea unor mecanisme minime de transparență și control intern.</w:t>
            </w:r>
          </w:p>
          <w:p w14:paraId="735E7739" w14:textId="28CCC0F2" w:rsidR="00A06816" w:rsidRPr="000E14F1" w:rsidRDefault="00A06816" w:rsidP="00A06816">
            <w:pPr>
              <w:ind w:firstLine="0"/>
            </w:pPr>
          </w:p>
        </w:tc>
        <w:tc>
          <w:tcPr>
            <w:tcW w:w="5281" w:type="dxa"/>
            <w:tcMar>
              <w:top w:w="0" w:type="dxa"/>
              <w:left w:w="108" w:type="dxa"/>
              <w:bottom w:w="0" w:type="dxa"/>
              <w:right w:w="108" w:type="dxa"/>
            </w:tcMar>
          </w:tcPr>
          <w:p w14:paraId="32BADFED" w14:textId="77777777" w:rsidR="00A06816" w:rsidRPr="0026420A" w:rsidRDefault="00A06816" w:rsidP="00A06816">
            <w:pPr>
              <w:ind w:firstLine="0"/>
              <w:rPr>
                <w:b/>
                <w:bCs/>
                <w:iCs/>
              </w:rPr>
            </w:pPr>
            <w:r w:rsidRPr="0026420A">
              <w:rPr>
                <w:b/>
                <w:bCs/>
                <w:iCs/>
              </w:rPr>
              <w:lastRenderedPageBreak/>
              <w:t>Se acceptă parțial.</w:t>
            </w:r>
          </w:p>
          <w:p w14:paraId="62A725BD" w14:textId="7A2F7939" w:rsidR="00A06816" w:rsidRPr="0026420A" w:rsidRDefault="00A06816" w:rsidP="00A06816">
            <w:pPr>
              <w:ind w:firstLine="0"/>
              <w:rPr>
                <w:b/>
                <w:bCs/>
                <w:iCs/>
              </w:rPr>
            </w:pPr>
            <w:r w:rsidRPr="0026420A">
              <w:rPr>
                <w:iCs/>
              </w:rPr>
              <w:t xml:space="preserve">Prevederea art. 2 alin. (2) transpune logica art. 3 alin. (2) din </w:t>
            </w:r>
            <w:proofErr w:type="spellStart"/>
            <w:r w:rsidRPr="0026420A">
              <w:rPr>
                <w:iCs/>
              </w:rPr>
              <w:t>MiCA</w:t>
            </w:r>
            <w:proofErr w:type="spellEnd"/>
            <w:r w:rsidRPr="0026420A">
              <w:rPr>
                <w:iCs/>
              </w:rPr>
              <w:t xml:space="preserve">, iar potrivit regulilor naționale privind transpunerea regulamentelor UE, transpunerea directă presupune preluarea fidelă a limbajului, structurii și terminologiei actului european. Totuși, întrucât în dreptul UE competența de detaliere și adaptare a definițiilor aparține Comisiei Europene prin acte delegate, iar în dreptul național actele normative subsecvente nu pot modifica sau extinde conținutul normelor primare, textul </w:t>
            </w:r>
            <w:r w:rsidRPr="0026420A">
              <w:rPr>
                <w:b/>
                <w:bCs/>
                <w:iCs/>
              </w:rPr>
              <w:t xml:space="preserve">Art. 2 alin. (2) </w:t>
            </w:r>
            <w:r w:rsidRPr="0026420A">
              <w:rPr>
                <w:iCs/>
              </w:rPr>
              <w:t>se ajustează corespunzător, prin precizarea că autoritățile competente pot detalia elementele tehnice și modalitățile de aplicare a definițiilor, în funcție de evoluțiile pieței și tehnologice, fără a modifica, restrânge sau extinde conținutul definițiilor stabilite prin lege.</w:t>
            </w:r>
            <w:r w:rsidRPr="0026420A">
              <w:rPr>
                <w:b/>
                <w:bCs/>
                <w:iCs/>
              </w:rPr>
              <w:t xml:space="preserve"> </w:t>
            </w:r>
          </w:p>
          <w:p w14:paraId="113D4EB8" w14:textId="4C47DA5E" w:rsidR="00A06816" w:rsidRPr="0026420A" w:rsidRDefault="00A06816" w:rsidP="00A06816">
            <w:pPr>
              <w:ind w:firstLine="0"/>
              <w:rPr>
                <w:b/>
                <w:bCs/>
                <w:iCs/>
              </w:rPr>
            </w:pPr>
            <w:r w:rsidRPr="0026420A">
              <w:rPr>
                <w:iCs/>
              </w:rPr>
              <w:t xml:space="preserve">La </w:t>
            </w:r>
            <w:r w:rsidRPr="0026420A">
              <w:rPr>
                <w:b/>
                <w:bCs/>
                <w:iCs/>
              </w:rPr>
              <w:t xml:space="preserve">art. 21 alin. (3), </w:t>
            </w:r>
            <w:r w:rsidRPr="0026420A">
              <w:rPr>
                <w:iCs/>
              </w:rPr>
              <w:t>textului prevederii se ajustează cu referire la „</w:t>
            </w:r>
            <w:r w:rsidRPr="0026420A">
              <w:rPr>
                <w:i/>
              </w:rPr>
              <w:t>metodologia și cerințele</w:t>
            </w:r>
            <w:r w:rsidRPr="0026420A">
              <w:rPr>
                <w:iCs/>
              </w:rPr>
              <w:t>” de evaluare, pentru a evita interpretarea potrivit căreia autoritatea ar putea stabili criterii materiale suplimentare de eligibilitate.</w:t>
            </w:r>
            <w:r w:rsidRPr="0026420A">
              <w:rPr>
                <w:b/>
                <w:bCs/>
                <w:iCs/>
              </w:rPr>
              <w:t xml:space="preserve"> </w:t>
            </w:r>
          </w:p>
          <w:p w14:paraId="7630FCB3" w14:textId="49AFD368" w:rsidR="00A06816" w:rsidRPr="0026420A" w:rsidRDefault="00A06816" w:rsidP="00A06816">
            <w:pPr>
              <w:ind w:firstLine="0"/>
              <w:rPr>
                <w:iCs/>
              </w:rPr>
            </w:pPr>
            <w:r w:rsidRPr="0026420A">
              <w:rPr>
                <w:iCs/>
              </w:rPr>
              <w:t>În ceea ce privește</w:t>
            </w:r>
            <w:r w:rsidRPr="0026420A">
              <w:rPr>
                <w:b/>
                <w:bCs/>
                <w:iCs/>
              </w:rPr>
              <w:t xml:space="preserve"> art. 65,  </w:t>
            </w:r>
            <w:r w:rsidRPr="0026420A">
              <w:rPr>
                <w:iCs/>
              </w:rPr>
              <w:t xml:space="preserve">norma din proiectul de Lege stabilește deja, la nivel de lege primară, obligația de principiu a furnizorilor de servicii de </w:t>
            </w:r>
            <w:proofErr w:type="spellStart"/>
            <w:r w:rsidRPr="0026420A">
              <w:rPr>
                <w:iCs/>
              </w:rPr>
              <w:t>criptoactive</w:t>
            </w:r>
            <w:proofErr w:type="spellEnd"/>
            <w:r w:rsidRPr="0026420A">
              <w:rPr>
                <w:iCs/>
              </w:rPr>
              <w:t xml:space="preserve"> de a pune în aplicare și de a menține politici și proceduri eficace pentru identificarea, prevenirea, gestionarea și divulgarea conflictelor de interese, ținând seama de amploarea, natura și gama serviciilor prestate. Totodată, norma indică expres categoriile de conflicte vizate, obligația de informare a clienților și a clienților potențiali, </w:t>
            </w:r>
            <w:r w:rsidRPr="0026420A">
              <w:rPr>
                <w:iCs/>
              </w:rPr>
              <w:lastRenderedPageBreak/>
              <w:t xml:space="preserve">cerința publicării informațiilor într-un loc vizibil pe pagina web, precum și obligația revizuirii cel puțin anuale a politicii privind conflictele de interese. Nu se justifică includerea exhaustivă în legea primară a tuturor mecanismelor operaționale privind declararea, documentarea, evidența, registrele interne, abținerea de la participarea la decizii, remunerarea, tranzacțiile personale, canalele interne de raportare sau metodologia publicării informațiilor, întrucât aceste elemente au natura unor cerințe tehnice de aplicare. În arhitectura </w:t>
            </w:r>
            <w:proofErr w:type="spellStart"/>
            <w:r w:rsidRPr="0026420A">
              <w:rPr>
                <w:iCs/>
              </w:rPr>
              <w:t>MiCA</w:t>
            </w:r>
            <w:proofErr w:type="spellEnd"/>
            <w:r w:rsidRPr="0026420A">
              <w:rPr>
                <w:iCs/>
              </w:rPr>
              <w:t xml:space="preserve">, asemenea cerințe sunt dezvoltate prin Regulamentul delegat (UE) 2025/1142, care precizează în mod detaliat cerințele privind politicile și procedurile aferente conflictelor de interese aplicabile furnizorilor de servicii de </w:t>
            </w:r>
            <w:proofErr w:type="spellStart"/>
            <w:r w:rsidRPr="0026420A">
              <w:rPr>
                <w:iCs/>
              </w:rPr>
              <w:t>criptoactive</w:t>
            </w:r>
            <w:proofErr w:type="spellEnd"/>
            <w:r w:rsidRPr="0026420A">
              <w:rPr>
                <w:iCs/>
              </w:rPr>
              <w:t>, precum și detaliile și metodologia informațiilor publicate. Prin urmare, obligațiile esențiale sunt prevăzute la nivelul art. 65, iar cerințele tehnice și operaționale privind conținutul politicilor, procedurile interne, evidențele, divulgarea publică, remunerarea, tranzacțiile personale și mecanismele de control intern urmează să fie transpuse fidel prin actele normative secundare de punere în aplicare a legii. Această soluție corespunde metodei de transpunere directă a regulamentelor UE și evită rigidizarea nejustificată a legii primare.</w:t>
            </w:r>
          </w:p>
          <w:p w14:paraId="3AB4AFC8" w14:textId="77777777" w:rsidR="00A06816" w:rsidRPr="0026420A" w:rsidRDefault="00A06816" w:rsidP="00A06816">
            <w:pPr>
              <w:ind w:firstLine="0"/>
              <w:rPr>
                <w:iCs/>
              </w:rPr>
            </w:pPr>
          </w:p>
          <w:p w14:paraId="0A10AA44" w14:textId="312A5F25" w:rsidR="00A06816" w:rsidRPr="0026420A" w:rsidRDefault="00A06816" w:rsidP="00A06816">
            <w:pPr>
              <w:ind w:firstLine="0"/>
              <w:rPr>
                <w:b/>
                <w:bCs/>
                <w:iCs/>
              </w:rPr>
            </w:pPr>
          </w:p>
        </w:tc>
      </w:tr>
      <w:tr w:rsidR="00A06816" w:rsidRPr="0026420A" w14:paraId="2FB359FB" w14:textId="77777777" w:rsidTr="000A671F">
        <w:trPr>
          <w:trHeight w:val="615"/>
        </w:trPr>
        <w:tc>
          <w:tcPr>
            <w:tcW w:w="2206" w:type="dxa"/>
            <w:tcBorders>
              <w:top w:val="nil"/>
              <w:bottom w:val="nil"/>
            </w:tcBorders>
            <w:tcMar>
              <w:top w:w="0" w:type="dxa"/>
              <w:left w:w="108" w:type="dxa"/>
              <w:bottom w:w="0" w:type="dxa"/>
              <w:right w:w="108" w:type="dxa"/>
            </w:tcMar>
          </w:tcPr>
          <w:p w14:paraId="6E3438D1" w14:textId="77777777" w:rsidR="00A06816" w:rsidRPr="000E14F1" w:rsidRDefault="00A06816" w:rsidP="00A06816">
            <w:pPr>
              <w:ind w:firstLine="0"/>
              <w:jc w:val="left"/>
              <w:rPr>
                <w:b/>
                <w:bCs/>
              </w:rPr>
            </w:pPr>
          </w:p>
        </w:tc>
        <w:tc>
          <w:tcPr>
            <w:tcW w:w="579" w:type="dxa"/>
            <w:tcMar>
              <w:top w:w="0" w:type="dxa"/>
              <w:left w:w="108" w:type="dxa"/>
              <w:bottom w:w="0" w:type="dxa"/>
              <w:right w:w="108" w:type="dxa"/>
            </w:tcMar>
          </w:tcPr>
          <w:p w14:paraId="64749033" w14:textId="77777777" w:rsidR="00A06816" w:rsidRPr="000E14F1"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0F3ECA2A" w14:textId="77777777" w:rsidR="00A06816" w:rsidRPr="000E14F1" w:rsidRDefault="00A06816" w:rsidP="00A06816">
            <w:pPr>
              <w:ind w:firstLine="0"/>
              <w:rPr>
                <w:b/>
                <w:bCs/>
              </w:rPr>
            </w:pPr>
            <w:r w:rsidRPr="000E14F1">
              <w:rPr>
                <w:b/>
                <w:bCs/>
              </w:rPr>
              <w:t>Art.4 alin. (3)</w:t>
            </w:r>
          </w:p>
          <w:p w14:paraId="2DFD834E" w14:textId="77777777" w:rsidR="00A06816" w:rsidRPr="000E14F1" w:rsidRDefault="00A06816" w:rsidP="00A06816">
            <w:pPr>
              <w:ind w:firstLine="0"/>
              <w:rPr>
                <w:b/>
                <w:bCs/>
              </w:rPr>
            </w:pPr>
            <w:r w:rsidRPr="000E14F1">
              <w:rPr>
                <w:b/>
                <w:bCs/>
              </w:rPr>
              <w:t>Obiecții:</w:t>
            </w:r>
          </w:p>
          <w:p w14:paraId="25675079" w14:textId="24ADED88" w:rsidR="00A06816" w:rsidRPr="000E14F1" w:rsidRDefault="00A06816" w:rsidP="00A06816">
            <w:pPr>
              <w:ind w:firstLine="0"/>
            </w:pPr>
            <w:r w:rsidRPr="000E14F1">
              <w:t xml:space="preserve">Apreciind prin prisma exigențelor vizate de art.29 alin.(2) al Legii nr.100/2017, coroborat art.32 cod administrativ, se remarcă omiterea reglementării unor aspecte procedurale aferente examinării notificării de către entitate (i) termenul de examinare, ii) momentul de la care începe să curgă termenul; iii) consecințele depășirii termenului de examinare; iv) dreptul solicitantului de a prezenta explicații sau documente suplimentare; v) procedura de contestare a deciziei; vi) </w:t>
            </w:r>
            <w:r w:rsidRPr="000E14F1">
              <w:lastRenderedPageBreak/>
              <w:t>efectele juridice ale notificării până la emiterea deciziei Comisiei Naționale).</w:t>
            </w:r>
          </w:p>
          <w:p w14:paraId="1C284DB1" w14:textId="39F334CC" w:rsidR="00A06816" w:rsidRPr="000E14F1" w:rsidRDefault="00A06816" w:rsidP="00A06816">
            <w:pPr>
              <w:ind w:firstLine="0"/>
            </w:pPr>
            <w:r w:rsidRPr="000E14F1">
              <w:t xml:space="preserve">Omisiunile legiuitorului de a reglementa aspecte ale </w:t>
            </w:r>
            <w:proofErr w:type="spellStart"/>
            <w:r w:rsidRPr="000E14F1">
              <w:t>relaţiilor</w:t>
            </w:r>
            <w:proofErr w:type="spellEnd"/>
            <w:r w:rsidRPr="000E14F1">
              <w:t xml:space="preserve"> sociale, </w:t>
            </w:r>
            <w:proofErr w:type="spellStart"/>
            <w:r w:rsidRPr="000E14F1">
              <w:t>existenţa</w:t>
            </w:r>
            <w:proofErr w:type="spellEnd"/>
            <w:r w:rsidRPr="000E14F1">
              <w:t xml:space="preserve"> cărora rezultă din Realitatea obiectivă sau din alte prevederi ale </w:t>
            </w:r>
            <w:proofErr w:type="spellStart"/>
            <w:r w:rsidRPr="000E14F1">
              <w:t>aceluiaşi</w:t>
            </w:r>
            <w:proofErr w:type="spellEnd"/>
            <w:r w:rsidRPr="000E14F1">
              <w:t xml:space="preserve"> act, condiționează incertitudine în </w:t>
            </w:r>
            <w:proofErr w:type="spellStart"/>
            <w:r w:rsidRPr="000E14F1">
              <w:t>relaţiile</w:t>
            </w:r>
            <w:proofErr w:type="spellEnd"/>
            <w:r w:rsidRPr="000E14F1">
              <w:t xml:space="preserve"> sociale supuse reglementării, îndeosebi cele referitoare la mecanismele de realizare a drepturilor, de îndeplinire a </w:t>
            </w:r>
            <w:proofErr w:type="spellStart"/>
            <w:r w:rsidRPr="000E14F1">
              <w:t>obligaţiilor</w:t>
            </w:r>
            <w:proofErr w:type="spellEnd"/>
            <w:r w:rsidRPr="000E14F1">
              <w:t xml:space="preserve">, ambiguitatea </w:t>
            </w:r>
            <w:proofErr w:type="spellStart"/>
            <w:r w:rsidRPr="000E14F1">
              <w:t>atribuţiilor</w:t>
            </w:r>
            <w:proofErr w:type="spellEnd"/>
            <w:r w:rsidRPr="000E14F1">
              <w:t xml:space="preserve"> agenților publici </w:t>
            </w:r>
            <w:proofErr w:type="spellStart"/>
            <w:r w:rsidRPr="000E14F1">
              <w:t>şi</w:t>
            </w:r>
            <w:proofErr w:type="spellEnd"/>
            <w:r w:rsidRPr="000E14F1">
              <w:t xml:space="preserve"> a procedurilor administrative de care ei sunt responsabili etc., </w:t>
            </w:r>
            <w:proofErr w:type="spellStart"/>
            <w:r w:rsidRPr="000E14F1">
              <w:t>situaţii</w:t>
            </w:r>
            <w:proofErr w:type="spellEnd"/>
            <w:r w:rsidRPr="000E14F1">
              <w:t xml:space="preserve"> în care </w:t>
            </w:r>
            <w:proofErr w:type="spellStart"/>
            <w:r w:rsidRPr="000E14F1">
              <w:t>autorităţile</w:t>
            </w:r>
            <w:proofErr w:type="spellEnd"/>
            <w:r w:rsidRPr="000E14F1">
              <w:t xml:space="preserve"> responsabile de executarea legii respective se pot prevala de această </w:t>
            </w:r>
            <w:proofErr w:type="spellStart"/>
            <w:r w:rsidRPr="000E14F1">
              <w:t>deficienţă</w:t>
            </w:r>
            <w:proofErr w:type="spellEnd"/>
            <w:r w:rsidRPr="000E14F1">
              <w:t xml:space="preserve"> pentru a comite abuzuri. Reglementarea lacunară sau confuză a procedurilor administrative pe care le gestionează </w:t>
            </w:r>
            <w:proofErr w:type="spellStart"/>
            <w:r w:rsidRPr="000E14F1">
              <w:t>autorităţile</w:t>
            </w:r>
            <w:proofErr w:type="spellEnd"/>
            <w:r w:rsidRPr="000E14F1">
              <w:t xml:space="preserve"> publice, poate determina </w:t>
            </w:r>
            <w:proofErr w:type="spellStart"/>
            <w:r w:rsidRPr="000E14F1">
              <w:t>discreţia</w:t>
            </w:r>
            <w:proofErr w:type="spellEnd"/>
            <w:r w:rsidRPr="000E14F1">
              <w:t xml:space="preserve"> periculoasă a agentului public responsabil de a dezvolta reguli procedurale convenabile propriilor sale interese, contrare interesului public.</w:t>
            </w:r>
          </w:p>
          <w:p w14:paraId="2B9A31E2" w14:textId="77777777" w:rsidR="00A06816" w:rsidRPr="000E14F1" w:rsidRDefault="00A06816" w:rsidP="00A06816">
            <w:pPr>
              <w:ind w:firstLine="0"/>
            </w:pPr>
          </w:p>
          <w:p w14:paraId="0DE6A912" w14:textId="7C622158" w:rsidR="00A06816" w:rsidRPr="000E14F1" w:rsidRDefault="00A06816" w:rsidP="00A06816">
            <w:pPr>
              <w:ind w:firstLine="0"/>
            </w:pPr>
            <w:r w:rsidRPr="000E14F1">
              <w:t xml:space="preserve">Totodată, apreciind prin prisma exigențelor de tehnică legislativă vizate de prevederile art.54 alin.(1) </w:t>
            </w:r>
            <w:proofErr w:type="spellStart"/>
            <w:r w:rsidRPr="000E14F1">
              <w:t>lit.a</w:t>
            </w:r>
            <w:proofErr w:type="spellEnd"/>
            <w:r w:rsidRPr="000E14F1">
              <w:t xml:space="preserve">) al Legii nr.100/2017, se remarcă </w:t>
            </w:r>
            <w:proofErr w:type="spellStart"/>
            <w:r w:rsidRPr="000E14F1">
              <w:t>fapul</w:t>
            </w:r>
            <w:proofErr w:type="spellEnd"/>
            <w:r w:rsidRPr="000E14F1">
              <w:t xml:space="preserve"> că utilizarea expresiei </w:t>
            </w:r>
            <w:r w:rsidRPr="000E14F1">
              <w:rPr>
                <w:i/>
                <w:iCs/>
              </w:rPr>
              <w:t xml:space="preserve">„în cazul în care consideră” </w:t>
            </w:r>
            <w:r w:rsidRPr="000E14F1">
              <w:t>accentuează caracterul ambiguu al normei, or nu utilizarea verbului „consideră” plasează accentul pe convingerea sau aprecierea subiectivă a autorității, fără a indica elementele obiective care trebuie constatate și demonstrate în procesul decizional.</w:t>
            </w:r>
          </w:p>
          <w:p w14:paraId="08BF63B0" w14:textId="77777777" w:rsidR="00A06816" w:rsidRPr="000E14F1" w:rsidRDefault="00A06816" w:rsidP="00A06816">
            <w:pPr>
              <w:ind w:firstLine="0"/>
            </w:pPr>
          </w:p>
          <w:p w14:paraId="64F0D98D" w14:textId="77777777" w:rsidR="00A06816" w:rsidRPr="000E14F1" w:rsidRDefault="00A06816" w:rsidP="00A06816">
            <w:pPr>
              <w:ind w:firstLine="0"/>
              <w:rPr>
                <w:b/>
                <w:bCs/>
              </w:rPr>
            </w:pPr>
            <w:r w:rsidRPr="000E14F1">
              <w:rPr>
                <w:b/>
                <w:bCs/>
              </w:rPr>
              <w:t>Recomandări:</w:t>
            </w:r>
          </w:p>
          <w:p w14:paraId="06D6DC8B" w14:textId="77777777" w:rsidR="00A06816" w:rsidRPr="000E14F1" w:rsidRDefault="00A06816" w:rsidP="00A06816">
            <w:pPr>
              <w:ind w:firstLine="0"/>
            </w:pPr>
            <w:r w:rsidRPr="000E14F1">
              <w:t>Reglementarea aspectelor deficitare evidențiate supra.</w:t>
            </w:r>
          </w:p>
          <w:p w14:paraId="66CCF27B" w14:textId="7BD761E9" w:rsidR="00A06816" w:rsidRPr="000E14F1" w:rsidRDefault="00A06816" w:rsidP="00A06816">
            <w:pPr>
              <w:ind w:firstLine="0"/>
            </w:pPr>
            <w:r w:rsidRPr="000E14F1">
              <w:t xml:space="preserve">Excluderea expresiei </w:t>
            </w:r>
            <w:r w:rsidRPr="000E14F1">
              <w:rPr>
                <w:i/>
                <w:iCs/>
              </w:rPr>
              <w:t>„în cazul în care consideră”.</w:t>
            </w:r>
          </w:p>
        </w:tc>
        <w:tc>
          <w:tcPr>
            <w:tcW w:w="5281" w:type="dxa"/>
            <w:tcMar>
              <w:top w:w="0" w:type="dxa"/>
              <w:left w:w="108" w:type="dxa"/>
              <w:bottom w:w="0" w:type="dxa"/>
              <w:right w:w="108" w:type="dxa"/>
            </w:tcMar>
          </w:tcPr>
          <w:p w14:paraId="4907294A" w14:textId="77777777" w:rsidR="00A06816" w:rsidRPr="0026420A" w:rsidRDefault="00A06816" w:rsidP="00A06816">
            <w:pPr>
              <w:ind w:firstLine="0"/>
              <w:rPr>
                <w:b/>
                <w:bCs/>
                <w:iCs/>
              </w:rPr>
            </w:pPr>
            <w:r w:rsidRPr="0026420A">
              <w:rPr>
                <w:b/>
                <w:bCs/>
                <w:iCs/>
              </w:rPr>
              <w:lastRenderedPageBreak/>
              <w:t>Se acceptă parțial.</w:t>
            </w:r>
          </w:p>
          <w:p w14:paraId="32C7DABE" w14:textId="4BAAA5C4" w:rsidR="00A06816" w:rsidRPr="0026420A" w:rsidRDefault="00A06816" w:rsidP="00A06816">
            <w:pPr>
              <w:ind w:firstLine="0"/>
              <w:rPr>
                <w:iCs/>
              </w:rPr>
            </w:pPr>
            <w:r w:rsidRPr="0026420A">
              <w:rPr>
                <w:iCs/>
              </w:rPr>
              <w:t xml:space="preserve">La art. </w:t>
            </w:r>
            <w:r w:rsidRPr="0026420A">
              <w:rPr>
                <w:b/>
                <w:bCs/>
                <w:iCs/>
              </w:rPr>
              <w:t>4 alin. (3),</w:t>
            </w:r>
            <w:r w:rsidRPr="0026420A">
              <w:rPr>
                <w:iCs/>
              </w:rPr>
              <w:t xml:space="preserve"> în partea ce vizează necesitatea clarificării formulării utilizate astfel încât decizia Comisiei Naționale să fie întemeiată pe o constatare obiectivă, nu pe o apreciere formulată în termeni subiectivi, sintagma </w:t>
            </w:r>
            <w:r w:rsidRPr="0026420A">
              <w:rPr>
                <w:i/>
              </w:rPr>
              <w:t>„în cazul în care consideră</w:t>
            </w:r>
            <w:r w:rsidR="000B3EAF">
              <w:rPr>
                <w:iCs/>
              </w:rPr>
              <w:t>” a fost</w:t>
            </w:r>
            <w:r w:rsidRPr="0026420A">
              <w:rPr>
                <w:iCs/>
              </w:rPr>
              <w:t xml:space="preserve"> înlocuită cu formula </w:t>
            </w:r>
            <w:r w:rsidRPr="0026420A">
              <w:rPr>
                <w:i/>
              </w:rPr>
              <w:t>„în cazul în care constată</w:t>
            </w:r>
            <w:r w:rsidR="000B3EAF">
              <w:rPr>
                <w:iCs/>
              </w:rPr>
              <w:t>”, iar textul a fost</w:t>
            </w:r>
            <w:r w:rsidRPr="0026420A">
              <w:rPr>
                <w:iCs/>
              </w:rPr>
              <w:t xml:space="preserve"> corectat corespunzător din punct de vedere redacțional.</w:t>
            </w:r>
          </w:p>
          <w:p w14:paraId="4ABDE860" w14:textId="5B216C8F" w:rsidR="00A06816" w:rsidRPr="0026420A" w:rsidRDefault="00A06816" w:rsidP="00A06816">
            <w:pPr>
              <w:ind w:firstLine="0"/>
              <w:rPr>
                <w:iCs/>
              </w:rPr>
            </w:pPr>
            <w:r w:rsidRPr="0026420A">
              <w:rPr>
                <w:iCs/>
              </w:rPr>
              <w:t xml:space="preserve">Totodată, nu este necesară reglementarea exhaustivă, la nivelul art. 4 alin. (3), a tuturor aspectelor procedurale menționate în </w:t>
            </w:r>
            <w:r w:rsidRPr="0026420A">
              <w:rPr>
                <w:iCs/>
              </w:rPr>
              <w:lastRenderedPageBreak/>
              <w:t>obiecție. Decizia Comisiei Naționale prin care se constată că o ofertă nu se califică pentru exceptarea privind rețeaua limitată are natura unui act administrativ individual și se supune regulilor generale prevăzute de Codul administrativ nr. 116/2018. Acesta reglementează deja garanțiile procedurale invocate, inclusiv obligația autorității de a stabili din oficiu starea de fapt și de a efectua investigațiile necesare (art. 85), dreptul de a solicita informații, explicații, documente și alte probe relevante (art. 87), obligația participanților de a colabora și de a prezenta documentele pe care le dețin (art. 88 și art. 93), precum și dreptul persoanei vizate de a fi audiată înainte de emiterea unui act administrativ individual defavorabil (art. 94), precum și contestarea actului administrativ.</w:t>
            </w:r>
            <w:r w:rsidRPr="0026420A">
              <w:t xml:space="preserve"> </w:t>
            </w:r>
            <w:r w:rsidRPr="0026420A">
              <w:rPr>
                <w:iCs/>
              </w:rPr>
              <w:t>Suplimentar, dreptul la contestarea actelor administrative este deja asigurat prin dispozițiile generale ale Codului administrativ și este reiterat expres în proiectul de lege la art. 99 alin. (1), potrivit căruia actele administrative individuale adoptate de autoritățile competente în temeiul legii sunt motivate corespunzător și pot fi contestate în conformitate cu prevederile Codului administrativ nr. 116/2018.</w:t>
            </w:r>
          </w:p>
          <w:p w14:paraId="5EBA84AB" w14:textId="779890A7" w:rsidR="00A06816" w:rsidRPr="0026420A" w:rsidRDefault="00A06816" w:rsidP="00A06816">
            <w:pPr>
              <w:ind w:firstLine="0"/>
              <w:rPr>
                <w:iCs/>
              </w:rPr>
            </w:pPr>
            <w:r w:rsidRPr="0026420A">
              <w:rPr>
                <w:iCs/>
              </w:rPr>
              <w:t>Totuși, pentru asigurarea unui nivel adecvat de previzibilitate și clarit</w:t>
            </w:r>
            <w:r w:rsidR="000B3EAF">
              <w:rPr>
                <w:iCs/>
              </w:rPr>
              <w:t>ate procedurală, textul normei a fost</w:t>
            </w:r>
            <w:r w:rsidRPr="0026420A">
              <w:rPr>
                <w:iCs/>
              </w:rPr>
              <w:t xml:space="preserve"> completat cu elemente procedurale minime privind examinarea notificării. În acest sens, textul se ajustează, după cum urmează:</w:t>
            </w:r>
          </w:p>
          <w:p w14:paraId="1EA3A9AD" w14:textId="3903103E" w:rsidR="00A06816" w:rsidRPr="0026420A" w:rsidRDefault="00A06816" w:rsidP="00A06816">
            <w:pPr>
              <w:ind w:firstLine="0"/>
              <w:rPr>
                <w:iCs/>
              </w:rPr>
            </w:pPr>
            <w:r w:rsidRPr="0026420A">
              <w:rPr>
                <w:iCs/>
              </w:rPr>
              <w:t>„</w:t>
            </w:r>
            <w:r w:rsidRPr="00721ECA">
              <w:rPr>
                <w:i/>
              </w:rPr>
              <w:t>Comisia Națională examinează notificarea în termen de 20 de zile lucrătoare de la data primirii acesteia. În cursul examinării, Comisia Națională poate solicita ofertantului informații, explicații sau documente suplimentare, stabilind un termen pentru prezentarea acestora care nu poate depăși 20 de zile lucrătoare de la data solicitării. Termenul de examinare se suspendă de drept de la data solicitării până la data primirii informațiilor, explicațiilor sau documentelor solicitate. Pe baza notificării menționate, în cazul în care constată că activitatea nu se califică pentru o exceptare ca rețea limitată în temeiul indicat la lit. d), aceasta emite o decizie motivată corespunzător și informează ofertantul în consecință.</w:t>
            </w:r>
            <w:r w:rsidRPr="0026420A">
              <w:rPr>
                <w:i/>
              </w:rPr>
              <w:t>.”</w:t>
            </w:r>
          </w:p>
          <w:p w14:paraId="28F0673E" w14:textId="3443D6C7" w:rsidR="00A06816" w:rsidRPr="0026420A" w:rsidRDefault="00A06816" w:rsidP="00A06816">
            <w:pPr>
              <w:ind w:firstLine="0"/>
              <w:rPr>
                <w:iCs/>
              </w:rPr>
            </w:pPr>
            <w:r w:rsidRPr="0026420A">
              <w:rPr>
                <w:iCs/>
              </w:rPr>
              <w:t xml:space="preserve">Această soluție păstrează transpunerea fidelă a </w:t>
            </w:r>
            <w:proofErr w:type="spellStart"/>
            <w:r w:rsidRPr="0026420A">
              <w:rPr>
                <w:iCs/>
              </w:rPr>
              <w:t>MiCA</w:t>
            </w:r>
            <w:proofErr w:type="spellEnd"/>
            <w:r w:rsidRPr="0026420A">
              <w:rPr>
                <w:iCs/>
              </w:rPr>
              <w:t>, evită dublarea normelor generale deja prevăzute de Codul administrativ și, în același timp, oferă claritate cu privire la principalele etape ale examinării notificării de către Comisia Națională.</w:t>
            </w:r>
          </w:p>
          <w:p w14:paraId="6BED2357" w14:textId="77777777" w:rsidR="00A06816" w:rsidRPr="0026420A" w:rsidRDefault="00A06816" w:rsidP="00A06816">
            <w:pPr>
              <w:ind w:firstLine="0"/>
              <w:rPr>
                <w:b/>
                <w:bCs/>
                <w:iCs/>
              </w:rPr>
            </w:pPr>
          </w:p>
          <w:p w14:paraId="2B2603A5" w14:textId="1CFBD2D6" w:rsidR="00A06816" w:rsidRPr="0026420A" w:rsidRDefault="00A06816" w:rsidP="00A06816">
            <w:pPr>
              <w:ind w:firstLine="0"/>
              <w:rPr>
                <w:iCs/>
              </w:rPr>
            </w:pPr>
            <w:r w:rsidRPr="0026420A">
              <w:rPr>
                <w:iCs/>
              </w:rPr>
              <w:t xml:space="preserve">De asemenea, în partea notificarea cărții albe pentru </w:t>
            </w:r>
            <w:proofErr w:type="spellStart"/>
            <w:r w:rsidRPr="0026420A">
              <w:rPr>
                <w:iCs/>
              </w:rPr>
              <w:t>criptoactive</w:t>
            </w:r>
            <w:proofErr w:type="spellEnd"/>
            <w:r w:rsidRPr="0026420A">
              <w:rPr>
                <w:iCs/>
              </w:rPr>
              <w:t xml:space="preserve">, altele decât </w:t>
            </w:r>
            <w:proofErr w:type="spellStart"/>
            <w:r w:rsidRPr="0026420A">
              <w:rPr>
                <w:iCs/>
              </w:rPr>
              <w:t>tokenurile</w:t>
            </w:r>
            <w:proofErr w:type="spellEnd"/>
            <w:r w:rsidRPr="0026420A">
              <w:rPr>
                <w:iCs/>
              </w:rPr>
              <w:t xml:space="preserve"> raportate la active sau </w:t>
            </w:r>
            <w:proofErr w:type="spellStart"/>
            <w:r w:rsidRPr="0026420A">
              <w:rPr>
                <w:iCs/>
              </w:rPr>
              <w:t>tokenurile</w:t>
            </w:r>
            <w:proofErr w:type="spellEnd"/>
            <w:r w:rsidRPr="0026420A">
              <w:rPr>
                <w:iCs/>
              </w:rPr>
              <w:t xml:space="preserve"> de monedă electronică au fost inserate unele  elemente procedurale aferente in scopul  clarificării și predictibilității normei. În acest sens, proiectul a fost completat la art. 8 cu un nou alineat (7), prin care se instituie mecanismul de verificare a caracterului complet al cărții albe și al notificării aferente, termenul de verificare de 20 de zile lucrătoare, posibilitatea solicitării informațiilor sau documentelor lipsă, suspendarea de drept a termenului pe perioada completării, informarea persoanei notificatoare privind caracterul complet al notificării și consecințele neprezentării informațiilor solicitate în termen. Comunicarea caracterului complet al notificării nu constituie aprobare a cărții albe, nu confirmă exactitatea, corectitudinea sau caracterul neînșelător al informațiilor incluse în aceasta și nu exonerează persoanele responsabile de răspunderea prevăzută de lege.</w:t>
            </w:r>
          </w:p>
          <w:p w14:paraId="368AD0AB" w14:textId="12A74BD0" w:rsidR="00A06816" w:rsidRPr="0026420A" w:rsidRDefault="00A06816" w:rsidP="00A06816">
            <w:pPr>
              <w:ind w:firstLine="0"/>
              <w:rPr>
                <w:iCs/>
              </w:rPr>
            </w:pPr>
            <w:r w:rsidRPr="0026420A">
              <w:rPr>
                <w:iCs/>
              </w:rPr>
              <w:t xml:space="preserve">Totodată, pentru claritate juridică, art. 11 alin. (1) a fost ajustat astfel încât oferta publică sau admiterea la tranzacționare să poată începe numai după notificarea completă a cărții albe, comunicarea caracterului complet al notificării de către Comisia Națională și publicarea cărții albe conform art. 9. </w:t>
            </w:r>
          </w:p>
          <w:p w14:paraId="5F7F3F7C" w14:textId="0CDED642" w:rsidR="00A06816" w:rsidRPr="0026420A" w:rsidRDefault="00A06816" w:rsidP="00A06816">
            <w:pPr>
              <w:ind w:firstLine="0"/>
              <w:rPr>
                <w:i/>
              </w:rPr>
            </w:pPr>
            <w:r w:rsidRPr="0026420A">
              <w:rPr>
                <w:iCs/>
              </w:rPr>
              <w:t xml:space="preserve">De asemenea, având în vedere că proiectul reglementează la art. 12 procedura de modificare a cărților albe pentru </w:t>
            </w:r>
            <w:proofErr w:type="spellStart"/>
            <w:r w:rsidRPr="0026420A">
              <w:rPr>
                <w:iCs/>
              </w:rPr>
              <w:t>criptoactive</w:t>
            </w:r>
            <w:proofErr w:type="spellEnd"/>
            <w:r w:rsidRPr="0026420A">
              <w:rPr>
                <w:iCs/>
              </w:rPr>
              <w:t xml:space="preserve"> și instituie obligația notificării a cărților albe modificate înainte de publicare,  proiectul </w:t>
            </w:r>
            <w:r w:rsidR="00D65B36">
              <w:rPr>
                <w:iCs/>
              </w:rPr>
              <w:t>a fost</w:t>
            </w:r>
            <w:r w:rsidRPr="0026420A">
              <w:rPr>
                <w:iCs/>
              </w:rPr>
              <w:t xml:space="preserve"> completat cu o normă care să prevadă că notificarea cărții albe pentru </w:t>
            </w:r>
            <w:proofErr w:type="spellStart"/>
            <w:r w:rsidRPr="0026420A">
              <w:rPr>
                <w:iCs/>
              </w:rPr>
              <w:t>criptoactive</w:t>
            </w:r>
            <w:proofErr w:type="spellEnd"/>
            <w:r w:rsidRPr="0026420A">
              <w:rPr>
                <w:iCs/>
              </w:rPr>
              <w:t xml:space="preserve"> modificate este supusă aceleiași proceduri de verificare a caracterului complet al notificării aplicabile notificării inițiale, după cum urmează: „</w:t>
            </w:r>
            <w:r w:rsidRPr="0026420A">
              <w:rPr>
                <w:i/>
              </w:rPr>
              <w:t xml:space="preserve">Cartea albă pentru </w:t>
            </w:r>
            <w:proofErr w:type="spellStart"/>
            <w:r w:rsidRPr="0026420A">
              <w:rPr>
                <w:i/>
              </w:rPr>
              <w:t>criptoactive</w:t>
            </w:r>
            <w:proofErr w:type="spellEnd"/>
            <w:r w:rsidRPr="0026420A">
              <w:rPr>
                <w:i/>
              </w:rPr>
              <w:t xml:space="preserve"> modificată este supusă procedurii de verificare a caracterului complet al notificării prevăzute la art. 8 alin. (5).”</w:t>
            </w:r>
          </w:p>
        </w:tc>
      </w:tr>
      <w:tr w:rsidR="00A06816" w:rsidRPr="0026420A" w14:paraId="129FFC45" w14:textId="77777777" w:rsidTr="000A671F">
        <w:trPr>
          <w:trHeight w:val="615"/>
        </w:trPr>
        <w:tc>
          <w:tcPr>
            <w:tcW w:w="2206" w:type="dxa"/>
            <w:tcBorders>
              <w:top w:val="nil"/>
              <w:bottom w:val="nil"/>
            </w:tcBorders>
            <w:tcMar>
              <w:top w:w="0" w:type="dxa"/>
              <w:left w:w="108" w:type="dxa"/>
              <w:bottom w:w="0" w:type="dxa"/>
              <w:right w:w="108" w:type="dxa"/>
            </w:tcMar>
          </w:tcPr>
          <w:p w14:paraId="0CEFB20E"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628E883E"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6AB72C3E" w14:textId="77777777" w:rsidR="00A06816" w:rsidRPr="000E14F1" w:rsidRDefault="00A06816" w:rsidP="00A06816">
            <w:pPr>
              <w:ind w:firstLine="0"/>
              <w:rPr>
                <w:b/>
                <w:bCs/>
              </w:rPr>
            </w:pPr>
            <w:r w:rsidRPr="000E14F1">
              <w:rPr>
                <w:b/>
                <w:bCs/>
              </w:rPr>
              <w:t>Art.15</w:t>
            </w:r>
          </w:p>
          <w:p w14:paraId="35A30F93" w14:textId="77777777" w:rsidR="00A06816" w:rsidRPr="000E14F1" w:rsidRDefault="00A06816" w:rsidP="00A06816">
            <w:pPr>
              <w:ind w:firstLine="0"/>
              <w:rPr>
                <w:b/>
                <w:bCs/>
              </w:rPr>
            </w:pPr>
            <w:r w:rsidRPr="000E14F1">
              <w:rPr>
                <w:b/>
                <w:bCs/>
              </w:rPr>
              <w:t>Obiecții:</w:t>
            </w:r>
          </w:p>
          <w:p w14:paraId="6F961F76" w14:textId="54F149EA" w:rsidR="00A06816" w:rsidRPr="000E14F1" w:rsidRDefault="00A06816" w:rsidP="00A06816">
            <w:pPr>
              <w:ind w:firstLine="0"/>
            </w:pPr>
            <w:r w:rsidRPr="000E14F1">
              <w:t xml:space="preserve">Prevederile proiectului citate supra, instituie obligația de reparare a prejudiciului cauzat prin includerea în cartea albă a unor informații incomplete, inexacte sau înșelătoare, fără a preciza expres natura juridică a răspunderii respective. Deficiența prenotată, poate condiționa incertitudine la etapa implementării normei și delimitării regimul juridic aplicabil, inclusiv sub aspectul condițiilor angajării </w:t>
            </w:r>
            <w:r w:rsidRPr="000E14F1">
              <w:lastRenderedPageBreak/>
              <w:t>răspunderii, al sarcinii probei și al întinderii despăgubirilor. Astfel, apreciind prin prisma exigențelor de tehnică legislativă vizate de art.3, 54 al Legii nr.100/2017, se remarcă faptul că utilizarea cuvintelor</w:t>
            </w:r>
            <w:r w:rsidRPr="000E14F1">
              <w:rPr>
                <w:i/>
                <w:iCs/>
              </w:rPr>
              <w:t xml:space="preserve">” răspund”, ”răspunzătoare ”, ”sunt răspunzători” </w:t>
            </w:r>
            <w:r w:rsidRPr="000E14F1">
              <w:t>atribuie caracter ambiguu și necesită o corelare cu dispozițiile Codului civil referitoare la răspunderea civilă delictuală și la obligațiile precontractuale de informare.</w:t>
            </w:r>
          </w:p>
          <w:p w14:paraId="2C36678C" w14:textId="4A6574F9" w:rsidR="00A06816" w:rsidRPr="000E14F1" w:rsidRDefault="00A06816" w:rsidP="00A06816">
            <w:pPr>
              <w:ind w:firstLine="0"/>
            </w:pPr>
            <w:r w:rsidRPr="000E14F1">
              <w:t xml:space="preserve">Condescendent, cu referire la utilizarea expresiei </w:t>
            </w:r>
            <w:r w:rsidRPr="000E14F1">
              <w:rPr>
                <w:i/>
                <w:iCs/>
              </w:rPr>
              <w:t>”orice pierdere suferită”</w:t>
            </w:r>
            <w:r w:rsidRPr="000E14F1">
              <w:t xml:space="preserve">, se remarcă faptul că potrivit prevederilor, se evidențiază faptul că Codul Civil nu operează cu noțiunea generică de </w:t>
            </w:r>
            <w:r w:rsidRPr="000E14F1">
              <w:rPr>
                <w:i/>
                <w:iCs/>
              </w:rPr>
              <w:t xml:space="preserve">„pierdere”, </w:t>
            </w:r>
            <w:r w:rsidRPr="000E14F1">
              <w:t xml:space="preserve">ci cu cea de </w:t>
            </w:r>
            <w:r w:rsidRPr="000E14F1">
              <w:rPr>
                <w:i/>
                <w:iCs/>
              </w:rPr>
              <w:t xml:space="preserve">„prejudiciu”, </w:t>
            </w:r>
            <w:r w:rsidRPr="000E14F1">
              <w:t>care reprezintă obiectul obligației de reparare în cadrul răspunderii civile.</w:t>
            </w:r>
          </w:p>
          <w:p w14:paraId="07F53B2D" w14:textId="63339310" w:rsidR="00A06816" w:rsidRPr="000E14F1" w:rsidRDefault="00A06816" w:rsidP="00A06816">
            <w:pPr>
              <w:ind w:firstLine="0"/>
            </w:pPr>
            <w:r w:rsidRPr="000E14F1">
              <w:t>În acest sens, potrivit art.1998 alin. (1) Cod civil, „</w:t>
            </w:r>
            <w:r w:rsidRPr="000E14F1">
              <w:rPr>
                <w:i/>
                <w:iCs/>
              </w:rPr>
              <w:t>cel care acționează față de altul în mod ilicit, cu vinovăție este obligat să repare prejudiciul patrimonial, iar în cazurile prevăzute de lege, și prejudiciul moral cauzat prin acțiune sau omisiune</w:t>
            </w:r>
            <w:r w:rsidRPr="000E14F1">
              <w:t>”. Totodată, art. 2022 Cod civil stabilește principiul reparării integrale a prejudiciului, acesta cuprinzând atât prejudiciul efectiv suferit, cât și venitul ratat, în măsura în care acestea se află într-un raport de cauzalitate cu fapta ilicită.</w:t>
            </w:r>
          </w:p>
          <w:p w14:paraId="1824094F" w14:textId="03E5C8AD" w:rsidR="00A06816" w:rsidRPr="000E14F1" w:rsidRDefault="00A06816" w:rsidP="00A06816">
            <w:pPr>
              <w:ind w:firstLine="0"/>
            </w:pPr>
            <w:r w:rsidRPr="000E14F1">
              <w:t xml:space="preserve">Prin urmare, utilizarea expresiei </w:t>
            </w:r>
            <w:r w:rsidRPr="000E14F1">
              <w:rPr>
                <w:i/>
                <w:iCs/>
              </w:rPr>
              <w:t xml:space="preserve">„orice pierdere suferită” </w:t>
            </w:r>
            <w:r w:rsidRPr="000E14F1">
              <w:t xml:space="preserve">poate genera incertitudini la etapa aplicării normei sub aspectul delimitării clare și fără echivoc a limitei obligației de despăgubire, în special în contextul specific al pieței </w:t>
            </w:r>
            <w:proofErr w:type="spellStart"/>
            <w:r w:rsidRPr="000E14F1">
              <w:t>criptoactivelor</w:t>
            </w:r>
            <w:proofErr w:type="spellEnd"/>
            <w:r w:rsidRPr="000E14F1">
              <w:t xml:space="preserve">, caracterizată prin volatilitate ridicată și fluctuații semnificative ale valorii activelor (orice diminuare a valorii de piață a unui </w:t>
            </w:r>
            <w:proofErr w:type="spellStart"/>
            <w:r w:rsidRPr="000E14F1">
              <w:t>criptoactiv</w:t>
            </w:r>
            <w:proofErr w:type="spellEnd"/>
            <w:r w:rsidRPr="000E14F1">
              <w:t xml:space="preserve"> ulterior achiziției ar constitui automat un prejudiciu reparabil, chiar și în situațiile în care aceasta rezultă din evoluțiile normale ale pieței și nu din informațiile inexacte sau înșelătoare incluse în cartea albă).</w:t>
            </w:r>
          </w:p>
          <w:p w14:paraId="01CEEFF7" w14:textId="77777777" w:rsidR="00A06816" w:rsidRPr="000E14F1" w:rsidRDefault="00A06816" w:rsidP="00A06816">
            <w:pPr>
              <w:ind w:firstLine="0"/>
              <w:rPr>
                <w:b/>
                <w:bCs/>
              </w:rPr>
            </w:pPr>
            <w:r w:rsidRPr="000E14F1">
              <w:rPr>
                <w:b/>
                <w:bCs/>
              </w:rPr>
              <w:t>Recomandări:</w:t>
            </w:r>
          </w:p>
          <w:p w14:paraId="7AD897C4" w14:textId="57AAF8AD" w:rsidR="00A06816" w:rsidRPr="000E14F1" w:rsidRDefault="00A06816" w:rsidP="00A06816">
            <w:pPr>
              <w:ind w:firstLine="0"/>
              <w:rPr>
                <w:i/>
                <w:iCs/>
              </w:rPr>
            </w:pPr>
            <w:r w:rsidRPr="000E14F1">
              <w:t xml:space="preserve">Substituirea cuvintelor </w:t>
            </w:r>
            <w:r w:rsidRPr="000E14F1">
              <w:rPr>
                <w:i/>
                <w:iCs/>
              </w:rPr>
              <w:t xml:space="preserve">”răspund”, ”răspunzătoare”, ”sunt răspunzători” </w:t>
            </w:r>
            <w:r w:rsidRPr="000E14F1">
              <w:t xml:space="preserve">cu cuvintele </w:t>
            </w:r>
            <w:r w:rsidRPr="000E14F1">
              <w:rPr>
                <w:i/>
                <w:iCs/>
              </w:rPr>
              <w:t>”poartă răspundere”.</w:t>
            </w:r>
          </w:p>
          <w:p w14:paraId="463626B3" w14:textId="0FD6BEEC" w:rsidR="00A06816" w:rsidRPr="000E14F1" w:rsidRDefault="00A06816" w:rsidP="00A06816">
            <w:pPr>
              <w:ind w:firstLine="0"/>
            </w:pPr>
            <w:r w:rsidRPr="000E14F1">
              <w:t>Subsecvent se recomandă aprecierea utilității reflectării categorii de răspundere juridică vizată de către autor.</w:t>
            </w:r>
          </w:p>
          <w:p w14:paraId="110DA577" w14:textId="09572CE9" w:rsidR="00A06816" w:rsidRPr="000E14F1" w:rsidRDefault="00A06816" w:rsidP="00A06816">
            <w:pPr>
              <w:ind w:firstLine="0"/>
            </w:pPr>
            <w:r w:rsidRPr="000E14F1">
              <w:t xml:space="preserve">Substituirea sintagmei </w:t>
            </w:r>
            <w:r w:rsidRPr="000E14F1">
              <w:rPr>
                <w:i/>
                <w:iCs/>
              </w:rPr>
              <w:t xml:space="preserve">„orice pierdere suferită” </w:t>
            </w:r>
            <w:r w:rsidRPr="000E14F1">
              <w:t xml:space="preserve">cu noțiunea consacrată de </w:t>
            </w:r>
            <w:r w:rsidRPr="000E14F1">
              <w:rPr>
                <w:i/>
                <w:iCs/>
              </w:rPr>
              <w:t xml:space="preserve">„prejudiciu cauzat” </w:t>
            </w:r>
            <w:r w:rsidRPr="000E14F1">
              <w:t xml:space="preserve">sau </w:t>
            </w:r>
            <w:r w:rsidRPr="000E14F1">
              <w:rPr>
                <w:i/>
                <w:iCs/>
              </w:rPr>
              <w:t>„prejudiciu patrimonial cauzat ca urmare a încălcării obligațiilor prevăzute la art. 6”.</w:t>
            </w:r>
          </w:p>
        </w:tc>
        <w:tc>
          <w:tcPr>
            <w:tcW w:w="5281" w:type="dxa"/>
            <w:tcMar>
              <w:top w:w="0" w:type="dxa"/>
              <w:left w:w="108" w:type="dxa"/>
              <w:bottom w:w="0" w:type="dxa"/>
              <w:right w:w="108" w:type="dxa"/>
            </w:tcMar>
          </w:tcPr>
          <w:p w14:paraId="4A315856" w14:textId="77777777" w:rsidR="00A06816" w:rsidRPr="000E14F1" w:rsidRDefault="00A06816" w:rsidP="00A06816">
            <w:pPr>
              <w:ind w:firstLine="0"/>
              <w:rPr>
                <w:b/>
                <w:bCs/>
                <w:iCs/>
              </w:rPr>
            </w:pPr>
            <w:r w:rsidRPr="000E14F1">
              <w:rPr>
                <w:b/>
                <w:bCs/>
                <w:iCs/>
              </w:rPr>
              <w:lastRenderedPageBreak/>
              <w:t>Se acceptă parțial.</w:t>
            </w:r>
          </w:p>
          <w:p w14:paraId="06EF2B9D" w14:textId="016700AD" w:rsidR="00A06816" w:rsidRPr="000E14F1" w:rsidRDefault="00A06816" w:rsidP="00A06816">
            <w:pPr>
              <w:ind w:firstLine="0"/>
              <w:rPr>
                <w:iCs/>
              </w:rPr>
            </w:pPr>
            <w:r w:rsidRPr="000E14F1">
              <w:rPr>
                <w:iCs/>
              </w:rPr>
              <w:t>Pentru o mai mare claritate a textului art. 15,</w:t>
            </w:r>
            <w:r>
              <w:rPr>
                <w:iCs/>
              </w:rPr>
              <w:t xml:space="preserve"> </w:t>
            </w:r>
            <w:r w:rsidRPr="000E14F1">
              <w:rPr>
                <w:iCs/>
              </w:rPr>
              <w:t>în partea ce vizează clarificarea naturii juridice a răspunderii, textul este ajustat prin specificarea expresă a sintagmei „răspundere civilă”, astfel  cum deja se utilizează noțiunea de „răspundere civilă” la alin. (2) și alin. (6) al articolului, inclusiv se ajustează textul prin utilizarea expresă a sintagmelor „</w:t>
            </w:r>
            <w:r w:rsidRPr="000E14F1">
              <w:rPr>
                <w:i/>
              </w:rPr>
              <w:t>poartă răspundere civilă</w:t>
            </w:r>
            <w:r w:rsidRPr="000E14F1">
              <w:rPr>
                <w:iCs/>
              </w:rPr>
              <w:t>” și</w:t>
            </w:r>
            <w:r w:rsidRPr="000E14F1">
              <w:t xml:space="preserve"> ”</w:t>
            </w:r>
            <w:r w:rsidRPr="000E14F1">
              <w:rPr>
                <w:i/>
              </w:rPr>
              <w:t>prejudiciu cauzat</w:t>
            </w:r>
            <w:r w:rsidRPr="000E14F1">
              <w:rPr>
                <w:iCs/>
              </w:rPr>
              <w:t>”.</w:t>
            </w:r>
          </w:p>
          <w:p w14:paraId="6F4840F6" w14:textId="4E048B75" w:rsidR="00A06816" w:rsidRPr="000E14F1" w:rsidRDefault="00A06816" w:rsidP="00A06816">
            <w:pPr>
              <w:ind w:firstLine="0"/>
              <w:rPr>
                <w:iCs/>
              </w:rPr>
            </w:pPr>
            <w:r w:rsidRPr="000E14F1">
              <w:rPr>
                <w:iCs/>
              </w:rPr>
              <w:lastRenderedPageBreak/>
              <w:t>Nu se acceptă propunerea de limitare a răspunderii exclusiv la prejudiciul patrimonial, întrucât prejudiciul poate avea natură diferită, inclusiv patrimonială sau nepatrimonială. O asemenea restrângere ar putea exclude nejustificat anumite prejudicii susceptibile de reparare potrivit dreptului comun. Menținerea unei formulări care permite acoperirea tuturor categoriilor de prejudicii cauzate prin încălcarea obligațiilor prevăzute de lege este necesară și pentru asigurarea conformității cu cerințele Regulamentului (UE) 2023/1114.</w:t>
            </w:r>
          </w:p>
          <w:p w14:paraId="5730FC94" w14:textId="77777777" w:rsidR="00A06816" w:rsidRPr="000E14F1" w:rsidRDefault="00A06816" w:rsidP="00A06816">
            <w:pPr>
              <w:ind w:firstLine="0"/>
              <w:rPr>
                <w:iCs/>
              </w:rPr>
            </w:pPr>
            <w:r w:rsidRPr="000E14F1">
              <w:rPr>
                <w:iCs/>
              </w:rPr>
              <w:t xml:space="preserve">În același timp, textul proiectului stabilește în mod expres sarcina probei în sarcina deținătorului </w:t>
            </w:r>
            <w:proofErr w:type="spellStart"/>
            <w:r w:rsidRPr="000E14F1">
              <w:rPr>
                <w:iCs/>
              </w:rPr>
              <w:t>criptoactivului</w:t>
            </w:r>
            <w:proofErr w:type="spellEnd"/>
            <w:r w:rsidRPr="000E14F1">
              <w:rPr>
                <w:iCs/>
              </w:rPr>
              <w:t xml:space="preserve">, care trebuie să demonstreze încălcarea obligațiilor prevăzute la art. 6 și impactul informațiilor respective asupra deciziei sale de a achiziționa, vinde sau schimba </w:t>
            </w:r>
            <w:proofErr w:type="spellStart"/>
            <w:r w:rsidRPr="000E14F1">
              <w:rPr>
                <w:iCs/>
              </w:rPr>
              <w:t>criptoactivul</w:t>
            </w:r>
            <w:proofErr w:type="spellEnd"/>
            <w:r w:rsidRPr="000E14F1">
              <w:rPr>
                <w:iCs/>
              </w:rPr>
              <w:t>. Condițiile privind existența prejudiciului, legătura de cauzalitate și întinderea despăgubirilor rămân guvernate de normele generale ale dreptului civil, în măsura în care proiectul nu instituie reguli speciale.</w:t>
            </w:r>
          </w:p>
          <w:p w14:paraId="0D56A7EA" w14:textId="77777777" w:rsidR="00A06816" w:rsidRPr="000E14F1" w:rsidRDefault="00A06816" w:rsidP="00A06816">
            <w:pPr>
              <w:ind w:firstLine="0"/>
              <w:rPr>
                <w:iCs/>
              </w:rPr>
            </w:pPr>
          </w:p>
          <w:p w14:paraId="53919222" w14:textId="6AF3D29D" w:rsidR="00A06816" w:rsidRPr="000E14F1" w:rsidRDefault="00A06816" w:rsidP="00A06816">
            <w:pPr>
              <w:ind w:firstLine="0"/>
              <w:rPr>
                <w:iCs/>
              </w:rPr>
            </w:pPr>
          </w:p>
        </w:tc>
      </w:tr>
      <w:tr w:rsidR="00A06816" w:rsidRPr="0026420A" w14:paraId="4EFCAD5B" w14:textId="77777777" w:rsidTr="000A671F">
        <w:trPr>
          <w:trHeight w:val="615"/>
        </w:trPr>
        <w:tc>
          <w:tcPr>
            <w:tcW w:w="2206" w:type="dxa"/>
            <w:tcBorders>
              <w:top w:val="nil"/>
              <w:bottom w:val="nil"/>
            </w:tcBorders>
            <w:tcMar>
              <w:top w:w="0" w:type="dxa"/>
              <w:left w:w="108" w:type="dxa"/>
              <w:bottom w:w="0" w:type="dxa"/>
              <w:right w:w="108" w:type="dxa"/>
            </w:tcMar>
          </w:tcPr>
          <w:p w14:paraId="3B60AD46"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06E43944"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6110B065" w14:textId="1C4E1094" w:rsidR="00A06816" w:rsidRPr="000E14F1" w:rsidRDefault="00A06816" w:rsidP="00A06816">
            <w:pPr>
              <w:ind w:firstLine="0"/>
              <w:rPr>
                <w:b/>
                <w:bCs/>
              </w:rPr>
            </w:pPr>
            <w:r w:rsidRPr="000E14F1">
              <w:rPr>
                <w:b/>
                <w:bCs/>
              </w:rPr>
              <w:t>Art.22 alin.(2); Art.23 alin.(4); Art.36 alin.(10); Art.41 alin.(8); Art.48 alin.(12); Art.54 alin.(8), (15); Art.57 alin.(3); Art.58</w:t>
            </w:r>
          </w:p>
          <w:p w14:paraId="409F49BC" w14:textId="77777777" w:rsidR="00A06816" w:rsidRPr="000E14F1" w:rsidRDefault="00A06816" w:rsidP="00A06816">
            <w:pPr>
              <w:ind w:firstLine="0"/>
              <w:rPr>
                <w:b/>
                <w:bCs/>
              </w:rPr>
            </w:pPr>
            <w:r w:rsidRPr="000E14F1">
              <w:rPr>
                <w:b/>
                <w:bCs/>
              </w:rPr>
              <w:t>Obiecții:</w:t>
            </w:r>
          </w:p>
          <w:p w14:paraId="4EB9D6A3" w14:textId="0610AABF" w:rsidR="00A06816" w:rsidRPr="000E14F1" w:rsidRDefault="00A06816" w:rsidP="00A06816">
            <w:pPr>
              <w:ind w:firstLine="0"/>
            </w:pPr>
            <w:r w:rsidRPr="000E14F1">
              <w:t xml:space="preserve">Determinarea competenței după formulă „este în drept", „poate" este o modalitate coruptibilă de determinare a competențelor doar când </w:t>
            </w:r>
            <w:r w:rsidRPr="000E14F1">
              <w:lastRenderedPageBreak/>
              <w:t xml:space="preserve">formulează obligațiile/îndatoririle entităților </w:t>
            </w:r>
            <w:proofErr w:type="spellStart"/>
            <w:r w:rsidRPr="000E14F1">
              <w:t>şi</w:t>
            </w:r>
            <w:proofErr w:type="spellEnd"/>
            <w:r w:rsidRPr="000E14F1">
              <w:t xml:space="preserve"> agenților publici. Coruptibilitatea acestui element rezidă în discreția agenților publici care apare în cazul utilizării unor asemenea determinări permisive ale competențelor lor, care urmau a fi stabilite de o manieră imperativă.</w:t>
            </w:r>
          </w:p>
          <w:p w14:paraId="74B803D3" w14:textId="170FA9D1" w:rsidR="00A06816" w:rsidRPr="000E14F1" w:rsidRDefault="00A06816" w:rsidP="00A06816">
            <w:pPr>
              <w:ind w:firstLine="0"/>
              <w:rPr>
                <w:i/>
                <w:iCs/>
              </w:rPr>
            </w:pPr>
            <w:r w:rsidRPr="000E14F1">
              <w:t>Această discreție poate fi folosită în mod abuziv de către agentul public pentru a nu-</w:t>
            </w:r>
            <w:proofErr w:type="spellStart"/>
            <w:r w:rsidRPr="000E14F1">
              <w:t>şi</w:t>
            </w:r>
            <w:proofErr w:type="spellEnd"/>
            <w:r w:rsidRPr="000E14F1">
              <w:t xml:space="preserve"> executa obligațiile sale legale tocmai în virtutea caracterului permisiv al formulării competențelor sale. Riscul de coruptibilitate a acestor norme crește în cazul în care lipsesc criterii pentru a stabili în ce cazuri agentul public </w:t>
            </w:r>
            <w:r w:rsidRPr="000E14F1">
              <w:rPr>
                <w:i/>
                <w:iCs/>
              </w:rPr>
              <w:t xml:space="preserve">„este în drept" sau „poate" </w:t>
            </w:r>
            <w:proofErr w:type="spellStart"/>
            <w:r w:rsidRPr="000E14F1">
              <w:t>şi</w:t>
            </w:r>
            <w:proofErr w:type="spellEnd"/>
            <w:r w:rsidRPr="000E14F1">
              <w:t xml:space="preserve"> în ce cazuri este în drept </w:t>
            </w:r>
            <w:proofErr w:type="spellStart"/>
            <w:r w:rsidRPr="000E14F1">
              <w:t>şi</w:t>
            </w:r>
            <w:proofErr w:type="spellEnd"/>
            <w:r w:rsidRPr="000E14F1">
              <w:t xml:space="preserve"> poate să nu-</w:t>
            </w:r>
            <w:proofErr w:type="spellStart"/>
            <w:r w:rsidRPr="000E14F1">
              <w:t>şi</w:t>
            </w:r>
            <w:proofErr w:type="spellEnd"/>
            <w:r w:rsidRPr="000E14F1">
              <w:t xml:space="preserve"> realizeze competențele sau sunt utilizate expresii ambigui pentru delimitarea circumstanțelor prenotate </w:t>
            </w:r>
            <w:r w:rsidRPr="000E14F1">
              <w:rPr>
                <w:i/>
                <w:iCs/>
              </w:rPr>
              <w:t>”Dacă este necesar,”/”dacă este cazul.”.</w:t>
            </w:r>
          </w:p>
          <w:p w14:paraId="29D78442" w14:textId="77777777" w:rsidR="00A06816" w:rsidRPr="000E14F1" w:rsidRDefault="00A06816" w:rsidP="00A06816">
            <w:pPr>
              <w:ind w:firstLine="0"/>
              <w:rPr>
                <w:b/>
                <w:bCs/>
              </w:rPr>
            </w:pPr>
            <w:r w:rsidRPr="000E14F1">
              <w:rPr>
                <w:b/>
                <w:bCs/>
              </w:rPr>
              <w:t>Recomandări:</w:t>
            </w:r>
          </w:p>
          <w:p w14:paraId="75E7CBAD" w14:textId="32B64106" w:rsidR="00A06816" w:rsidRPr="000E14F1" w:rsidRDefault="00A06816" w:rsidP="00A06816">
            <w:pPr>
              <w:ind w:firstLine="0"/>
            </w:pPr>
            <w:r w:rsidRPr="000E14F1">
              <w:t xml:space="preserve">Reconsiderarea utilizării formulelor permisive de reglementare a activității agenților publici și expresiilor </w:t>
            </w:r>
            <w:r w:rsidRPr="000E14F1">
              <w:rPr>
                <w:i/>
                <w:iCs/>
              </w:rPr>
              <w:t>”Dacă este necesar,”/”dacă este cazul.” (cu concretizarea circumstanțelor vizate de către autor)</w:t>
            </w:r>
            <w:r w:rsidRPr="000E14F1">
              <w:t>.</w:t>
            </w:r>
          </w:p>
          <w:p w14:paraId="67F762AC" w14:textId="77777777" w:rsidR="00A06816" w:rsidRPr="000E14F1" w:rsidRDefault="00A06816" w:rsidP="00A06816">
            <w:pPr>
              <w:ind w:firstLine="0"/>
            </w:pPr>
          </w:p>
          <w:p w14:paraId="7C758937" w14:textId="13FA1D9F" w:rsidR="00A06816" w:rsidRPr="000E14F1" w:rsidRDefault="00A06816" w:rsidP="00A06816">
            <w:pPr>
              <w:ind w:firstLine="0"/>
            </w:pPr>
          </w:p>
        </w:tc>
        <w:tc>
          <w:tcPr>
            <w:tcW w:w="5281" w:type="dxa"/>
            <w:tcMar>
              <w:top w:w="0" w:type="dxa"/>
              <w:left w:w="108" w:type="dxa"/>
              <w:bottom w:w="0" w:type="dxa"/>
              <w:right w:w="108" w:type="dxa"/>
            </w:tcMar>
          </w:tcPr>
          <w:p w14:paraId="6D314F44" w14:textId="77777777" w:rsidR="00A06816" w:rsidRPr="000E14F1" w:rsidRDefault="00A06816" w:rsidP="00A06816">
            <w:pPr>
              <w:ind w:firstLine="0"/>
              <w:rPr>
                <w:b/>
                <w:bCs/>
                <w:iCs/>
              </w:rPr>
            </w:pPr>
            <w:r w:rsidRPr="000E14F1">
              <w:rPr>
                <w:b/>
                <w:bCs/>
                <w:iCs/>
              </w:rPr>
              <w:lastRenderedPageBreak/>
              <w:t>Se acceptă parțial.</w:t>
            </w:r>
          </w:p>
          <w:p w14:paraId="604394BD" w14:textId="166B31E3" w:rsidR="00A06816" w:rsidRPr="000E14F1" w:rsidRDefault="00A06816" w:rsidP="00A06816">
            <w:pPr>
              <w:ind w:firstLine="0"/>
              <w:rPr>
                <w:iCs/>
              </w:rPr>
            </w:pPr>
            <w:r w:rsidRPr="000E14F1">
              <w:rPr>
                <w:iCs/>
              </w:rPr>
              <w:t>Utilizarea formulelor „</w:t>
            </w:r>
            <w:r w:rsidRPr="000E14F1">
              <w:rPr>
                <w:i/>
              </w:rPr>
              <w:t>poate”, „este în drept”, „dacă este necesar” sau „dacă este cazul”</w:t>
            </w:r>
            <w:r w:rsidRPr="000E14F1">
              <w:rPr>
                <w:iCs/>
              </w:rPr>
              <w:t xml:space="preserve"> nu constituie, prin ea însăși, un factor de coruptibilitate, mai ales atunci când acestea transpun fidel textul </w:t>
            </w:r>
            <w:proofErr w:type="spellStart"/>
            <w:r w:rsidRPr="000E14F1">
              <w:rPr>
                <w:iCs/>
              </w:rPr>
              <w:t>MiCA</w:t>
            </w:r>
            <w:proofErr w:type="spellEnd"/>
            <w:r w:rsidRPr="000E14F1">
              <w:rPr>
                <w:iCs/>
              </w:rPr>
              <w:t xml:space="preserve"> și vizează competențe de supraveghere bazate </w:t>
            </w:r>
            <w:r w:rsidRPr="000E14F1">
              <w:rPr>
                <w:iCs/>
              </w:rPr>
              <w:lastRenderedPageBreak/>
              <w:t>pe risc. Codul administrativ recunoaște expres dreptul discreționar al autorității publice, cu condiția exercitării acestuia cu bună-credință, în limitele stabilite de lege, în scopul pentru care a fost atribuit și fără tratament arbitrar sau discriminatoriu. În domeniul supravegherii financiare, anumite competențe trebuie să fie formulate ca atribuții discreționare, deoarece aplicarea lor depinde de gravitatea încălcării, profilul de risc, circumstanțele concrete ale cazului, impactul asupra clienților și necesitatea respectării principiului proporționalității.</w:t>
            </w:r>
          </w:p>
          <w:p w14:paraId="1BADF958" w14:textId="6236A971" w:rsidR="00A06816" w:rsidRPr="000E14F1" w:rsidRDefault="00A06816" w:rsidP="00A06816">
            <w:pPr>
              <w:ind w:firstLine="0"/>
              <w:rPr>
                <w:iCs/>
              </w:rPr>
            </w:pPr>
            <w:r w:rsidRPr="000E14F1">
              <w:rPr>
                <w:iCs/>
              </w:rPr>
              <w:t xml:space="preserve">Totuși, pentru evitarea interpretărilor divergente, textul proiectului </w:t>
            </w:r>
            <w:r w:rsidR="00D65B36">
              <w:rPr>
                <w:iCs/>
              </w:rPr>
              <w:t>a fost</w:t>
            </w:r>
            <w:r w:rsidRPr="000E14F1">
              <w:rPr>
                <w:iCs/>
              </w:rPr>
              <w:t xml:space="preserve"> revizuit punctual, astfel încât formulele permisive să fie menținute doar în cazul competențelor care presupun o apreciere profesională a autorității competente, iar acolo unde norma instituie o obligație clară de acțiune, formularea să fie redată în termeni imperativi. Prin urmare, nu se justifică eliminarea generală a acestor formule, ci doar verificarea punctuală a fiecărei prevederi în raport cu natura competenței reglementate.</w:t>
            </w:r>
          </w:p>
          <w:p w14:paraId="1D3804BD" w14:textId="5E82D99C" w:rsidR="00A06816" w:rsidRPr="000E14F1" w:rsidRDefault="00A06816" w:rsidP="00A06816">
            <w:pPr>
              <w:ind w:firstLine="0"/>
              <w:rPr>
                <w:iCs/>
              </w:rPr>
            </w:pPr>
            <w:r w:rsidRPr="000E14F1">
              <w:rPr>
                <w:iCs/>
              </w:rPr>
              <w:t>Ca urmare a verificării punctuale a fiecărei prevederi în raport cu natura competenței reglementate, rezultă următoarele:</w:t>
            </w:r>
          </w:p>
          <w:p w14:paraId="48255C7C" w14:textId="47385786" w:rsidR="00A06816" w:rsidRPr="000E14F1" w:rsidRDefault="00A06816" w:rsidP="00A06816">
            <w:pPr>
              <w:ind w:firstLine="0"/>
            </w:pPr>
            <w:r w:rsidRPr="000E14F1">
              <w:t xml:space="preserve">Art.22 alin.(2) - nu se ajustează, se menține competența discreționară; </w:t>
            </w:r>
          </w:p>
          <w:p w14:paraId="3815D7BB" w14:textId="2820467E" w:rsidR="00A06816" w:rsidRPr="000E14F1" w:rsidRDefault="00A06816" w:rsidP="00A06816">
            <w:pPr>
              <w:ind w:firstLine="0"/>
            </w:pPr>
            <w:r w:rsidRPr="000E14F1">
              <w:t xml:space="preserve">Art.23 alin.(4) - se operează ajustările corespunzătoare; </w:t>
            </w:r>
          </w:p>
          <w:p w14:paraId="3C16C281" w14:textId="638F8F46" w:rsidR="00A06816" w:rsidRPr="000E14F1" w:rsidRDefault="00A06816" w:rsidP="00A06816">
            <w:pPr>
              <w:ind w:firstLine="0"/>
            </w:pPr>
            <w:r w:rsidRPr="000E14F1">
              <w:t xml:space="preserve">Art.36 alin.(10) – parțial se operează ajustări, se menține competența discreționară; </w:t>
            </w:r>
          </w:p>
          <w:p w14:paraId="3CC74A50" w14:textId="6A3BA3B1" w:rsidR="00A06816" w:rsidRPr="000E14F1" w:rsidRDefault="00A06816" w:rsidP="00A06816">
            <w:pPr>
              <w:ind w:firstLine="0"/>
            </w:pPr>
            <w:r w:rsidRPr="000E14F1">
              <w:t xml:space="preserve">Art.41 alin.(8) - parțial se operează ajustări, se menține competența discreționară; </w:t>
            </w:r>
          </w:p>
          <w:p w14:paraId="6E90E051" w14:textId="34217225" w:rsidR="00A06816" w:rsidRPr="000E14F1" w:rsidRDefault="00A06816" w:rsidP="00A06816">
            <w:pPr>
              <w:ind w:firstLine="0"/>
            </w:pPr>
            <w:r w:rsidRPr="000E14F1">
              <w:t xml:space="preserve">Art.48 alin.(12) - se operează ajustările corespunzătoare; </w:t>
            </w:r>
          </w:p>
          <w:p w14:paraId="45C6ECFE" w14:textId="38B89FC5" w:rsidR="00A06816" w:rsidRPr="000E14F1" w:rsidRDefault="00A06816" w:rsidP="00A06816">
            <w:pPr>
              <w:ind w:firstLine="0"/>
            </w:pPr>
            <w:r w:rsidRPr="000E14F1">
              <w:t xml:space="preserve">Art.54 alin.(8) - se operează ajustările corespunzătoare; </w:t>
            </w:r>
          </w:p>
          <w:p w14:paraId="6E67641A" w14:textId="3157DA27" w:rsidR="00A06816" w:rsidRPr="000E14F1" w:rsidRDefault="00A06816" w:rsidP="00A06816">
            <w:pPr>
              <w:ind w:firstLine="0"/>
            </w:pPr>
            <w:r w:rsidRPr="000E14F1">
              <w:t xml:space="preserve">Art.54 alin.(15) - nu se ajustează, se menține competența discreționară; </w:t>
            </w:r>
          </w:p>
          <w:p w14:paraId="13E9E8C6" w14:textId="4877A73E" w:rsidR="00A06816" w:rsidRPr="000E14F1" w:rsidRDefault="00A06816" w:rsidP="00A06816">
            <w:pPr>
              <w:ind w:firstLine="0"/>
            </w:pPr>
            <w:r w:rsidRPr="000E14F1">
              <w:t xml:space="preserve">Art.57 alin.(3) - se operează ajustările corespunzătoare; </w:t>
            </w:r>
          </w:p>
          <w:p w14:paraId="441E06EE" w14:textId="76DC9625" w:rsidR="00A06816" w:rsidRPr="000E14F1" w:rsidRDefault="00A06816" w:rsidP="00A06816">
            <w:pPr>
              <w:ind w:firstLine="0"/>
            </w:pPr>
            <w:r w:rsidRPr="000E14F1">
              <w:t>Art.58 - nu se ajustează, se menține competența discreționară;</w:t>
            </w:r>
          </w:p>
        </w:tc>
      </w:tr>
      <w:tr w:rsidR="00A06816" w:rsidRPr="0026420A" w14:paraId="12C924B7" w14:textId="77777777" w:rsidTr="000A671F">
        <w:trPr>
          <w:trHeight w:val="615"/>
        </w:trPr>
        <w:tc>
          <w:tcPr>
            <w:tcW w:w="2206" w:type="dxa"/>
            <w:tcBorders>
              <w:top w:val="nil"/>
              <w:bottom w:val="nil"/>
            </w:tcBorders>
            <w:tcMar>
              <w:top w:w="0" w:type="dxa"/>
              <w:left w:w="108" w:type="dxa"/>
              <w:bottom w:w="0" w:type="dxa"/>
              <w:right w:w="108" w:type="dxa"/>
            </w:tcMar>
          </w:tcPr>
          <w:p w14:paraId="23365277"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76067791"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0F0EF41D" w14:textId="77777777" w:rsidR="00A06816" w:rsidRPr="000E14F1" w:rsidRDefault="00A06816" w:rsidP="00A06816">
            <w:pPr>
              <w:ind w:firstLine="0"/>
              <w:rPr>
                <w:b/>
                <w:bCs/>
              </w:rPr>
            </w:pPr>
            <w:r w:rsidRPr="000E14F1">
              <w:rPr>
                <w:b/>
                <w:bCs/>
              </w:rPr>
              <w:t>Art.53 alin.(1); Art.55</w:t>
            </w:r>
          </w:p>
          <w:p w14:paraId="2CC2A213" w14:textId="77777777" w:rsidR="00A06816" w:rsidRPr="000E14F1" w:rsidRDefault="00A06816" w:rsidP="00A06816">
            <w:pPr>
              <w:ind w:firstLine="0"/>
              <w:rPr>
                <w:b/>
                <w:bCs/>
              </w:rPr>
            </w:pPr>
            <w:r w:rsidRPr="000E14F1">
              <w:rPr>
                <w:b/>
                <w:bCs/>
              </w:rPr>
              <w:t>Obiecții:</w:t>
            </w:r>
          </w:p>
          <w:p w14:paraId="6B04C006" w14:textId="0DEA5506" w:rsidR="00A06816" w:rsidRPr="000E14F1" w:rsidRDefault="00A06816" w:rsidP="00A06816">
            <w:pPr>
              <w:ind w:firstLine="0"/>
            </w:pPr>
            <w:r w:rsidRPr="000E14F1">
              <w:t xml:space="preserve">I. Analiza art. 53 alin. (1) lit. a), coroborat cu art. 55 alin. (1) și (2), relevă că, proiectul instituie un model de autorizare bazat pe prezența efectivă a furnizorului de servicii privind </w:t>
            </w:r>
            <w:proofErr w:type="spellStart"/>
            <w:r w:rsidRPr="000E14F1">
              <w:t>criptoactivele</w:t>
            </w:r>
            <w:proofErr w:type="spellEnd"/>
            <w:r w:rsidRPr="000E14F1">
              <w:t xml:space="preserve"> pe teritoriul Republicii</w:t>
            </w:r>
            <w:r w:rsidR="00080634">
              <w:t xml:space="preserve"> </w:t>
            </w:r>
            <w:r w:rsidRPr="000E14F1">
              <w:t xml:space="preserve">Moldova. Astfel, autorizarea este condiționată de existența unui sediu înregistrat în Republica Moldova, a conducerii efective la </w:t>
            </w:r>
            <w:r w:rsidRPr="000E14F1">
              <w:lastRenderedPageBreak/>
              <w:t>această adresă și a cel puțin unui administrator sau director cu domiciliul sau reședința</w:t>
            </w:r>
            <w:r w:rsidR="00080634">
              <w:t xml:space="preserve"> </w:t>
            </w:r>
            <w:r w:rsidRPr="000E14F1">
              <w:t>pe teritoriul Republicii Moldova.</w:t>
            </w:r>
          </w:p>
          <w:p w14:paraId="1CE09905" w14:textId="1CB20D39" w:rsidR="00A06816" w:rsidRPr="000E14F1" w:rsidRDefault="00A06816" w:rsidP="00A06816">
            <w:pPr>
              <w:ind w:firstLine="0"/>
            </w:pPr>
            <w:r w:rsidRPr="000E14F1">
              <w:t>Totodată, art. 55 alin. (2) extinde aplicarea acestor cerințe și asupra furnizorilor care se adresează în mod activ clienților din Republica Moldova, inclusiv prin activități de promovare sau publicitate. Din perspectiva supravegherii prudențiale, existența unei prezențe locale poate fi justificată prin necesitatea exercitării efective a competențelor autorității de supraveghere.</w:t>
            </w:r>
          </w:p>
          <w:p w14:paraId="3DAE203C" w14:textId="206BB996" w:rsidR="00A06816" w:rsidRPr="000E14F1" w:rsidRDefault="00A06816" w:rsidP="00A06816">
            <w:pPr>
              <w:ind w:firstLine="0"/>
            </w:pPr>
            <w:r w:rsidRPr="000E14F1">
              <w:t>Totuși, Nota de fundamentare nu conține o analiză privind impactul acestei opțiuni legislative asupra accesului pe piață al furnizorilor internaționali deja autorizați în jurisdicții cu standarde echivalente și nici nu examinează eventuale soluții alternative care ar putea asigura concomitent supravegherea eficientă și menținerea unui nivel adecvat al concurenței.</w:t>
            </w:r>
          </w:p>
          <w:p w14:paraId="1C3FAA80" w14:textId="06FD352D" w:rsidR="00A06816" w:rsidRPr="000E14F1" w:rsidRDefault="00A06816" w:rsidP="00A06816">
            <w:pPr>
              <w:ind w:firstLine="0"/>
            </w:pPr>
            <w:r w:rsidRPr="000E14F1">
              <w:t xml:space="preserve">În prezent, piața globală a serviciilor privind activele virtuale este dominată de un număr redus de operatori internaționali ( </w:t>
            </w:r>
            <w:proofErr w:type="spellStart"/>
            <w:r w:rsidRPr="000E14F1">
              <w:t>Binance</w:t>
            </w:r>
            <w:proofErr w:type="spellEnd"/>
            <w:r w:rsidRPr="000E14F1">
              <w:t xml:space="preserve">, </w:t>
            </w:r>
            <w:proofErr w:type="spellStart"/>
            <w:r w:rsidRPr="000E14F1">
              <w:t>Coinbase</w:t>
            </w:r>
            <w:proofErr w:type="spellEnd"/>
            <w:r w:rsidRPr="000E14F1">
              <w:t xml:space="preserve">, </w:t>
            </w:r>
            <w:proofErr w:type="spellStart"/>
            <w:r w:rsidRPr="000E14F1">
              <w:t>Kraken</w:t>
            </w:r>
            <w:proofErr w:type="spellEnd"/>
            <w:r w:rsidRPr="000E14F1">
              <w:t xml:space="preserve">, OKX, </w:t>
            </w:r>
            <w:proofErr w:type="spellStart"/>
            <w:r w:rsidRPr="000E14F1">
              <w:t>Bybit</w:t>
            </w:r>
            <w:proofErr w:type="spellEnd"/>
            <w:r w:rsidRPr="000E14F1">
              <w:t xml:space="preserve">, </w:t>
            </w:r>
            <w:proofErr w:type="spellStart"/>
            <w:r w:rsidRPr="000E14F1">
              <w:t>Bitstamp</w:t>
            </w:r>
            <w:proofErr w:type="spellEnd"/>
            <w:r w:rsidRPr="000E14F1">
              <w:t xml:space="preserve">, </w:t>
            </w:r>
            <w:proofErr w:type="spellStart"/>
            <w:r w:rsidRPr="000E14F1">
              <w:t>Bitget</w:t>
            </w:r>
            <w:proofErr w:type="spellEnd"/>
            <w:r w:rsidRPr="000E14F1">
              <w:t xml:space="preserve">, Crypto.com sau </w:t>
            </w:r>
            <w:proofErr w:type="spellStart"/>
            <w:r w:rsidRPr="000E14F1">
              <w:t>KuCoin</w:t>
            </w:r>
            <w:proofErr w:type="spellEnd"/>
            <w:r w:rsidRPr="000E14F1">
              <w:t xml:space="preserve">), care concentrează o pondere semnificativă din lichiditatea și volumul tranzacțiilor la nivel mondial. O mare parte dintre utilizatorii din Republica Moldova desfășoară deja relații comerciale prin intermediul acestor platforme, acestea oferind servicii de custodie, schimb, conversie, executare de ordine și alte servicii specifice pieței </w:t>
            </w:r>
            <w:proofErr w:type="spellStart"/>
            <w:r w:rsidRPr="000E14F1">
              <w:t>criptoactivelor</w:t>
            </w:r>
            <w:proofErr w:type="spellEnd"/>
            <w:r w:rsidRPr="000E14F1">
              <w:t>.</w:t>
            </w:r>
          </w:p>
          <w:p w14:paraId="39B650F0" w14:textId="49F27158" w:rsidR="00A06816" w:rsidRPr="000E14F1" w:rsidRDefault="00A06816" w:rsidP="00A06816">
            <w:pPr>
              <w:ind w:firstLine="0"/>
            </w:pPr>
            <w:r w:rsidRPr="000E14F1">
              <w:t>În lipsa unui mecanism care să permită accesul controlat pe piața Republicii Moldova al furnizorilor deja autorizați în state cu regimuri de supraveghere comparabile, există posibilitatea ca o parte dintre acești</w:t>
            </w:r>
          </w:p>
          <w:p w14:paraId="79508B8E" w14:textId="7E980996" w:rsidR="00A06816" w:rsidRPr="000E14F1" w:rsidRDefault="00A06816" w:rsidP="00A06816">
            <w:pPr>
              <w:ind w:firstLine="0"/>
            </w:pPr>
            <w:r w:rsidRPr="000E14F1">
              <w:t xml:space="preserve">operatori să opteze pentru neextinderea serviciilor către piața națională, având în vedere necesitatea constituirii unei entități locale distincte și obținerii unei autorizări separate. Deși această opțiune ține exclusiv de strategia comercială a fiecărui operator și nu poate fi anticipată cu certitudine, ea reprezintă un risc care merită evaluat în procesul de fundamentare a proiectului. În același timp, limitarea accesului pe piață al operatorilor consacrați poate conduce, cel puțin într-o primă etapă, la dezvoltarea unei piețe locale caracterizate printr-un număr redus de furnizori autorizați. O piață cu un nivel redus al concurenței poate influența diversitatea serviciilor disponibile, nivelul lichidității, costurile suportate de utilizatori și gradul de inovare al serviciilor oferite. Din această perspectivă, cadrul normativ ar trebui să urmărească nu doar asigurarea supravegherii eficiente, ci și crearea </w:t>
            </w:r>
            <w:r w:rsidRPr="000E14F1">
              <w:lastRenderedPageBreak/>
              <w:t>unor condiții concurențiale echitabile, transparente și nediscriminatorii pentru toți participanții la piață.</w:t>
            </w:r>
          </w:p>
          <w:p w14:paraId="762D5CFC" w14:textId="6A0A74B1" w:rsidR="00A06816" w:rsidRPr="000E14F1" w:rsidRDefault="00A06816" w:rsidP="00A06816">
            <w:pPr>
              <w:ind w:firstLine="0"/>
            </w:pPr>
            <w:r w:rsidRPr="000E14F1">
              <w:t>Totodată, principiile concurenței loiale, egalității de tratament și neutralității reglementării impun ca accesul pe piață să fie fundamentat pe criterii obiective, proporționale și justificabile, evitând crearea unor bariere de acces care depășesc ceea ce este necesar pentru atingerea obiectivului legitim de supraveghere. În acest context, este important ca soluția legislativă aleasă să fie însoțită de o analiză privind efectele sale asupra mediului concurențial și asupra accesului operatorilor consacrați la piața Republicii Moldova.</w:t>
            </w:r>
          </w:p>
          <w:p w14:paraId="69A48963" w14:textId="2576D22B" w:rsidR="00A06816" w:rsidRPr="000E14F1" w:rsidRDefault="00A06816" w:rsidP="00A06816">
            <w:pPr>
              <w:ind w:firstLine="0"/>
            </w:pPr>
            <w:r w:rsidRPr="000E14F1">
              <w:t xml:space="preserve">II. Subsecvent, analiza proiectului relevă că, acesta reglementează exclusiv piața spot a </w:t>
            </w:r>
            <w:proofErr w:type="spellStart"/>
            <w:r w:rsidRPr="000E14F1">
              <w:t>criptoactivelor</w:t>
            </w:r>
            <w:proofErr w:type="spellEnd"/>
            <w:r w:rsidRPr="000E14F1">
              <w:t xml:space="preserve">, respectiv emiterea, schimbul, custodia și prestarea serviciilor privind </w:t>
            </w:r>
            <w:proofErr w:type="spellStart"/>
            <w:r w:rsidRPr="000E14F1">
              <w:t>criptoactivele</w:t>
            </w:r>
            <w:proofErr w:type="spellEnd"/>
            <w:r w:rsidRPr="000E14F1">
              <w:t xml:space="preserve">, fără a conține dispoziții referitoare la instrumentele financiare derivate având ca activ suport </w:t>
            </w:r>
            <w:proofErr w:type="spellStart"/>
            <w:r w:rsidRPr="000E14F1">
              <w:t>criptoactivele</w:t>
            </w:r>
            <w:proofErr w:type="spellEnd"/>
            <w:r w:rsidRPr="000E14F1">
              <w:t xml:space="preserve">, precum contractele </w:t>
            </w:r>
            <w:proofErr w:type="spellStart"/>
            <w:r w:rsidRPr="000E14F1">
              <w:t>futures</w:t>
            </w:r>
            <w:proofErr w:type="spellEnd"/>
            <w:r w:rsidRPr="000E14F1">
              <w:t>, opțiunile (</w:t>
            </w:r>
            <w:proofErr w:type="spellStart"/>
            <w:r w:rsidRPr="000E14F1">
              <w:t>options</w:t>
            </w:r>
            <w:proofErr w:type="spellEnd"/>
            <w:r w:rsidRPr="000E14F1">
              <w:t>), contractele perpetue (</w:t>
            </w:r>
            <w:proofErr w:type="spellStart"/>
            <w:r w:rsidRPr="000E14F1">
              <w:t>perpetual</w:t>
            </w:r>
            <w:proofErr w:type="spellEnd"/>
            <w:r w:rsidRPr="000E14F1">
              <w:t xml:space="preserve"> </w:t>
            </w:r>
            <w:proofErr w:type="spellStart"/>
            <w:r w:rsidRPr="000E14F1">
              <w:t>futures</w:t>
            </w:r>
            <w:proofErr w:type="spellEnd"/>
            <w:r w:rsidRPr="000E14F1">
              <w:t>), produsele cu efect de levier (</w:t>
            </w:r>
            <w:proofErr w:type="spellStart"/>
            <w:r w:rsidRPr="000E14F1">
              <w:t>leveraged</w:t>
            </w:r>
            <w:proofErr w:type="spellEnd"/>
            <w:r w:rsidRPr="000E14F1">
              <w:t xml:space="preserve"> </w:t>
            </w:r>
            <w:proofErr w:type="spellStart"/>
            <w:r w:rsidRPr="000E14F1">
              <w:t>trading</w:t>
            </w:r>
            <w:proofErr w:type="spellEnd"/>
            <w:r w:rsidRPr="000E14F1">
              <w:t>) sau alte instrumente financiare similare.</w:t>
            </w:r>
          </w:p>
          <w:p w14:paraId="18C875BE" w14:textId="4EF385BB" w:rsidR="00A06816" w:rsidRPr="000E14F1" w:rsidRDefault="00A06816" w:rsidP="00A06816">
            <w:pPr>
              <w:ind w:firstLine="0"/>
            </w:pPr>
            <w:r w:rsidRPr="000E14F1">
              <w:t>Deși aceste produse nu fac obiectul Regulamentului (UE) 2023/1114 (</w:t>
            </w:r>
            <w:proofErr w:type="spellStart"/>
            <w:r w:rsidRPr="000E14F1">
              <w:t>MiCA</w:t>
            </w:r>
            <w:proofErr w:type="spellEnd"/>
            <w:r w:rsidRPr="000E14F1">
              <w:t>), ele reprezintă, în prezent, o componentă importantă a pieței globale a activelor digitale și sunt utilizate pe scară largă pentru investiții, acoperirea riscurilor (</w:t>
            </w:r>
            <w:proofErr w:type="spellStart"/>
            <w:r w:rsidRPr="000E14F1">
              <w:t>hedging</w:t>
            </w:r>
            <w:proofErr w:type="spellEnd"/>
            <w:r w:rsidRPr="000E14F1">
              <w:t>), gestionarea lichidității și administrarea portofoliilor. În practică, o parte semnificativă a volumului tranzacțiilor realizate pe piețele internaționale ale activelor digitale este reprezentată de astfel de instrumente financiare. În aceste condiții, lipsa unei delimitări exprese a regimului juridic aplicabil acestor produse poate genera incertitudine juridică atât pentru participanții la piață, cât și pentru autoritățile competente.</w:t>
            </w:r>
          </w:p>
          <w:p w14:paraId="051ACDF8" w14:textId="4DC535A4" w:rsidR="00A06816" w:rsidRPr="000E14F1" w:rsidRDefault="00A06816" w:rsidP="00A06816">
            <w:pPr>
              <w:ind w:firstLine="0"/>
            </w:pPr>
            <w:r w:rsidRPr="000E14F1">
              <w:t xml:space="preserve">Din conținutul proiectului nu rezultă dacă instrumentele financiare derivate având ca activ suport </w:t>
            </w:r>
            <w:proofErr w:type="spellStart"/>
            <w:r w:rsidRPr="000E14F1">
              <w:t>criptoactivele</w:t>
            </w:r>
            <w:proofErr w:type="spellEnd"/>
            <w:r w:rsidRPr="000E14F1">
              <w:t xml:space="preserve"> urmează să fie reglementate în temeiul legislației privind piața de capital, dacă fac obiectul competenței Comisiei Naționale a Pieței Financiare în baza altor acte normative sau dacă urmează să fie reglementate printr-o intervenție legislativă distinctă. Această omisiune poate conduce la interpretări neuniforme privind regimul juridic aplicabil unor produse care, deși sunt strâns legate de piața activelor digitale, nu sunt reglementate expres prin prezentul proiect. Totodată, utilizarea în proiect a noțiunilor de „investitor calificat” și „client profesionist” creează necesitatea unei delimitări clare între serviciile privind </w:t>
            </w:r>
            <w:proofErr w:type="spellStart"/>
            <w:r w:rsidRPr="000E14F1">
              <w:t>criptoactivele</w:t>
            </w:r>
            <w:proofErr w:type="spellEnd"/>
            <w:r w:rsidRPr="000E14F1">
              <w:t xml:space="preserve"> reglementate de prezentul proiect și serviciile de investiții care implică instrumente financiare derivate având ca activ suport </w:t>
            </w:r>
            <w:proofErr w:type="spellStart"/>
            <w:r w:rsidRPr="000E14F1">
              <w:t>criptoactivele</w:t>
            </w:r>
            <w:proofErr w:type="spellEnd"/>
            <w:r w:rsidRPr="000E14F1">
              <w:t>.</w:t>
            </w:r>
          </w:p>
          <w:p w14:paraId="220A49DC" w14:textId="77777777" w:rsidR="00A06816" w:rsidRPr="000E14F1" w:rsidRDefault="00A06816" w:rsidP="00A06816">
            <w:pPr>
              <w:ind w:firstLine="0"/>
            </w:pPr>
          </w:p>
          <w:p w14:paraId="26FE65F8" w14:textId="77777777" w:rsidR="00A06816" w:rsidRPr="000E14F1" w:rsidRDefault="00A06816" w:rsidP="00A06816">
            <w:pPr>
              <w:ind w:firstLine="0"/>
              <w:rPr>
                <w:b/>
                <w:bCs/>
              </w:rPr>
            </w:pPr>
            <w:r w:rsidRPr="000E14F1">
              <w:rPr>
                <w:b/>
                <w:bCs/>
              </w:rPr>
              <w:t>Recomandări:</w:t>
            </w:r>
          </w:p>
          <w:p w14:paraId="143B0971" w14:textId="33406247" w:rsidR="00A06816" w:rsidRPr="000E14F1" w:rsidRDefault="00A06816" w:rsidP="00A06816">
            <w:pPr>
              <w:ind w:firstLine="0"/>
            </w:pPr>
            <w:r w:rsidRPr="000E14F1">
              <w:t>Se apreciază oportună completarea Notei de fundamentare cu o analiză privind impactul condițiilor de autorizare asupra concurenței și atractivității pieței naționale, precum și examinarea oportunității instituirii unui mecanism de recunoaștere sau echivalență pentru furnizorii deja autorizați în jurisdicții care aplică standarde de reglementare și supraveghere comparabile. O asemenea soluție ar putea facilita accesul controlat al operatorilor consacrați pe piața Republicii Moldova, fără a diminua competențele de supraveghere ale autorităților naționale și fără a afecta obiectivele de protecție a consumatorilor și de</w:t>
            </w:r>
          </w:p>
          <w:p w14:paraId="37E5FEFB" w14:textId="77777777" w:rsidR="00A06816" w:rsidRPr="000E14F1" w:rsidRDefault="00A06816" w:rsidP="00A06816">
            <w:pPr>
              <w:ind w:firstLine="0"/>
            </w:pPr>
            <w:r w:rsidRPr="000E14F1">
              <w:t>integritate a pieței.</w:t>
            </w:r>
          </w:p>
          <w:p w14:paraId="2A1678A6" w14:textId="509E907E" w:rsidR="00A06816" w:rsidRPr="000E14F1" w:rsidRDefault="00A06816" w:rsidP="00A06816">
            <w:pPr>
              <w:ind w:firstLine="0"/>
            </w:pPr>
            <w:r w:rsidRPr="000E14F1">
              <w:t>În vederea asigurării unui cadru normativ complet, coerent și previzibil, se consideră oportună completarea proiectului cu dispoziții care să delimiteze expres domeniul de aplicare al legii în raport cu instrumentele</w:t>
            </w:r>
          </w:p>
          <w:p w14:paraId="7125FBCB" w14:textId="766216AE" w:rsidR="00A06816" w:rsidRPr="000E14F1" w:rsidRDefault="00A06816" w:rsidP="00A06816">
            <w:pPr>
              <w:ind w:firstLine="0"/>
            </w:pPr>
            <w:r w:rsidRPr="000E14F1">
              <w:t xml:space="preserve">financiare derivate având ca activ suport </w:t>
            </w:r>
            <w:proofErr w:type="spellStart"/>
            <w:r w:rsidRPr="000E14F1">
              <w:t>criptoactivele</w:t>
            </w:r>
            <w:proofErr w:type="spellEnd"/>
            <w:r w:rsidRPr="000E14F1">
              <w:t>, precum și indicarea cadrului normativ și a autorității competente responsabile de reglementarea și supravegherea acestor produse. O asemenea clarificare ar contribui la eliminarea incertitudinilor de interpretare, la aplicarea uniformă a legislației și la dezvoltarea coerentă a pieței activelor digitale în Republica Moldova.</w:t>
            </w:r>
          </w:p>
        </w:tc>
        <w:tc>
          <w:tcPr>
            <w:tcW w:w="5281" w:type="dxa"/>
            <w:tcMar>
              <w:top w:w="0" w:type="dxa"/>
              <w:left w:w="108" w:type="dxa"/>
              <w:bottom w:w="0" w:type="dxa"/>
              <w:right w:w="108" w:type="dxa"/>
            </w:tcMar>
          </w:tcPr>
          <w:p w14:paraId="74A39B5C" w14:textId="1EA0DF10" w:rsidR="00A06816" w:rsidRPr="000E14F1" w:rsidRDefault="00A06816" w:rsidP="00A06816">
            <w:pPr>
              <w:ind w:firstLine="0"/>
              <w:rPr>
                <w:b/>
                <w:bCs/>
                <w:iCs/>
              </w:rPr>
            </w:pPr>
            <w:r w:rsidRPr="000E14F1">
              <w:rPr>
                <w:b/>
                <w:bCs/>
                <w:iCs/>
              </w:rPr>
              <w:lastRenderedPageBreak/>
              <w:t>Nu se acceptă</w:t>
            </w:r>
          </w:p>
          <w:p w14:paraId="61473D04" w14:textId="68C70827" w:rsidR="00A06816" w:rsidRPr="000E14F1" w:rsidRDefault="00A06816" w:rsidP="00A06816">
            <w:pPr>
              <w:ind w:firstLine="0"/>
              <w:rPr>
                <w:iCs/>
              </w:rPr>
            </w:pPr>
            <w:r w:rsidRPr="000E14F1">
              <w:rPr>
                <w:iCs/>
              </w:rPr>
              <w:t xml:space="preserve">Cerința privind prezența locală a furnizorului de servicii de </w:t>
            </w:r>
            <w:proofErr w:type="spellStart"/>
            <w:r w:rsidRPr="000E14F1">
              <w:rPr>
                <w:iCs/>
              </w:rPr>
              <w:t>criptoactive</w:t>
            </w:r>
            <w:proofErr w:type="spellEnd"/>
            <w:r w:rsidRPr="000E14F1">
              <w:rPr>
                <w:iCs/>
              </w:rPr>
              <w:t xml:space="preserve"> este justificată la etapa actuală de statutul Republicii Moldova de stat terț în raport cu Uniunea Europeană, precum și de lipsa mecanismelor de </w:t>
            </w:r>
            <w:proofErr w:type="spellStart"/>
            <w:r w:rsidRPr="000E14F1">
              <w:rPr>
                <w:iCs/>
              </w:rPr>
              <w:t>pașaportare</w:t>
            </w:r>
            <w:proofErr w:type="spellEnd"/>
            <w:r w:rsidRPr="000E14F1">
              <w:rPr>
                <w:iCs/>
              </w:rPr>
              <w:t xml:space="preserve">, recunoaștere mutuală și cooperare europeană deplină aplicabile statelor membre în cadrul </w:t>
            </w:r>
            <w:proofErr w:type="spellStart"/>
            <w:r w:rsidRPr="000E14F1">
              <w:rPr>
                <w:iCs/>
              </w:rPr>
              <w:t>MiCA</w:t>
            </w:r>
            <w:proofErr w:type="spellEnd"/>
            <w:r w:rsidRPr="000E14F1">
              <w:rPr>
                <w:iCs/>
              </w:rPr>
              <w:t xml:space="preserve">. Mecanismele </w:t>
            </w:r>
            <w:proofErr w:type="spellStart"/>
            <w:r w:rsidRPr="000E14F1">
              <w:rPr>
                <w:iCs/>
              </w:rPr>
              <w:t>MiCA</w:t>
            </w:r>
            <w:proofErr w:type="spellEnd"/>
            <w:r w:rsidRPr="000E14F1">
              <w:rPr>
                <w:iCs/>
              </w:rPr>
              <w:t xml:space="preserve"> privind </w:t>
            </w:r>
            <w:proofErr w:type="spellStart"/>
            <w:r w:rsidRPr="000E14F1">
              <w:rPr>
                <w:iCs/>
              </w:rPr>
              <w:t>pașaportizarea</w:t>
            </w:r>
            <w:proofErr w:type="spellEnd"/>
            <w:r w:rsidRPr="000E14F1">
              <w:rPr>
                <w:iCs/>
              </w:rPr>
              <w:t xml:space="preserve">, notificarea transfrontalieră, cooperarea dintre </w:t>
            </w:r>
            <w:r w:rsidRPr="000E14F1">
              <w:rPr>
                <w:iCs/>
              </w:rPr>
              <w:lastRenderedPageBreak/>
              <w:t>autoritățile competente ale statelor membre, înregistrarea în registrele ESMA/EBA și recunoașterea efectelor autorizațiilor funcționează în cadrul pieței interne a Uniunii Europene și nu pot produce efecte juridice automate în Republica Moldova înainte de dobândirea calității de stat membru.</w:t>
            </w:r>
          </w:p>
          <w:p w14:paraId="68253C5E" w14:textId="10E45CD1" w:rsidR="00A06816" w:rsidRPr="000E14F1" w:rsidRDefault="00A06816" w:rsidP="00A06816">
            <w:pPr>
              <w:ind w:firstLine="0"/>
              <w:rPr>
                <w:iCs/>
              </w:rPr>
            </w:pPr>
            <w:r w:rsidRPr="000E14F1">
              <w:rPr>
                <w:iCs/>
              </w:rPr>
              <w:t xml:space="preserve">Crearea unui mecanism național de recunoaștere sau echivalare a autorizațiilor emise în alte jurisdicții ar presupune dezvoltarea unui cadru complex, care să includă evaluarea regimurilor străine, cooperarea dintre autoritățile de supraveghere, schimbul de informații, aplicarea măsurilor de intervenție, protecția consumatorilor, precum și mecanisme de sancționare și soluționare a litigiilor transfrontaliere. O asemenea abordare depășește obiectivele prezentului proiect de lege, care urmărește implementarea graduală a standardelor </w:t>
            </w:r>
            <w:proofErr w:type="spellStart"/>
            <w:r w:rsidRPr="000E14F1">
              <w:rPr>
                <w:iCs/>
              </w:rPr>
              <w:t>MiCA</w:t>
            </w:r>
            <w:proofErr w:type="spellEnd"/>
            <w:r w:rsidRPr="000E14F1">
              <w:rPr>
                <w:iCs/>
              </w:rPr>
              <w:t xml:space="preserve"> și instituirea unui cadru de reglementare adaptat nivelului actual de dezvoltare a pieței și capacității de supraveghere existente. Din aceste considerente, menținerea obligației de autorizare locală este necesară pentru a asigura aplicarea eficientă a legislației, exercitarea atribuțiilor de supraveghere și protejarea intereselor clienților din R. Moldova.</w:t>
            </w:r>
          </w:p>
          <w:p w14:paraId="22A80A42" w14:textId="239E58D9" w:rsidR="00A06816" w:rsidRPr="000E14F1" w:rsidRDefault="00A06816" w:rsidP="00A06816">
            <w:pPr>
              <w:ind w:firstLine="0"/>
              <w:rPr>
                <w:iCs/>
              </w:rPr>
            </w:pPr>
            <w:r w:rsidRPr="000E14F1">
              <w:rPr>
                <w:iCs/>
              </w:rPr>
              <w:t>Totodată, proiectul nu exclude în mod absolut interacțiunea transfrontalieră, însă aceasta este permisă numai în limitele prevăzute la art. 55, respectiv în cazul furnizării serviciilor la inițiativa exclusivă a clientului, fără solicitare activă, promovare sau publicitate adresată pieței din R. Moldova. Furnizorii care intenționează să se adreseze în mod activ pieței locale trebuie să respecte regimul național de autorizare. Această abordare contribuie la prevenirea arbitrajului de reglementare și asigură condiții echitabile pentru toți participanții care desfășoară activitate pe piața națională.</w:t>
            </w:r>
          </w:p>
          <w:p w14:paraId="524A8B08" w14:textId="38422BF8" w:rsidR="00A06816" w:rsidRPr="000E14F1" w:rsidRDefault="00A06816" w:rsidP="00A06816">
            <w:pPr>
              <w:ind w:firstLine="0"/>
              <w:rPr>
                <w:iCs/>
              </w:rPr>
            </w:pPr>
            <w:r w:rsidRPr="000E14F1">
              <w:rPr>
                <w:iCs/>
              </w:rPr>
              <w:t xml:space="preserve">În ceea ce privește instrumentele financiare derivate care au la bază </w:t>
            </w:r>
            <w:proofErr w:type="spellStart"/>
            <w:r w:rsidRPr="000E14F1">
              <w:rPr>
                <w:iCs/>
              </w:rPr>
              <w:t>criptoactive</w:t>
            </w:r>
            <w:proofErr w:type="spellEnd"/>
            <w:r w:rsidRPr="000E14F1">
              <w:rPr>
                <w:iCs/>
              </w:rPr>
              <w:t xml:space="preserve">, observația pornește de la o premisă care necesită o clarificare: proiectul de lege nu reglementează doar tranzacționarea spot, ci instituie un cadru pentru emiterea, oferta publică, admiterea la tranzacționare, custodia, schimbul, executarea ordinelor, consultanța, administrarea portofoliului, transferul de </w:t>
            </w:r>
            <w:proofErr w:type="spellStart"/>
            <w:r w:rsidRPr="000E14F1">
              <w:rPr>
                <w:iCs/>
              </w:rPr>
              <w:t>criptoactive</w:t>
            </w:r>
            <w:proofErr w:type="spellEnd"/>
            <w:r w:rsidRPr="000E14F1">
              <w:rPr>
                <w:iCs/>
              </w:rPr>
              <w:t xml:space="preserve"> și integritatea pieței </w:t>
            </w:r>
            <w:proofErr w:type="spellStart"/>
            <w:r w:rsidRPr="000E14F1">
              <w:rPr>
                <w:iCs/>
              </w:rPr>
              <w:t>criptoactivelor</w:t>
            </w:r>
            <w:proofErr w:type="spellEnd"/>
            <w:r w:rsidRPr="000E14F1">
              <w:rPr>
                <w:iCs/>
              </w:rPr>
              <w:t xml:space="preserve">, urmând arhitectura </w:t>
            </w:r>
            <w:proofErr w:type="spellStart"/>
            <w:r w:rsidRPr="000E14F1">
              <w:rPr>
                <w:iCs/>
              </w:rPr>
              <w:t>MiCA</w:t>
            </w:r>
            <w:proofErr w:type="spellEnd"/>
            <w:r w:rsidRPr="000E14F1">
              <w:rPr>
                <w:iCs/>
              </w:rPr>
              <w:t xml:space="preserve">. Totodată, Regulamentul </w:t>
            </w:r>
            <w:proofErr w:type="spellStart"/>
            <w:r w:rsidRPr="000E14F1">
              <w:rPr>
                <w:iCs/>
              </w:rPr>
              <w:t>MiCA</w:t>
            </w:r>
            <w:proofErr w:type="spellEnd"/>
            <w:r w:rsidRPr="000E14F1">
              <w:rPr>
                <w:iCs/>
              </w:rPr>
              <w:t xml:space="preserve"> nu reglementează instrumentele financiare derivate bazate pe </w:t>
            </w:r>
            <w:proofErr w:type="spellStart"/>
            <w:r w:rsidRPr="000E14F1">
              <w:rPr>
                <w:iCs/>
              </w:rPr>
              <w:t>criptoactive</w:t>
            </w:r>
            <w:proofErr w:type="spellEnd"/>
            <w:r w:rsidRPr="000E14F1">
              <w:rPr>
                <w:iCs/>
              </w:rPr>
              <w:t xml:space="preserve">, cum ar fi contractele </w:t>
            </w:r>
            <w:proofErr w:type="spellStart"/>
            <w:r w:rsidRPr="000E14F1">
              <w:rPr>
                <w:iCs/>
              </w:rPr>
              <w:t>futures</w:t>
            </w:r>
            <w:proofErr w:type="spellEnd"/>
            <w:r w:rsidRPr="000E14F1">
              <w:rPr>
                <w:iCs/>
              </w:rPr>
              <w:t xml:space="preserve">, opțiunile, contractele perpetue, contractele pentru diferență sau alte produse cu efect </w:t>
            </w:r>
            <w:r w:rsidRPr="000E14F1">
              <w:rPr>
                <w:iCs/>
              </w:rPr>
              <w:lastRenderedPageBreak/>
              <w:t>de levier. Aceste instrumente sunt analizate prin prisma reglementărilor aplicabile pieței de capital și instrumentelor financiare, în măsura în care întrunesc caracteristicile unui instrument financiar derivat.</w:t>
            </w:r>
          </w:p>
          <w:p w14:paraId="6C889DF2" w14:textId="515F8220" w:rsidR="00A06816" w:rsidRPr="000E14F1" w:rsidRDefault="00A06816" w:rsidP="00A06816">
            <w:pPr>
              <w:ind w:firstLine="0"/>
              <w:rPr>
                <w:iCs/>
              </w:rPr>
            </w:pPr>
            <w:r w:rsidRPr="000E14F1">
              <w:rPr>
                <w:iCs/>
              </w:rPr>
              <w:t xml:space="preserve">Proiectul urmează logica </w:t>
            </w:r>
            <w:proofErr w:type="spellStart"/>
            <w:r w:rsidRPr="000E14F1">
              <w:rPr>
                <w:iCs/>
              </w:rPr>
              <w:t>MiCA</w:t>
            </w:r>
            <w:proofErr w:type="spellEnd"/>
            <w:r w:rsidRPr="000E14F1">
              <w:rPr>
                <w:iCs/>
              </w:rPr>
              <w:t xml:space="preserve"> și exclude din domeniul său de aplicare </w:t>
            </w:r>
            <w:proofErr w:type="spellStart"/>
            <w:r w:rsidRPr="000E14F1">
              <w:rPr>
                <w:iCs/>
              </w:rPr>
              <w:t>criptoactivele</w:t>
            </w:r>
            <w:proofErr w:type="spellEnd"/>
            <w:r w:rsidRPr="000E14F1">
              <w:rPr>
                <w:iCs/>
              </w:rPr>
              <w:t xml:space="preserve"> care se califică drept instrumente financiare, evitând astfel suprapunerea dintre regimul pieței </w:t>
            </w:r>
            <w:proofErr w:type="spellStart"/>
            <w:r w:rsidRPr="000E14F1">
              <w:rPr>
                <w:iCs/>
              </w:rPr>
              <w:t>criptoactivelor</w:t>
            </w:r>
            <w:proofErr w:type="spellEnd"/>
            <w:r w:rsidRPr="000E14F1">
              <w:rPr>
                <w:iCs/>
              </w:rPr>
              <w:t xml:space="preserve"> și regimul pieței de capital. Prin urmare, nu se consideră oportună completarea proiectului cu prevederi referitoare la derivatele pe </w:t>
            </w:r>
            <w:proofErr w:type="spellStart"/>
            <w:r w:rsidRPr="000E14F1">
              <w:rPr>
                <w:iCs/>
              </w:rPr>
              <w:t>criptoactive</w:t>
            </w:r>
            <w:proofErr w:type="spellEnd"/>
            <w:r w:rsidRPr="000E14F1">
              <w:rPr>
                <w:iCs/>
              </w:rPr>
              <w:t>, acestea urmând să fie reglementate, după caz, prin cadrul normativ privind piața de capital sau printr-o intervenție legislativă distinctă privind instrumentele financiare.</w:t>
            </w:r>
          </w:p>
          <w:p w14:paraId="01CE0E90" w14:textId="77777777" w:rsidR="00A06816" w:rsidRPr="000E14F1" w:rsidRDefault="00A06816" w:rsidP="00A06816">
            <w:pPr>
              <w:ind w:firstLine="0"/>
              <w:rPr>
                <w:iCs/>
              </w:rPr>
            </w:pPr>
          </w:p>
          <w:p w14:paraId="115E439D" w14:textId="77777777" w:rsidR="00A06816" w:rsidRPr="000E14F1" w:rsidRDefault="00A06816" w:rsidP="00A06816">
            <w:pPr>
              <w:ind w:firstLine="0"/>
              <w:rPr>
                <w:iCs/>
              </w:rPr>
            </w:pPr>
            <w:r w:rsidRPr="000E14F1">
              <w:rPr>
                <w:iCs/>
              </w:rPr>
              <w:t xml:space="preserve">Suplimentar, preluarea plafoanelor sancționatorii prevăzute de </w:t>
            </w:r>
            <w:proofErr w:type="spellStart"/>
            <w:r w:rsidRPr="000E14F1">
              <w:rPr>
                <w:iCs/>
              </w:rPr>
              <w:t>MiCA</w:t>
            </w:r>
            <w:proofErr w:type="spellEnd"/>
            <w:r w:rsidRPr="000E14F1">
              <w:rPr>
                <w:iCs/>
              </w:rPr>
              <w:t xml:space="preserve"> este justificată de obiectivul de aliniere la acquis-</w:t>
            </w:r>
            <w:proofErr w:type="spellStart"/>
            <w:r w:rsidRPr="000E14F1">
              <w:rPr>
                <w:iCs/>
              </w:rPr>
              <w:t>ul</w:t>
            </w:r>
            <w:proofErr w:type="spellEnd"/>
            <w:r w:rsidRPr="000E14F1">
              <w:rPr>
                <w:iCs/>
              </w:rPr>
              <w:t xml:space="preserve"> UE și de necesitatea instituirii unui regim sancționator efectiv, proporțional și disuasiv, aplicabil unei piețe cu risc ridicat, caracterizată prin dimensiune transfrontalieră, volatilitate, risc de pierdere pentru clienți și posibilitate de arbitraj de reglementare. Plafoanele prevăzute în proiect reprezintă limite maxime, nu sancțiuni fixe sau automate, iar aplicarea concretă a sancțiunilor se va realiza individualizat, în funcție de gravitatea și durata încălcării, forma de vinovăție, prejudiciul cauzat, beneficiul obținut, cooperarea cu autoritatea, măsurile de remediere, recidiva, impactul asupra clienților și capacitatea financiară a entității.</w:t>
            </w:r>
          </w:p>
          <w:p w14:paraId="68549122" w14:textId="77777777" w:rsidR="00A06816" w:rsidRPr="000E14F1" w:rsidRDefault="00A06816" w:rsidP="00A06816">
            <w:pPr>
              <w:ind w:firstLine="0"/>
              <w:rPr>
                <w:iCs/>
              </w:rPr>
            </w:pPr>
            <w:r w:rsidRPr="000E14F1">
              <w:rPr>
                <w:iCs/>
              </w:rPr>
              <w:t>Prin urmare, proporționalitatea nu se evaluează doar prin raportare la cuantumul maxim prevăzut de lege, ci prin mecanismul de individualizare aplicabil fiecărui caz concret. În acest sens, proiectul permite autorităților competente să aplice măsuri și sancțiuni gradual, proporțional cu dimensiunea entității, profilul de risc, natura activității și consecințele încălcării, evitând aplicarea unor sarcini excesive asupra operatorilor mici sau aflați la început de activitate.</w:t>
            </w:r>
          </w:p>
          <w:p w14:paraId="0F50C0E9" w14:textId="0A3F5EAF" w:rsidR="00A06816" w:rsidRPr="000E14F1" w:rsidRDefault="00A06816" w:rsidP="00A06816">
            <w:pPr>
              <w:ind w:firstLine="0"/>
              <w:rPr>
                <w:iCs/>
              </w:rPr>
            </w:pPr>
            <w:r w:rsidRPr="000E14F1">
              <w:rPr>
                <w:iCs/>
              </w:rPr>
              <w:t xml:space="preserve">În acest context, soluțiile normative propuse urmăresc asigurarea unei implementări etapizate și adaptate realităților instituționale și juridice naționale și nu au ca scop favorizarea unor operatori economici sau restrângerea nejustificată a concurenței. Prin urmare, deși observațiile formulate pot constitui considerente utile în procesul de analiză și dezvoltare </w:t>
            </w:r>
            <w:r w:rsidRPr="000E14F1">
              <w:rPr>
                <w:iCs/>
              </w:rPr>
              <w:lastRenderedPageBreak/>
              <w:t xml:space="preserve">a politicilor de reglementare, acestea nu relevă riscuri de corupție sau lacună de </w:t>
            </w:r>
            <w:proofErr w:type="spellStart"/>
            <w:r w:rsidRPr="000E14F1">
              <w:rPr>
                <w:iCs/>
              </w:rPr>
              <w:t>dreptcare</w:t>
            </w:r>
            <w:proofErr w:type="spellEnd"/>
            <w:r w:rsidRPr="000E14F1">
              <w:rPr>
                <w:iCs/>
              </w:rPr>
              <w:t xml:space="preserve"> să justifice modificarea soluției propuse.</w:t>
            </w:r>
          </w:p>
          <w:p w14:paraId="0BBAAF61" w14:textId="77777777" w:rsidR="00A06816" w:rsidRPr="000E14F1" w:rsidRDefault="00A06816" w:rsidP="00A06816">
            <w:pPr>
              <w:ind w:firstLine="0"/>
              <w:rPr>
                <w:iCs/>
              </w:rPr>
            </w:pPr>
          </w:p>
          <w:p w14:paraId="172EC301" w14:textId="77777777" w:rsidR="00A06816" w:rsidRPr="000E14F1" w:rsidRDefault="00A06816" w:rsidP="00A06816">
            <w:pPr>
              <w:ind w:firstLine="0"/>
              <w:rPr>
                <w:iCs/>
              </w:rPr>
            </w:pPr>
          </w:p>
          <w:p w14:paraId="0CA80632" w14:textId="77777777" w:rsidR="00A06816" w:rsidRPr="000E14F1" w:rsidRDefault="00A06816" w:rsidP="00A06816">
            <w:pPr>
              <w:ind w:firstLine="0"/>
              <w:rPr>
                <w:iCs/>
              </w:rPr>
            </w:pPr>
          </w:p>
          <w:p w14:paraId="68DC5413" w14:textId="77777777" w:rsidR="00A06816" w:rsidRPr="000E14F1" w:rsidRDefault="00A06816" w:rsidP="00A06816">
            <w:pPr>
              <w:ind w:firstLine="0"/>
              <w:rPr>
                <w:iCs/>
              </w:rPr>
            </w:pPr>
          </w:p>
          <w:p w14:paraId="709E196F" w14:textId="77777777" w:rsidR="00A06816" w:rsidRPr="000E14F1" w:rsidRDefault="00A06816" w:rsidP="00A06816">
            <w:pPr>
              <w:ind w:firstLine="0"/>
              <w:rPr>
                <w:iCs/>
              </w:rPr>
            </w:pPr>
          </w:p>
          <w:p w14:paraId="2293B551" w14:textId="77777777" w:rsidR="00A06816" w:rsidRPr="000E14F1" w:rsidRDefault="00A06816" w:rsidP="00A06816">
            <w:pPr>
              <w:ind w:firstLine="0"/>
              <w:rPr>
                <w:iCs/>
              </w:rPr>
            </w:pPr>
          </w:p>
          <w:p w14:paraId="607C4B9F" w14:textId="77777777" w:rsidR="00A06816" w:rsidRPr="000E14F1" w:rsidRDefault="00A06816" w:rsidP="00A06816">
            <w:pPr>
              <w:ind w:firstLine="0"/>
              <w:rPr>
                <w:iCs/>
              </w:rPr>
            </w:pPr>
          </w:p>
          <w:p w14:paraId="67FA297D" w14:textId="77777777" w:rsidR="00A06816" w:rsidRPr="000E14F1" w:rsidRDefault="00A06816" w:rsidP="00A06816">
            <w:pPr>
              <w:ind w:firstLine="0"/>
              <w:rPr>
                <w:iCs/>
              </w:rPr>
            </w:pPr>
          </w:p>
          <w:p w14:paraId="438C0CC9" w14:textId="1FFBEF6B" w:rsidR="00A06816" w:rsidRPr="000E14F1" w:rsidRDefault="00A06816" w:rsidP="00A06816">
            <w:pPr>
              <w:ind w:firstLine="0"/>
              <w:rPr>
                <w:iCs/>
              </w:rPr>
            </w:pPr>
            <w:r w:rsidRPr="000E14F1">
              <w:rPr>
                <w:iCs/>
              </w:rPr>
              <w:t>.</w:t>
            </w:r>
          </w:p>
          <w:p w14:paraId="5939A058" w14:textId="77777777" w:rsidR="00A06816" w:rsidRPr="000E14F1" w:rsidRDefault="00A06816" w:rsidP="00A06816">
            <w:pPr>
              <w:ind w:firstLine="0"/>
              <w:rPr>
                <w:iCs/>
              </w:rPr>
            </w:pPr>
          </w:p>
        </w:tc>
      </w:tr>
      <w:tr w:rsidR="00A06816" w:rsidRPr="0026420A" w14:paraId="02ED566D" w14:textId="77777777" w:rsidTr="000A671F">
        <w:trPr>
          <w:trHeight w:val="615"/>
        </w:trPr>
        <w:tc>
          <w:tcPr>
            <w:tcW w:w="2206" w:type="dxa"/>
            <w:tcBorders>
              <w:top w:val="nil"/>
              <w:bottom w:val="nil"/>
            </w:tcBorders>
            <w:tcMar>
              <w:top w:w="0" w:type="dxa"/>
              <w:left w:w="108" w:type="dxa"/>
              <w:bottom w:w="0" w:type="dxa"/>
              <w:right w:w="108" w:type="dxa"/>
            </w:tcMar>
          </w:tcPr>
          <w:p w14:paraId="3AD3E801"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6E7842F4"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5BDFCA62" w14:textId="77777777" w:rsidR="00A06816" w:rsidRPr="000E14F1" w:rsidRDefault="00A06816" w:rsidP="00A06816">
            <w:pPr>
              <w:ind w:firstLine="0"/>
              <w:rPr>
                <w:b/>
                <w:bCs/>
              </w:rPr>
            </w:pPr>
            <w:r w:rsidRPr="000E14F1">
              <w:rPr>
                <w:b/>
                <w:bCs/>
              </w:rPr>
              <w:t>Art.54 alin.(1)</w:t>
            </w:r>
          </w:p>
          <w:p w14:paraId="39D89329" w14:textId="77777777" w:rsidR="00A06816" w:rsidRPr="000E14F1" w:rsidRDefault="00A06816" w:rsidP="00A06816">
            <w:pPr>
              <w:ind w:firstLine="0"/>
              <w:rPr>
                <w:b/>
                <w:bCs/>
              </w:rPr>
            </w:pPr>
            <w:r w:rsidRPr="000E14F1">
              <w:rPr>
                <w:b/>
                <w:bCs/>
              </w:rPr>
              <w:t>Obiecții:</w:t>
            </w:r>
          </w:p>
          <w:p w14:paraId="74EABAAE" w14:textId="543896F3" w:rsidR="00A06816" w:rsidRPr="000E14F1" w:rsidRDefault="00A06816" w:rsidP="00A06816">
            <w:pPr>
              <w:ind w:firstLine="0"/>
            </w:pPr>
            <w:r w:rsidRPr="000E14F1">
              <w:t xml:space="preserve">Prevederile citate supra operează cu o formulă ambiguă, care poate determina interpretarea extensivă a  </w:t>
            </w:r>
            <w:r w:rsidRPr="000E14F1">
              <w:rPr>
                <w:i/>
                <w:iCs/>
              </w:rPr>
              <w:t xml:space="preserve">suficienței seriozității încălcării </w:t>
            </w:r>
            <w:r w:rsidRPr="000E14F1">
              <w:t xml:space="preserve">de către subiecții responsabili de examinarea/investigarea eventualelor abateri </w:t>
            </w:r>
            <w:proofErr w:type="spellStart"/>
            <w:r w:rsidRPr="000E14F1">
              <w:t>săvîrșite</w:t>
            </w:r>
            <w:proofErr w:type="spellEnd"/>
            <w:r w:rsidRPr="000E14F1">
              <w:t>/persoanele care au/susțin că au influență asupra acestora.</w:t>
            </w:r>
          </w:p>
          <w:p w14:paraId="1E634181" w14:textId="5E5008A2" w:rsidR="00A06816" w:rsidRPr="000E14F1" w:rsidRDefault="00A06816" w:rsidP="00A06816">
            <w:pPr>
              <w:ind w:firstLine="0"/>
              <w:rPr>
                <w:i/>
                <w:iCs/>
              </w:rPr>
            </w:pPr>
            <w:r w:rsidRPr="000E14F1">
              <w:t xml:space="preserve">Carența în speță, creează precondiții ce pot favoriza admiterea incidentelor de integritate/riscurilor de corupție de către subiecții prenotați și obstrucționarea atragerii la răspundere a subiecților care au admis </w:t>
            </w:r>
            <w:r w:rsidRPr="000E14F1">
              <w:rPr>
                <w:i/>
                <w:iCs/>
              </w:rPr>
              <w:t>încălcări</w:t>
            </w:r>
            <w:r w:rsidRPr="000E14F1">
              <w:t xml:space="preserve">. Totodată, ambiguitatea reglementării </w:t>
            </w:r>
            <w:proofErr w:type="spellStart"/>
            <w:r w:rsidRPr="000E14F1">
              <w:t>responsabilităţii</w:t>
            </w:r>
            <w:proofErr w:type="spellEnd"/>
            <w:r w:rsidRPr="000E14F1">
              <w:t xml:space="preserve"> subiectului vizat, determină caracterul declarativ al normei și prin urmare, responsabilizarea insuficientă a subiecților vizați pentru respectarea prevederilor legale. Deficiențele prenotate, denotă neîntrunirea principiilor activității de legiferare („</w:t>
            </w:r>
            <w:r w:rsidRPr="000E14F1">
              <w:rPr>
                <w:i/>
                <w:iCs/>
              </w:rPr>
              <w:t xml:space="preserve">stabilitatea </w:t>
            </w:r>
            <w:proofErr w:type="spellStart"/>
            <w:r w:rsidRPr="000E14F1">
              <w:rPr>
                <w:i/>
                <w:iCs/>
              </w:rPr>
              <w:t>şi</w:t>
            </w:r>
            <w:proofErr w:type="spellEnd"/>
            <w:r w:rsidRPr="000E14F1">
              <w:rPr>
                <w:i/>
                <w:iCs/>
              </w:rPr>
              <w:t xml:space="preserve"> predictibilitatea normelor juridice</w:t>
            </w:r>
            <w:r w:rsidRPr="000E14F1">
              <w:t xml:space="preserve">”) și a exigențelor de calitate a legii iterate de normele de tehnică legislativă statuate de prevederile art.3 alin.(1) </w:t>
            </w:r>
            <w:proofErr w:type="spellStart"/>
            <w:r w:rsidRPr="000E14F1">
              <w:t>lit.d</w:t>
            </w:r>
            <w:proofErr w:type="spellEnd"/>
            <w:r w:rsidRPr="000E14F1">
              <w:t xml:space="preserve">) și art.54 alin.(1) </w:t>
            </w:r>
            <w:proofErr w:type="spellStart"/>
            <w:r w:rsidRPr="000E14F1">
              <w:t>lit.a</w:t>
            </w:r>
            <w:proofErr w:type="spellEnd"/>
            <w:r w:rsidRPr="000E14F1">
              <w:t xml:space="preserve">), c) al Legii nr.100 din 22- 12-2017 </w:t>
            </w:r>
            <w:r w:rsidRPr="000E14F1">
              <w:lastRenderedPageBreak/>
              <w:t>cu privire la actele normative („</w:t>
            </w:r>
            <w:proofErr w:type="spellStart"/>
            <w:r w:rsidRPr="000E14F1">
              <w:rPr>
                <w:i/>
                <w:iCs/>
              </w:rPr>
              <w:t>conţinutul</w:t>
            </w:r>
            <w:proofErr w:type="spellEnd"/>
            <w:r w:rsidRPr="000E14F1">
              <w:rPr>
                <w:i/>
                <w:iCs/>
              </w:rPr>
              <w:t xml:space="preserve"> proiectului se expune într-un limbaj simplu, clar </w:t>
            </w:r>
            <w:proofErr w:type="spellStart"/>
            <w:r w:rsidRPr="000E14F1">
              <w:rPr>
                <w:i/>
                <w:iCs/>
              </w:rPr>
              <w:t>şi</w:t>
            </w:r>
            <w:proofErr w:type="spellEnd"/>
            <w:r w:rsidRPr="000E14F1">
              <w:rPr>
                <w:i/>
                <w:iCs/>
              </w:rPr>
              <w:t xml:space="preserve"> concis, pentru a se exclude orice echivoc, […]”).</w:t>
            </w:r>
          </w:p>
          <w:p w14:paraId="5C2901BB" w14:textId="6D845F7C" w:rsidR="00A06816" w:rsidRPr="000E14F1" w:rsidRDefault="00A06816" w:rsidP="00A06816">
            <w:pPr>
              <w:ind w:firstLine="0"/>
            </w:pPr>
            <w:r w:rsidRPr="000E14F1">
              <w:t xml:space="preserve">În context, se remarcă faptul că prevederile art.23 alin. (2) din </w:t>
            </w:r>
            <w:proofErr w:type="spellStart"/>
            <w:r w:rsidRPr="000E14F1">
              <w:t>Constituţie</w:t>
            </w:r>
            <w:proofErr w:type="spellEnd"/>
            <w:r w:rsidRPr="000E14F1">
              <w:t xml:space="preserve"> implică adoptarea de către legislator a unor legi accesibile, clare </w:t>
            </w:r>
            <w:proofErr w:type="spellStart"/>
            <w:r w:rsidRPr="000E14F1">
              <w:t>şi</w:t>
            </w:r>
            <w:proofErr w:type="spellEnd"/>
            <w:r w:rsidRPr="000E14F1">
              <w:t xml:space="preserve"> previzibile. </w:t>
            </w:r>
            <w:proofErr w:type="spellStart"/>
            <w:r w:rsidRPr="000E14F1">
              <w:t>Condiţia</w:t>
            </w:r>
            <w:proofErr w:type="spellEnd"/>
            <w:r w:rsidRPr="000E14F1">
              <w:t xml:space="preserve"> </w:t>
            </w:r>
            <w:proofErr w:type="spellStart"/>
            <w:r w:rsidRPr="000E14F1">
              <w:t>clarităţii</w:t>
            </w:r>
            <w:proofErr w:type="spellEnd"/>
            <w:r w:rsidRPr="000E14F1">
              <w:t xml:space="preserve"> </w:t>
            </w:r>
            <w:proofErr w:type="spellStart"/>
            <w:r w:rsidRPr="000E14F1">
              <w:t>şi</w:t>
            </w:r>
            <w:proofErr w:type="spellEnd"/>
            <w:r w:rsidRPr="000E14F1">
              <w:t xml:space="preserve"> a </w:t>
            </w:r>
            <w:proofErr w:type="spellStart"/>
            <w:r w:rsidRPr="000E14F1">
              <w:t>previzibilităţii</w:t>
            </w:r>
            <w:proofErr w:type="spellEnd"/>
            <w:r w:rsidRPr="000E14F1">
              <w:t xml:space="preserve"> este îndeplinită atunci când </w:t>
            </w:r>
            <w:proofErr w:type="spellStart"/>
            <w:r w:rsidRPr="000E14F1">
              <w:t>atît</w:t>
            </w:r>
            <w:proofErr w:type="spellEnd"/>
            <w:r w:rsidRPr="000E14F1">
              <w:t xml:space="preserve"> </w:t>
            </w:r>
            <w:proofErr w:type="spellStart"/>
            <w:r w:rsidRPr="000E14F1">
              <w:t>justiţiabilul</w:t>
            </w:r>
            <w:proofErr w:type="spellEnd"/>
            <w:r w:rsidRPr="000E14F1">
              <w:t xml:space="preserve">, </w:t>
            </w:r>
            <w:proofErr w:type="spellStart"/>
            <w:r w:rsidRPr="000E14F1">
              <w:t>cît</w:t>
            </w:r>
            <w:proofErr w:type="spellEnd"/>
            <w:r w:rsidRPr="000E14F1">
              <w:t xml:space="preserve"> și nemijlocit subiectul vizat de normă, poate </w:t>
            </w:r>
            <w:proofErr w:type="spellStart"/>
            <w:r w:rsidRPr="000E14F1">
              <w:t>cunoaşte</w:t>
            </w:r>
            <w:proofErr w:type="spellEnd"/>
            <w:r w:rsidRPr="000E14F1">
              <w:t xml:space="preserve">, din chiar textul normei juridice pertinente, iar la nevoie cu ajutorul interpretării acesteia de către </w:t>
            </w:r>
            <w:proofErr w:type="spellStart"/>
            <w:r w:rsidRPr="000E14F1">
              <w:t>instanţe</w:t>
            </w:r>
            <w:proofErr w:type="spellEnd"/>
            <w:r w:rsidRPr="000E14F1">
              <w:t xml:space="preserve"> sau cu ajutorul unor </w:t>
            </w:r>
            <w:proofErr w:type="spellStart"/>
            <w:r w:rsidRPr="000E14F1">
              <w:t>jurişti</w:t>
            </w:r>
            <w:proofErr w:type="spellEnd"/>
            <w:r w:rsidRPr="000E14F1">
              <w:t xml:space="preserve"> </w:t>
            </w:r>
            <w:proofErr w:type="spellStart"/>
            <w:r w:rsidRPr="000E14F1">
              <w:t>profesionişti</w:t>
            </w:r>
            <w:proofErr w:type="spellEnd"/>
            <w:r w:rsidRPr="000E14F1">
              <w:t xml:space="preserve">, care sunt </w:t>
            </w:r>
            <w:proofErr w:type="spellStart"/>
            <w:r w:rsidRPr="000E14F1">
              <w:t>acţiunile</w:t>
            </w:r>
            <w:proofErr w:type="spellEnd"/>
            <w:r w:rsidRPr="000E14F1">
              <w:t xml:space="preserve"> </w:t>
            </w:r>
            <w:proofErr w:type="spellStart"/>
            <w:r w:rsidRPr="000E14F1">
              <w:t>şi</w:t>
            </w:r>
            <w:proofErr w:type="spellEnd"/>
            <w:r w:rsidRPr="000E14F1">
              <w:t xml:space="preserve"> omisiunile ce-i pot angaja răspunderea (inclusiv penală) </w:t>
            </w:r>
            <w:proofErr w:type="spellStart"/>
            <w:r w:rsidRPr="000E14F1">
              <w:t>şi</w:t>
            </w:r>
            <w:proofErr w:type="spellEnd"/>
            <w:r w:rsidRPr="000E14F1">
              <w:t xml:space="preserve"> care este pedeapsa care îi poate fi aplicată, în cazul încălcării acestei norme. De asemenea, pentru ca legea să îndeplinească </w:t>
            </w:r>
            <w:proofErr w:type="spellStart"/>
            <w:r w:rsidRPr="000E14F1">
              <w:t>cerinţa</w:t>
            </w:r>
            <w:proofErr w:type="spellEnd"/>
            <w:r w:rsidRPr="000E14F1">
              <w:t xml:space="preserve"> </w:t>
            </w:r>
            <w:proofErr w:type="spellStart"/>
            <w:r w:rsidRPr="000E14F1">
              <w:t>previzibilităţii</w:t>
            </w:r>
            <w:proofErr w:type="spellEnd"/>
            <w:r w:rsidRPr="000E14F1">
              <w:t xml:space="preserve">, ea trebuie să precizeze cu suficientă claritate întinderea </w:t>
            </w:r>
            <w:proofErr w:type="spellStart"/>
            <w:r w:rsidRPr="000E14F1">
              <w:t>şi</w:t>
            </w:r>
            <w:proofErr w:type="spellEnd"/>
            <w:r w:rsidRPr="000E14F1">
              <w:t xml:space="preserve"> </w:t>
            </w:r>
            <w:proofErr w:type="spellStart"/>
            <w:r w:rsidRPr="000E14F1">
              <w:t>modalităţile</w:t>
            </w:r>
            <w:proofErr w:type="spellEnd"/>
            <w:r w:rsidRPr="000E14F1">
              <w:t xml:space="preserve"> de exercitare a puterii de apreciere a agenților publici în domeniul respectiv, </w:t>
            </w:r>
            <w:proofErr w:type="spellStart"/>
            <w:r w:rsidRPr="000E14F1">
              <w:t>ţinând</w:t>
            </w:r>
            <w:proofErr w:type="spellEnd"/>
            <w:r w:rsidRPr="000E14F1">
              <w:t xml:space="preserve"> cont de scopul legitim urmărit, or o putere </w:t>
            </w:r>
            <w:proofErr w:type="spellStart"/>
            <w:r w:rsidRPr="000E14F1">
              <w:t>discreţionară</w:t>
            </w:r>
            <w:proofErr w:type="spellEnd"/>
            <w:r w:rsidRPr="000E14F1">
              <w:t xml:space="preserve"> care nu este delimitată, chiar dacă face obiectul controlului judiciar din punct de vedere formal, nu trece de testul </w:t>
            </w:r>
            <w:proofErr w:type="spellStart"/>
            <w:r w:rsidRPr="000E14F1">
              <w:t>previzibilităţii</w:t>
            </w:r>
            <w:proofErr w:type="spellEnd"/>
            <w:r w:rsidRPr="000E14F1">
              <w:t>.</w:t>
            </w:r>
          </w:p>
          <w:p w14:paraId="4AD93824" w14:textId="31E8849B" w:rsidR="00A06816" w:rsidRPr="000E14F1" w:rsidRDefault="00A06816" w:rsidP="00A06816">
            <w:pPr>
              <w:ind w:firstLine="0"/>
            </w:pPr>
            <w:r w:rsidRPr="000E14F1">
              <w:t xml:space="preserve">Totodată, redacția propusă la </w:t>
            </w:r>
            <w:r w:rsidRPr="000E14F1">
              <w:rPr>
                <w:b/>
                <w:bCs/>
              </w:rPr>
              <w:t xml:space="preserve">Art.54 alin.(1) </w:t>
            </w:r>
            <w:proofErr w:type="spellStart"/>
            <w:r w:rsidRPr="000E14F1">
              <w:rPr>
                <w:b/>
                <w:bCs/>
              </w:rPr>
              <w:t>lit.d</w:t>
            </w:r>
            <w:proofErr w:type="spellEnd"/>
            <w:r w:rsidRPr="000E14F1">
              <w:rPr>
                <w:b/>
                <w:bCs/>
              </w:rPr>
              <w:t>)</w:t>
            </w:r>
            <w:r w:rsidRPr="000E14F1">
              <w:t xml:space="preserve"> al proiectului nu permite identificarea exhaustivă, cu suficientă precizie a comportamentelor care constituie </w:t>
            </w:r>
            <w:r w:rsidRPr="000E14F1">
              <w:rPr>
                <w:i/>
                <w:iCs/>
              </w:rPr>
              <w:t xml:space="preserve">temei </w:t>
            </w:r>
            <w:r w:rsidRPr="000E14F1">
              <w:t>pentru retragerea autorizației și lasă autorității de supraveghere o marjă extinsă de apreciere în calificarea unor acțiuni sau omisiuni drept „</w:t>
            </w:r>
            <w:r w:rsidRPr="000E14F1">
              <w:rPr>
                <w:i/>
                <w:iCs/>
              </w:rPr>
              <w:t>modalități incorecte</w:t>
            </w:r>
            <w:r w:rsidRPr="000E14F1">
              <w:t xml:space="preserve">”. Deficiența prenotată, periclitează certitudinea reglementării or, reproduce soluția </w:t>
            </w:r>
            <w:proofErr w:type="spellStart"/>
            <w:r w:rsidRPr="000E14F1">
              <w:t>MiCA</w:t>
            </w:r>
            <w:proofErr w:type="spellEnd"/>
            <w:r w:rsidRPr="000E14F1">
              <w:t xml:space="preserve"> nu exclude necesitatea evaluării sale prin prisma exigențelor naționale privind calitatea legii și prevenirea discreției administrative potrivit cărora normele care permit restrângerea sau pierderea unui drept ori a unei autorizații trebuie formulate suficient de clar pentru ca destinatarii să poată anticipa consecințele juridice</w:t>
            </w:r>
          </w:p>
          <w:p w14:paraId="0A4B9F50" w14:textId="77777777" w:rsidR="00A06816" w:rsidRPr="000E14F1" w:rsidRDefault="00A06816" w:rsidP="00A06816">
            <w:pPr>
              <w:ind w:firstLine="0"/>
            </w:pPr>
            <w:r w:rsidRPr="000E14F1">
              <w:t>ale conduitei lor.</w:t>
            </w:r>
          </w:p>
          <w:p w14:paraId="53A28629" w14:textId="5C3FDEB2" w:rsidR="00A06816" w:rsidRPr="000E14F1" w:rsidRDefault="00A06816" w:rsidP="00A06816">
            <w:pPr>
              <w:ind w:firstLine="0"/>
              <w:rPr>
                <w:i/>
                <w:iCs/>
              </w:rPr>
            </w:pPr>
            <w:r w:rsidRPr="000E14F1">
              <w:t xml:space="preserve">În context se remarcă prevederile art.12 al Convenției ONU împotriva Corupției după cum urmează: </w:t>
            </w:r>
            <w:r w:rsidRPr="000E14F1">
              <w:rPr>
                <w:i/>
                <w:iCs/>
              </w:rPr>
              <w:t xml:space="preserve">ART. 12 Sectorul privat 1. Fiecare stat parte ia, conform principiilor fundamentale ale dreptului său intern, măsuri pentru prevenirea </w:t>
            </w:r>
            <w:proofErr w:type="spellStart"/>
            <w:r w:rsidRPr="000E14F1">
              <w:rPr>
                <w:i/>
                <w:iCs/>
              </w:rPr>
              <w:t>corupţiei</w:t>
            </w:r>
            <w:proofErr w:type="spellEnd"/>
            <w:r w:rsidRPr="000E14F1">
              <w:rPr>
                <w:i/>
                <w:iCs/>
              </w:rPr>
              <w:t xml:space="preserve"> </w:t>
            </w:r>
            <w:proofErr w:type="spellStart"/>
            <w:r w:rsidRPr="000E14F1">
              <w:rPr>
                <w:i/>
                <w:iCs/>
              </w:rPr>
              <w:t>implicînd</w:t>
            </w:r>
            <w:proofErr w:type="spellEnd"/>
            <w:r w:rsidRPr="000E14F1">
              <w:rPr>
                <w:i/>
                <w:iCs/>
              </w:rPr>
              <w:t xml:space="preserve"> sectorul privat, întărirea normelor de contabilitate și audit în sectorul privat și, dacă este cazul, prevederea de </w:t>
            </w:r>
            <w:proofErr w:type="spellStart"/>
            <w:r w:rsidRPr="000E14F1">
              <w:rPr>
                <w:i/>
                <w:iCs/>
              </w:rPr>
              <w:t>sancţiuni</w:t>
            </w:r>
            <w:proofErr w:type="spellEnd"/>
            <w:r w:rsidRPr="000E14F1">
              <w:rPr>
                <w:i/>
                <w:iCs/>
              </w:rPr>
              <w:t xml:space="preserve"> civile, administrative sau penale </w:t>
            </w:r>
            <w:proofErr w:type="spellStart"/>
            <w:r w:rsidRPr="000E14F1">
              <w:rPr>
                <w:i/>
                <w:iCs/>
              </w:rPr>
              <w:t>efi</w:t>
            </w:r>
            <w:proofErr w:type="spellEnd"/>
            <w:r w:rsidRPr="000E14F1">
              <w:rPr>
                <w:i/>
                <w:iCs/>
              </w:rPr>
              <w:t xml:space="preserve"> </w:t>
            </w:r>
            <w:proofErr w:type="spellStart"/>
            <w:r w:rsidRPr="000E14F1">
              <w:rPr>
                <w:i/>
                <w:iCs/>
              </w:rPr>
              <w:t>ciente</w:t>
            </w:r>
            <w:proofErr w:type="spellEnd"/>
            <w:r w:rsidRPr="000E14F1">
              <w:rPr>
                <w:i/>
                <w:iCs/>
              </w:rPr>
              <w:t xml:space="preserve">, </w:t>
            </w:r>
            <w:proofErr w:type="spellStart"/>
            <w:r w:rsidRPr="000E14F1">
              <w:rPr>
                <w:i/>
                <w:iCs/>
              </w:rPr>
              <w:t>proporţionate</w:t>
            </w:r>
            <w:proofErr w:type="spellEnd"/>
            <w:r w:rsidRPr="000E14F1">
              <w:rPr>
                <w:i/>
                <w:iCs/>
              </w:rPr>
              <w:t xml:space="preserve"> și punitive, în caz de nerespectare a acestor măsuri.</w:t>
            </w:r>
          </w:p>
          <w:p w14:paraId="268DA6E5" w14:textId="18AFD374" w:rsidR="00A06816" w:rsidRPr="000E14F1" w:rsidRDefault="00A06816" w:rsidP="00A06816">
            <w:pPr>
              <w:ind w:firstLine="0"/>
              <w:rPr>
                <w:i/>
                <w:iCs/>
              </w:rPr>
            </w:pPr>
            <w:r w:rsidRPr="000E14F1">
              <w:rPr>
                <w:i/>
                <w:iCs/>
              </w:rPr>
              <w:t xml:space="preserve">2. Măsurile care permit atingerea acestor obiective pot include, în special: d) prevenirea folosirii improprii a procedurilor de reglementare a </w:t>
            </w:r>
            <w:proofErr w:type="spellStart"/>
            <w:r w:rsidRPr="000E14F1">
              <w:rPr>
                <w:i/>
                <w:iCs/>
              </w:rPr>
              <w:t>entităţilor</w:t>
            </w:r>
            <w:proofErr w:type="spellEnd"/>
            <w:r w:rsidRPr="000E14F1">
              <w:rPr>
                <w:i/>
                <w:iCs/>
              </w:rPr>
              <w:t xml:space="preserve"> private, inclusiv a procedurilor privind </w:t>
            </w:r>
            <w:proofErr w:type="spellStart"/>
            <w:r w:rsidRPr="000E14F1">
              <w:rPr>
                <w:i/>
                <w:iCs/>
              </w:rPr>
              <w:lastRenderedPageBreak/>
              <w:t>subvenţiile</w:t>
            </w:r>
            <w:proofErr w:type="spellEnd"/>
            <w:r w:rsidRPr="000E14F1">
              <w:rPr>
                <w:i/>
                <w:iCs/>
              </w:rPr>
              <w:t xml:space="preserve"> și </w:t>
            </w:r>
            <w:proofErr w:type="spellStart"/>
            <w:r w:rsidRPr="000E14F1">
              <w:rPr>
                <w:i/>
                <w:iCs/>
              </w:rPr>
              <w:t>licenţele</w:t>
            </w:r>
            <w:proofErr w:type="spellEnd"/>
            <w:r w:rsidRPr="000E14F1">
              <w:rPr>
                <w:i/>
                <w:iCs/>
              </w:rPr>
              <w:t xml:space="preserve"> acordate de către </w:t>
            </w:r>
            <w:proofErr w:type="spellStart"/>
            <w:r w:rsidRPr="000E14F1">
              <w:rPr>
                <w:i/>
                <w:iCs/>
              </w:rPr>
              <w:t>autorităţile</w:t>
            </w:r>
            <w:proofErr w:type="spellEnd"/>
            <w:r w:rsidRPr="000E14F1">
              <w:rPr>
                <w:i/>
                <w:iCs/>
              </w:rPr>
              <w:t xml:space="preserve"> publice pentru </w:t>
            </w:r>
            <w:proofErr w:type="spellStart"/>
            <w:r w:rsidRPr="000E14F1">
              <w:rPr>
                <w:i/>
                <w:iCs/>
              </w:rPr>
              <w:t>activităţi</w:t>
            </w:r>
            <w:proofErr w:type="spellEnd"/>
            <w:r w:rsidRPr="000E14F1">
              <w:rPr>
                <w:i/>
                <w:iCs/>
              </w:rPr>
              <w:t xml:space="preserve"> comerciale;</w:t>
            </w:r>
          </w:p>
          <w:p w14:paraId="43AB03DA" w14:textId="77777777" w:rsidR="00A06816" w:rsidRPr="000E14F1" w:rsidRDefault="00A06816" w:rsidP="00A06816">
            <w:pPr>
              <w:ind w:firstLine="0"/>
              <w:rPr>
                <w:b/>
                <w:bCs/>
              </w:rPr>
            </w:pPr>
            <w:r w:rsidRPr="000E14F1">
              <w:rPr>
                <w:b/>
                <w:bCs/>
              </w:rPr>
              <w:t>Recomandări:</w:t>
            </w:r>
          </w:p>
          <w:p w14:paraId="5BF73542" w14:textId="14C62D15" w:rsidR="00A06816" w:rsidRPr="000E14F1" w:rsidRDefault="00A06816" w:rsidP="00A06816">
            <w:pPr>
              <w:ind w:firstLine="0"/>
            </w:pPr>
            <w:r w:rsidRPr="000E14F1">
              <w:t xml:space="preserve">Revizuirea expresiei </w:t>
            </w:r>
            <w:r w:rsidRPr="000E14F1">
              <w:rPr>
                <w:i/>
                <w:iCs/>
              </w:rPr>
              <w:t xml:space="preserve">”o încălcare gravă” </w:t>
            </w:r>
            <w:r w:rsidRPr="000E14F1">
              <w:t>cu concretizarea categoriilor de abatere apreciate ca fiind grave în context.</w:t>
            </w:r>
          </w:p>
          <w:p w14:paraId="16AD8D9E" w14:textId="35C31585" w:rsidR="00A06816" w:rsidRPr="000E14F1" w:rsidRDefault="00A06816" w:rsidP="00A06816">
            <w:pPr>
              <w:ind w:firstLine="0"/>
            </w:pPr>
            <w:r w:rsidRPr="000E14F1">
              <w:t>Reglementarea exhaustivă a temeiurilor de retragere a autorizației.</w:t>
            </w:r>
          </w:p>
        </w:tc>
        <w:tc>
          <w:tcPr>
            <w:tcW w:w="5281" w:type="dxa"/>
            <w:tcMar>
              <w:top w:w="0" w:type="dxa"/>
              <w:left w:w="108" w:type="dxa"/>
              <w:bottom w:w="0" w:type="dxa"/>
              <w:right w:w="108" w:type="dxa"/>
            </w:tcMar>
          </w:tcPr>
          <w:p w14:paraId="4EEBE7F0" w14:textId="528900F6" w:rsidR="00A06816" w:rsidRPr="000E14F1" w:rsidRDefault="00A06816" w:rsidP="00A06816">
            <w:pPr>
              <w:ind w:firstLine="0"/>
              <w:rPr>
                <w:b/>
                <w:bCs/>
                <w:iCs/>
              </w:rPr>
            </w:pPr>
            <w:r w:rsidRPr="000E14F1">
              <w:rPr>
                <w:b/>
                <w:bCs/>
                <w:iCs/>
              </w:rPr>
              <w:lastRenderedPageBreak/>
              <w:t>Se accept parțial</w:t>
            </w:r>
          </w:p>
          <w:p w14:paraId="59A8D9BE" w14:textId="0FC7DC9C" w:rsidR="00A06816" w:rsidRPr="000E14F1" w:rsidRDefault="00A06816" w:rsidP="00A06816">
            <w:pPr>
              <w:ind w:firstLine="0"/>
              <w:rPr>
                <w:iCs/>
              </w:rPr>
            </w:pPr>
            <w:r w:rsidRPr="000E14F1">
              <w:rPr>
                <w:iCs/>
              </w:rPr>
              <w:t xml:space="preserve">Observația formulată este confuză, întrucât prevederile </w:t>
            </w:r>
            <w:r>
              <w:rPr>
                <w:iCs/>
              </w:rPr>
              <w:t>obiectate</w:t>
            </w:r>
            <w:r w:rsidRPr="000E14F1">
              <w:rPr>
                <w:iCs/>
              </w:rPr>
              <w:t xml:space="preserve"> au fost analizate izolat, fără corelarea cu întregul mecanism de autorizare, refuz și retragere prevăzut de proiect. De asemenea, trimiterea din obiecție la „art. 54 alin. (1) lit. d)” este eronată/neclară, prevederile efectiv vizate fiind art. 24 alin. (1) în materia retragerii în materia autorizației emitentului de </w:t>
            </w:r>
            <w:proofErr w:type="spellStart"/>
            <w:r w:rsidRPr="000E14F1">
              <w:rPr>
                <w:iCs/>
              </w:rPr>
              <w:t>tokenuri</w:t>
            </w:r>
            <w:proofErr w:type="spellEnd"/>
            <w:r w:rsidRPr="000E14F1">
              <w:rPr>
                <w:iCs/>
              </w:rPr>
              <w:t xml:space="preserve"> raportate la active, art. 57 privind refuzul autorizării furnizorului de servicii de </w:t>
            </w:r>
            <w:proofErr w:type="spellStart"/>
            <w:r w:rsidRPr="000E14F1">
              <w:rPr>
                <w:iCs/>
              </w:rPr>
              <w:t>criptoactive</w:t>
            </w:r>
            <w:proofErr w:type="spellEnd"/>
            <w:r w:rsidRPr="000E14F1">
              <w:rPr>
                <w:iCs/>
              </w:rPr>
              <w:t xml:space="preserve"> și art.58 retragerii autorizației unui furnizor de servicii de </w:t>
            </w:r>
            <w:proofErr w:type="spellStart"/>
            <w:r w:rsidRPr="000E14F1">
              <w:rPr>
                <w:iCs/>
              </w:rPr>
              <w:t>criptoactive</w:t>
            </w:r>
            <w:proofErr w:type="spellEnd"/>
            <w:r w:rsidRPr="000E14F1">
              <w:rPr>
                <w:iCs/>
              </w:rPr>
              <w:t>.</w:t>
            </w:r>
          </w:p>
          <w:p w14:paraId="1D6045C8" w14:textId="330AE649" w:rsidR="00A06816" w:rsidRPr="000E14F1" w:rsidRDefault="00A06816" w:rsidP="00A06816">
            <w:pPr>
              <w:ind w:firstLine="0"/>
              <w:rPr>
                <w:iCs/>
              </w:rPr>
            </w:pPr>
            <w:r w:rsidRPr="000E14F1">
              <w:rPr>
                <w:iCs/>
              </w:rPr>
              <w:t>În partea ce vizează necesitatea clarificării sintagmei „</w:t>
            </w:r>
            <w:r w:rsidRPr="000E14F1">
              <w:rPr>
                <w:i/>
              </w:rPr>
              <w:t>modalități incorecte</w:t>
            </w:r>
            <w:r w:rsidRPr="000E14F1">
              <w:rPr>
                <w:iCs/>
              </w:rPr>
              <w:t xml:space="preserve">”, aceasta este preluată fidel din </w:t>
            </w:r>
            <w:proofErr w:type="spellStart"/>
            <w:r w:rsidRPr="000E14F1">
              <w:rPr>
                <w:iCs/>
              </w:rPr>
              <w:t>MiCA</w:t>
            </w:r>
            <w:proofErr w:type="spellEnd"/>
            <w:r w:rsidRPr="000E14F1">
              <w:rPr>
                <w:iCs/>
              </w:rPr>
              <w:t xml:space="preserve"> și are caracter exemplificativ, reglementarea exhaustivă a tuturor modalităților posibile de obținere incorectă a autorizației ar reduce eficiența normei și ar crea riscul excluderii unor conduite frauduloase care nu au fost anticipate expres de legiuitor. Însă, pentru a evita interpretările divergente la etapa aplicării. În acest sens, art. 24 alin. (1) lit. b) și art. 58 alin. (1) lit. d),  textul </w:t>
            </w:r>
            <w:r w:rsidRPr="000E14F1">
              <w:rPr>
                <w:iCs/>
              </w:rPr>
              <w:lastRenderedPageBreak/>
              <w:t xml:space="preserve">prevederilor </w:t>
            </w:r>
            <w:r w:rsidR="00D65B36">
              <w:rPr>
                <w:iCs/>
              </w:rPr>
              <w:t>a fost</w:t>
            </w:r>
            <w:r w:rsidRPr="000E14F1">
              <w:rPr>
                <w:iCs/>
              </w:rPr>
              <w:t xml:space="preserve"> reformulat în sensul că ”</w:t>
            </w:r>
            <w:r w:rsidRPr="000E14F1">
              <w:rPr>
                <w:i/>
              </w:rPr>
              <w:t>a obținut autorizația pe baza unor informații, declarații sau documente false, inexacte ori înșelătoare sau prin orice alte modalități incorecte”</w:t>
            </w:r>
            <w:r w:rsidRPr="000E14F1">
              <w:rPr>
                <w:iCs/>
              </w:rPr>
              <w:t xml:space="preserve">. Această formulare păstrează logica </w:t>
            </w:r>
            <w:proofErr w:type="spellStart"/>
            <w:r w:rsidRPr="000E14F1">
              <w:rPr>
                <w:iCs/>
              </w:rPr>
              <w:t>MiCA</w:t>
            </w:r>
            <w:proofErr w:type="spellEnd"/>
            <w:r w:rsidRPr="000E14F1">
              <w:rPr>
                <w:iCs/>
              </w:rPr>
              <w:t>, dar oferă o precizare mai clară a conduitei avute în vedere.</w:t>
            </w:r>
          </w:p>
          <w:p w14:paraId="336C9AEA" w14:textId="77777777" w:rsidR="00A06816" w:rsidRPr="000E14F1" w:rsidRDefault="00A06816" w:rsidP="00A06816">
            <w:pPr>
              <w:ind w:firstLine="0"/>
              <w:rPr>
                <w:iCs/>
              </w:rPr>
            </w:pPr>
            <w:r w:rsidRPr="000E14F1">
              <w:rPr>
                <w:iCs/>
              </w:rPr>
              <w:t>În ceea ce privește recomandarea de „</w:t>
            </w:r>
            <w:r w:rsidRPr="000E14F1">
              <w:rPr>
                <w:i/>
              </w:rPr>
              <w:t>reglementare exhaustivă a temeiurilor de retragere</w:t>
            </w:r>
            <w:r w:rsidRPr="000E14F1">
              <w:rPr>
                <w:iCs/>
              </w:rPr>
              <w:t xml:space="preserve">", aceasta este, în realitate, deja satisfăcută: art. 24 alin. (1) lit. a)–g) și art. 54 alin. (1) lit. a)–g)  instituie o listă închisă de șapte temeiuri limitativ enumerate, care nu lasă autorității nicio marjă de a invoca alte cauze de retragere în afara celor prevăzute expres. </w:t>
            </w:r>
          </w:p>
          <w:p w14:paraId="6F28816F" w14:textId="559CC41D" w:rsidR="00A06816" w:rsidRPr="000E14F1" w:rsidRDefault="00A06816" w:rsidP="00A06816">
            <w:pPr>
              <w:ind w:firstLine="0"/>
              <w:rPr>
                <w:iCs/>
              </w:rPr>
            </w:pPr>
            <w:r w:rsidRPr="000E14F1">
              <w:rPr>
                <w:iCs/>
              </w:rPr>
              <w:t>Totodată, obiecția nu vizează, așadar, caracterul exhaustiv al temeiurilor — care există, ci modul de configurare a unui singur temei, cel al „</w:t>
            </w:r>
            <w:r w:rsidRPr="000E14F1">
              <w:rPr>
                <w:i/>
              </w:rPr>
              <w:t>încălcării grave</w:t>
            </w:r>
            <w:r w:rsidRPr="000E14F1">
              <w:rPr>
                <w:iCs/>
              </w:rPr>
              <w:t>" prevăzut la lit. d), care reprezintă un standard juridic, iar nu o enumerare. Distincția este esențială: temeiurile rămân exhaustive, în timp ce gradul de gravitate al unei încălcări este, prin natura sa, un criteriu de apreciere, nu un catalog de fapte.</w:t>
            </w:r>
          </w:p>
          <w:p w14:paraId="14430B7F" w14:textId="512A8E08" w:rsidR="00A06816" w:rsidRPr="000E14F1" w:rsidRDefault="00A06816" w:rsidP="00A06816">
            <w:pPr>
              <w:ind w:firstLine="0"/>
              <w:rPr>
                <w:iCs/>
              </w:rPr>
            </w:pPr>
            <w:r w:rsidRPr="000E14F1">
              <w:rPr>
                <w:iCs/>
              </w:rPr>
              <w:t>Astfel, în ceea ce privește sintagma „</w:t>
            </w:r>
            <w:r w:rsidRPr="000E14F1">
              <w:rPr>
                <w:i/>
              </w:rPr>
              <w:t>încălcare gravă" (</w:t>
            </w:r>
            <w:proofErr w:type="spellStart"/>
            <w:r w:rsidRPr="000E14F1">
              <w:rPr>
                <w:i/>
              </w:rPr>
              <w:t>seriously</w:t>
            </w:r>
            <w:proofErr w:type="spellEnd"/>
            <w:r w:rsidRPr="000E14F1">
              <w:rPr>
                <w:i/>
              </w:rPr>
              <w:t xml:space="preserve"> </w:t>
            </w:r>
            <w:proofErr w:type="spellStart"/>
            <w:r w:rsidRPr="000E14F1">
              <w:rPr>
                <w:i/>
              </w:rPr>
              <w:t>infringed</w:t>
            </w:r>
            <w:proofErr w:type="spellEnd"/>
            <w:r w:rsidRPr="000E14F1">
              <w:rPr>
                <w:i/>
              </w:rPr>
              <w:t>/</w:t>
            </w:r>
            <w:proofErr w:type="spellStart"/>
            <w:r w:rsidRPr="000E14F1">
              <w:rPr>
                <w:i/>
              </w:rPr>
              <w:t>serious</w:t>
            </w:r>
            <w:proofErr w:type="spellEnd"/>
            <w:r w:rsidRPr="000E14F1">
              <w:rPr>
                <w:i/>
              </w:rPr>
              <w:t xml:space="preserve"> </w:t>
            </w:r>
            <w:proofErr w:type="spellStart"/>
            <w:r w:rsidRPr="000E14F1">
              <w:rPr>
                <w:i/>
              </w:rPr>
              <w:t>breach</w:t>
            </w:r>
            <w:proofErr w:type="spellEnd"/>
            <w:r w:rsidRPr="000E14F1">
              <w:rPr>
                <w:iCs/>
              </w:rPr>
              <w:t xml:space="preserve">), aceasta constituie un concept autonom de drept al Uniunii, utilizat uniform în întreg corpul </w:t>
            </w:r>
            <w:proofErr w:type="spellStart"/>
            <w:r w:rsidRPr="000E14F1">
              <w:rPr>
                <w:iCs/>
              </w:rPr>
              <w:t>MiCA</w:t>
            </w:r>
            <w:proofErr w:type="spellEnd"/>
            <w:r w:rsidRPr="000E14F1">
              <w:rPr>
                <w:iCs/>
              </w:rPr>
              <w:t>. Transformarea sa, la nivel național, într-o listă închisă de fapte ar produce consecințe contrare scopului urmărit de obiecție: pe de o parte, ar genera divergență față de standardul armonizat și fragmentare interpretativă în raport cu acquis-</w:t>
            </w:r>
            <w:proofErr w:type="spellStart"/>
            <w:r w:rsidRPr="000E14F1">
              <w:rPr>
                <w:iCs/>
              </w:rPr>
              <w:t>ul</w:t>
            </w:r>
            <w:proofErr w:type="spellEnd"/>
            <w:r w:rsidRPr="000E14F1">
              <w:rPr>
                <w:iCs/>
              </w:rPr>
              <w:t xml:space="preserve">; pe de altă parte, orice enumerare exhaustivă ar rămâne inevitabil incompletă, omițând conduite noi sau complexe specifice pieței </w:t>
            </w:r>
            <w:proofErr w:type="spellStart"/>
            <w:r w:rsidRPr="000E14F1">
              <w:rPr>
                <w:iCs/>
              </w:rPr>
              <w:t>criptoactivelor</w:t>
            </w:r>
            <w:proofErr w:type="spellEnd"/>
            <w:r w:rsidRPr="000E14F1">
              <w:rPr>
                <w:iCs/>
              </w:rPr>
              <w:t xml:space="preserve"> și creând astfel lacune exploatabile care ar diminua, ci nu ar întări, efectivitatea supravegherii și capacitatea de prevenire a riscurilor de integritate invocate. Formula „</w:t>
            </w:r>
            <w:r w:rsidRPr="000E14F1">
              <w:rPr>
                <w:i/>
              </w:rPr>
              <w:t>încălcare gravă”</w:t>
            </w:r>
            <w:r w:rsidRPr="000E14F1">
              <w:rPr>
                <w:iCs/>
              </w:rPr>
              <w:t xml:space="preserve"> nu instituie o competență arbitrară, ci reprezintă o noțiune juridică specifică dreptului de supraveghere financiară, care trebuie apreciată în funcție de natura obligației încălcate, gravitatea și durata încălcării, caracterul repetat al conduitei, forma de vinovăție, impactul asupra deținătorilor de </w:t>
            </w:r>
            <w:proofErr w:type="spellStart"/>
            <w:r w:rsidRPr="000E14F1">
              <w:rPr>
                <w:iCs/>
              </w:rPr>
              <w:t>criptoactive</w:t>
            </w:r>
            <w:proofErr w:type="spellEnd"/>
            <w:r w:rsidRPr="000E14F1">
              <w:rPr>
                <w:iCs/>
              </w:rPr>
              <w:t xml:space="preserve">, integritatea pieței, stabilitatea financiară, buna funcționare a sistemelor de plăți și riscurile AML/CFT. </w:t>
            </w:r>
          </w:p>
          <w:p w14:paraId="1B1EAD5C" w14:textId="1B54162F" w:rsidR="00A06816" w:rsidRPr="000E14F1" w:rsidRDefault="00A06816" w:rsidP="00A06816">
            <w:pPr>
              <w:ind w:firstLine="0"/>
              <w:rPr>
                <w:iCs/>
              </w:rPr>
            </w:pPr>
            <w:r w:rsidRPr="000E14F1">
              <w:rPr>
                <w:iCs/>
              </w:rPr>
              <w:t>În ceea ce privește art. 57 alin. (11), proiectul nu conferă Comisiei Naționale o marjă nelimitată de apreciere. Refuzul autorizării poate avea loc numai în prezența unor „</w:t>
            </w:r>
            <w:r w:rsidRPr="000E14F1">
              <w:rPr>
                <w:i/>
              </w:rPr>
              <w:t xml:space="preserve">motive </w:t>
            </w:r>
            <w:r w:rsidRPr="000E14F1">
              <w:rPr>
                <w:i/>
              </w:rPr>
              <w:lastRenderedPageBreak/>
              <w:t>obiective și demonstrabile”</w:t>
            </w:r>
            <w:r w:rsidRPr="000E14F1">
              <w:rPr>
                <w:iCs/>
              </w:rPr>
              <w:t>, iar aceste motive sunt evaluate în cadrul unei proceduri reglementate, care include consultarea Serviciului Prevenirea și Combaterea Spălării Banilor, a Băncii Naționale și, după caz, a altor autorități relevante, analiza conformității solicitantului cu cerințele AML/CFT, verificarea legăturilor strânse, evaluarea posibilității exercitării efective a supravegherii și adoptarea unei decizii motivate. Prin urmare, norma conține suficiente garanții procedurale și materiale pentru a exclude aplicarea arbitrară. Exercitarea dreptului de apreciere al autorității competente este, în orice caz, supusă Codului administrativ, inclusiv obligației de a acționa cu bună-credință, în limitele legii, potrivit scopului pentru care competența a fost atribuită, cu respectarea proporționalității și a tratamentului egal al situațiilor similare. Decizia de retragere sau refuz al autorizării este un act administrativ individual, motivat și supus controlului în condițiile legislației administrative aplicabile.</w:t>
            </w:r>
          </w:p>
        </w:tc>
      </w:tr>
      <w:tr w:rsidR="00A06816" w:rsidRPr="0026420A" w14:paraId="0A028A1D" w14:textId="77777777" w:rsidTr="000A671F">
        <w:trPr>
          <w:trHeight w:val="615"/>
        </w:trPr>
        <w:tc>
          <w:tcPr>
            <w:tcW w:w="2206" w:type="dxa"/>
            <w:tcBorders>
              <w:top w:val="nil"/>
              <w:bottom w:val="nil"/>
            </w:tcBorders>
            <w:tcMar>
              <w:top w:w="0" w:type="dxa"/>
              <w:left w:w="108" w:type="dxa"/>
              <w:bottom w:w="0" w:type="dxa"/>
              <w:right w:w="108" w:type="dxa"/>
            </w:tcMar>
          </w:tcPr>
          <w:p w14:paraId="5FBFF387"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61EE6EC3"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0729648F" w14:textId="77777777" w:rsidR="00A06816" w:rsidRPr="000E14F1" w:rsidRDefault="00A06816" w:rsidP="00A06816">
            <w:pPr>
              <w:ind w:firstLine="0"/>
              <w:rPr>
                <w:b/>
                <w:bCs/>
              </w:rPr>
            </w:pPr>
            <w:r w:rsidRPr="000E14F1">
              <w:rPr>
                <w:b/>
                <w:bCs/>
              </w:rPr>
              <w:t>Art.54, art. 63 alin. (2) și (3)</w:t>
            </w:r>
          </w:p>
          <w:p w14:paraId="3AF9A40F" w14:textId="77777777" w:rsidR="00A06816" w:rsidRPr="000E14F1" w:rsidRDefault="00A06816" w:rsidP="00A06816">
            <w:pPr>
              <w:ind w:firstLine="0"/>
              <w:rPr>
                <w:b/>
                <w:bCs/>
              </w:rPr>
            </w:pPr>
            <w:r w:rsidRPr="000E14F1">
              <w:rPr>
                <w:b/>
                <w:bCs/>
              </w:rPr>
              <w:t>Obiecții:</w:t>
            </w:r>
          </w:p>
          <w:p w14:paraId="4010789C" w14:textId="2ADBFB13" w:rsidR="00A06816" w:rsidRPr="000E14F1" w:rsidRDefault="00A06816" w:rsidP="00A06816">
            <w:pPr>
              <w:ind w:firstLine="0"/>
            </w:pPr>
            <w:r w:rsidRPr="000E14F1">
              <w:t xml:space="preserve">Art. 54 din proiect permite instituțiilor de credit să furnizeze anumite servicii privind </w:t>
            </w:r>
            <w:proofErr w:type="spellStart"/>
            <w:r w:rsidRPr="000E14F1">
              <w:t>criptoactivele</w:t>
            </w:r>
            <w:proofErr w:type="spellEnd"/>
            <w:r w:rsidRPr="000E14F1">
              <w:t xml:space="preserve">, iar art. 63 alin. (2) și (3) instituie obligația furnizorilor de servicii privind </w:t>
            </w:r>
            <w:proofErr w:type="spellStart"/>
            <w:r w:rsidRPr="000E14F1">
              <w:t>criptoactivele</w:t>
            </w:r>
            <w:proofErr w:type="spellEnd"/>
            <w:r w:rsidRPr="000E14F1">
              <w:t xml:space="preserve"> de a păstra fondurile clienților prin intermediul unei instituții de credit sau al Băncii Naționale, ceea ce demonstrează că, funcționarea efectivă a activității acestora este dependentă de accesul la infrastructura bancară.</w:t>
            </w:r>
          </w:p>
          <w:p w14:paraId="43B98416" w14:textId="329AC4D6" w:rsidR="00A06816" w:rsidRPr="000E14F1" w:rsidRDefault="00A06816" w:rsidP="00A06816">
            <w:pPr>
              <w:ind w:firstLine="0"/>
            </w:pPr>
            <w:r w:rsidRPr="000E14F1">
              <w:t xml:space="preserve">Totodată, proiectul nu reglementează raporturile juridice dintre instituțiile de credit și furnizorii autorizați de servicii privind </w:t>
            </w:r>
            <w:proofErr w:type="spellStart"/>
            <w:r w:rsidRPr="000E14F1">
              <w:t>criptoactivele</w:t>
            </w:r>
            <w:proofErr w:type="spellEnd"/>
            <w:r w:rsidRPr="000E14F1">
              <w:t xml:space="preserve"> și nici nu stabilește obligațiile minime ale instituțiilor de credit în relația cu acești operatori. Astfel, nu rezultă în ce condiții o instituție de credit poate refuza deschiderea unui cont, poate restricționa accesul la serviciile bancare sau poate înceta relațiile de afaceri cu un furnizor autorizat de servicii privind </w:t>
            </w:r>
            <w:proofErr w:type="spellStart"/>
            <w:r w:rsidRPr="000E14F1">
              <w:t>criptoactivele</w:t>
            </w:r>
            <w:proofErr w:type="spellEnd"/>
            <w:r w:rsidRPr="000E14F1">
              <w:t xml:space="preserve"> și nici dacă asemenea măsuri trebuie să fie întemeiate pe criterii obiective, proporționale și verificabile.</w:t>
            </w:r>
          </w:p>
          <w:p w14:paraId="76C6F97A" w14:textId="5116F0F8" w:rsidR="00A06816" w:rsidRPr="000E14F1" w:rsidRDefault="00A06816" w:rsidP="00A06816">
            <w:pPr>
              <w:ind w:firstLine="0"/>
            </w:pPr>
            <w:r w:rsidRPr="000E14F1">
              <w:t xml:space="preserve">În context se remarcă faptul că, proiectul creează premisele în care instituțiile de credit pot avea concomitent calitatea de furnizori ai infrastructurii bancare necesare funcționării pieței </w:t>
            </w:r>
            <w:proofErr w:type="spellStart"/>
            <w:r w:rsidRPr="000E14F1">
              <w:t>criptoactivelor</w:t>
            </w:r>
            <w:proofErr w:type="spellEnd"/>
            <w:r w:rsidRPr="000E14F1">
              <w:t xml:space="preserve"> și</w:t>
            </w:r>
          </w:p>
          <w:p w14:paraId="06CFAB5D" w14:textId="127ECF52" w:rsidR="00A06816" w:rsidRPr="000E14F1" w:rsidRDefault="00A06816" w:rsidP="00A06816">
            <w:pPr>
              <w:ind w:firstLine="0"/>
            </w:pPr>
            <w:r w:rsidRPr="000E14F1">
              <w:t xml:space="preserve">calitatea de furnizori de servicii privind </w:t>
            </w:r>
            <w:proofErr w:type="spellStart"/>
            <w:r w:rsidRPr="000E14F1">
              <w:t>criptoactivele</w:t>
            </w:r>
            <w:proofErr w:type="spellEnd"/>
            <w:r w:rsidRPr="000E14F1">
              <w:t>, fără a institui garanții privind respectarea principiilor concurenței loiale, tratamentului egal și nediscriminatoriu față de ceilalți furnizori autorizați. În lipsa unor</w:t>
            </w:r>
          </w:p>
          <w:p w14:paraId="7D738B98" w14:textId="288F1AAE" w:rsidR="00A06816" w:rsidRPr="000E14F1" w:rsidRDefault="00A06816" w:rsidP="00A06816">
            <w:pPr>
              <w:ind w:firstLine="0"/>
            </w:pPr>
            <w:r w:rsidRPr="000E14F1">
              <w:lastRenderedPageBreak/>
              <w:t xml:space="preserve">asemenea reglementări, există riscul apariției unor practici neuniforme în accesul la serviciile bancare, ceea ce poate afecta funcționarea efectivă a pieței serviciilor privind </w:t>
            </w:r>
            <w:proofErr w:type="spellStart"/>
            <w:r w:rsidRPr="000E14F1">
              <w:t>criptoactivele</w:t>
            </w:r>
            <w:proofErr w:type="spellEnd"/>
            <w:r w:rsidRPr="000E14F1">
              <w:t xml:space="preserve"> și aplicarea uniformă a noului cadru normativ.</w:t>
            </w:r>
          </w:p>
          <w:p w14:paraId="54BF35A3" w14:textId="77777777" w:rsidR="00A06816" w:rsidRPr="000E14F1" w:rsidRDefault="00A06816" w:rsidP="00A06816">
            <w:pPr>
              <w:ind w:firstLine="0"/>
              <w:rPr>
                <w:b/>
                <w:bCs/>
              </w:rPr>
            </w:pPr>
            <w:r w:rsidRPr="000E14F1">
              <w:rPr>
                <w:b/>
                <w:bCs/>
              </w:rPr>
              <w:t>Recomandări:</w:t>
            </w:r>
          </w:p>
          <w:p w14:paraId="4BB518C5" w14:textId="7C61821D" w:rsidR="00A06816" w:rsidRPr="000E14F1" w:rsidRDefault="00A06816" w:rsidP="00A06816">
            <w:pPr>
              <w:ind w:firstLine="0"/>
            </w:pPr>
            <w:r w:rsidRPr="000E14F1">
              <w:t xml:space="preserve">În vederea asigurării unui cadru normativ complet și previzibil, se consideră oportună completarea proiectului cu dispoziții care să reglementeze expres relațiile dintre instituțiile de credit și furnizorii autorizați de servicii privind </w:t>
            </w:r>
            <w:proofErr w:type="spellStart"/>
            <w:r w:rsidRPr="000E14F1">
              <w:t>criptoactivele</w:t>
            </w:r>
            <w:proofErr w:type="spellEnd"/>
            <w:r w:rsidRPr="000E14F1">
              <w:t>, inclusiv criteriile obiective și proporționale în baza cărora pot fi refuzate sau restricționate relațiile de afaceri, obligația motivării unor asemenea decizii, precum și garanțiile procedurale și căile de contestare de care beneficiază furnizorii autorizați.</w:t>
            </w:r>
          </w:p>
          <w:p w14:paraId="131C1E30" w14:textId="3FF6D360" w:rsidR="00A06816" w:rsidRPr="000E14F1" w:rsidRDefault="00A06816" w:rsidP="00A06816">
            <w:pPr>
              <w:ind w:firstLine="0"/>
            </w:pPr>
          </w:p>
        </w:tc>
        <w:tc>
          <w:tcPr>
            <w:tcW w:w="5281" w:type="dxa"/>
            <w:tcMar>
              <w:top w:w="0" w:type="dxa"/>
              <w:left w:w="108" w:type="dxa"/>
              <w:bottom w:w="0" w:type="dxa"/>
              <w:right w:w="108" w:type="dxa"/>
            </w:tcMar>
          </w:tcPr>
          <w:p w14:paraId="424F1B01" w14:textId="77777777" w:rsidR="00A06816" w:rsidRPr="000E14F1" w:rsidRDefault="00A06816" w:rsidP="00A06816">
            <w:pPr>
              <w:ind w:firstLine="0"/>
              <w:rPr>
                <w:b/>
                <w:bCs/>
                <w:iCs/>
              </w:rPr>
            </w:pPr>
            <w:r w:rsidRPr="000E14F1">
              <w:rPr>
                <w:b/>
                <w:bCs/>
                <w:iCs/>
              </w:rPr>
              <w:lastRenderedPageBreak/>
              <w:t>Nu se acceptă.</w:t>
            </w:r>
          </w:p>
          <w:p w14:paraId="480407B0" w14:textId="77777777" w:rsidR="00A06816" w:rsidRPr="000E14F1" w:rsidRDefault="00A06816" w:rsidP="00A06816">
            <w:pPr>
              <w:ind w:firstLine="0"/>
              <w:rPr>
                <w:iCs/>
              </w:rPr>
            </w:pPr>
            <w:r w:rsidRPr="000E14F1">
              <w:rPr>
                <w:iCs/>
              </w:rPr>
              <w:t xml:space="preserve">Art. 63 alin. (2) și (3) din proiect transpune art. 70 din </w:t>
            </w:r>
            <w:proofErr w:type="spellStart"/>
            <w:r w:rsidRPr="000E14F1">
              <w:rPr>
                <w:iCs/>
              </w:rPr>
              <w:t>MiCA</w:t>
            </w:r>
            <w:proofErr w:type="spellEnd"/>
            <w:r w:rsidRPr="000E14F1">
              <w:rPr>
                <w:iCs/>
              </w:rPr>
              <w:t xml:space="preserve"> și stabilește obligația furnizorilor de servicii de </w:t>
            </w:r>
            <w:proofErr w:type="spellStart"/>
            <w:r w:rsidRPr="000E14F1">
              <w:rPr>
                <w:iCs/>
              </w:rPr>
              <w:t>criptoactive</w:t>
            </w:r>
            <w:proofErr w:type="spellEnd"/>
            <w:r w:rsidRPr="000E14F1">
              <w:rPr>
                <w:iCs/>
              </w:rPr>
              <w:t xml:space="preserve"> de a proteja fondurile clienților prin păstrarea acestora la o instituție de credit sau la o bancă centrală, separat de fondurile proprii. Scopul acestor prevederi este protecția clienților și nu reglementarea relațiilor comerciale dintre instituțiile de credit și furnizorii de servicii de </w:t>
            </w:r>
            <w:proofErr w:type="spellStart"/>
            <w:r w:rsidRPr="000E14F1">
              <w:rPr>
                <w:iCs/>
              </w:rPr>
              <w:t>criptoactive</w:t>
            </w:r>
            <w:proofErr w:type="spellEnd"/>
            <w:r w:rsidRPr="000E14F1">
              <w:rPr>
                <w:iCs/>
              </w:rPr>
              <w:t xml:space="preserve"> (CASP).</w:t>
            </w:r>
          </w:p>
          <w:p w14:paraId="0A9EDC2A" w14:textId="77777777" w:rsidR="00A06816" w:rsidRPr="000E14F1" w:rsidRDefault="00A06816" w:rsidP="00A06816">
            <w:pPr>
              <w:ind w:firstLine="0"/>
              <w:rPr>
                <w:iCs/>
              </w:rPr>
            </w:pPr>
            <w:r w:rsidRPr="000E14F1">
              <w:rPr>
                <w:iCs/>
              </w:rPr>
              <w:t xml:space="preserve">De asemenea, art. 54 din proiect, care transpune art. 60 din </w:t>
            </w:r>
            <w:proofErr w:type="spellStart"/>
            <w:r w:rsidRPr="000E14F1">
              <w:rPr>
                <w:iCs/>
              </w:rPr>
              <w:t>MiCA</w:t>
            </w:r>
            <w:proofErr w:type="spellEnd"/>
            <w:r w:rsidRPr="000E14F1">
              <w:rPr>
                <w:iCs/>
              </w:rPr>
              <w:t xml:space="preserve">, reglementează condițiile în care anumite entități financiare pot presta servicii de </w:t>
            </w:r>
            <w:proofErr w:type="spellStart"/>
            <w:r w:rsidRPr="000E14F1">
              <w:rPr>
                <w:iCs/>
              </w:rPr>
              <w:t>criptoactive</w:t>
            </w:r>
            <w:proofErr w:type="spellEnd"/>
            <w:r w:rsidRPr="000E14F1">
              <w:rPr>
                <w:iCs/>
              </w:rPr>
              <w:t>. Acesta nu instituie obligații pentru instituțiile de credit de a deschide, menține sau furniza servicii bancare către CASP și nu creează un regim special al relațiilor dintre bănci și acești furnizori.</w:t>
            </w:r>
          </w:p>
          <w:p w14:paraId="054BE716" w14:textId="4A45AC2A" w:rsidR="00A06816" w:rsidRPr="000E14F1" w:rsidRDefault="00A06816" w:rsidP="00A06816">
            <w:pPr>
              <w:ind w:firstLine="0"/>
              <w:rPr>
                <w:iCs/>
              </w:rPr>
            </w:pPr>
            <w:r w:rsidRPr="000E14F1">
              <w:rPr>
                <w:iCs/>
              </w:rPr>
              <w:t xml:space="preserve">Aspectele privind deschiderea, menținerea, restricționarea sau încetarea relațiilor bancare, precum și expunerea instituțiilor de credit la riscurile asociate </w:t>
            </w:r>
            <w:proofErr w:type="spellStart"/>
            <w:r w:rsidRPr="000E14F1">
              <w:rPr>
                <w:iCs/>
              </w:rPr>
              <w:t>criptoactivelor</w:t>
            </w:r>
            <w:proofErr w:type="spellEnd"/>
            <w:r w:rsidRPr="000E14F1">
              <w:rPr>
                <w:iCs/>
              </w:rPr>
              <w:t xml:space="preserve"> sau serviciilor de </w:t>
            </w:r>
            <w:proofErr w:type="spellStart"/>
            <w:r w:rsidRPr="000E14F1">
              <w:rPr>
                <w:iCs/>
              </w:rPr>
              <w:t>criptoactive</w:t>
            </w:r>
            <w:proofErr w:type="spellEnd"/>
            <w:r w:rsidRPr="000E14F1">
              <w:rPr>
                <w:iCs/>
              </w:rPr>
              <w:t xml:space="preserve">, nu fac obiectul de reglementare al </w:t>
            </w:r>
            <w:proofErr w:type="spellStart"/>
            <w:r w:rsidRPr="000E14F1">
              <w:rPr>
                <w:iCs/>
              </w:rPr>
              <w:t>MiCA</w:t>
            </w:r>
            <w:proofErr w:type="spellEnd"/>
            <w:r w:rsidRPr="000E14F1">
              <w:rPr>
                <w:iCs/>
              </w:rPr>
              <w:t xml:space="preserve"> și nici al prezentului proiect de lege. Aceste aspecte sunt reglementate prin cadrul aplicabil activității bancare, inclusiv care urmează să transpună și să pună în aplicare cerințele europene din pachetul bancar, respectiv Regulamentul privind cerințele de capital (CRR III) și Directiva privind cerințele de capital (CRD VI), precum și prin normele prudențiale și cerințele AML/CFT.</w:t>
            </w:r>
          </w:p>
          <w:p w14:paraId="5A53761E" w14:textId="77777777" w:rsidR="00A06816" w:rsidRPr="000E14F1" w:rsidRDefault="00A06816" w:rsidP="00A06816">
            <w:pPr>
              <w:ind w:firstLine="0"/>
              <w:rPr>
                <w:iCs/>
              </w:rPr>
            </w:pPr>
            <w:r w:rsidRPr="000E14F1">
              <w:rPr>
                <w:iCs/>
              </w:rPr>
              <w:lastRenderedPageBreak/>
              <w:t xml:space="preserve">În acest context, instituțiile de credit trebuie să își poată gestiona riscurile în baza cadrului sectorial aplicabil și să adopte măsurile necesare atunci când acestea sunt justificate din perspectiva riscurilor prudențiale, operaționale, de conformitate sau de prevenire a spălării banilor și finanțării terorismului. Introducerea în proiect a unor obligații speciale privind acceptarea sau menținerea relațiilor bancare cu CASP ar depăși obiectul </w:t>
            </w:r>
            <w:proofErr w:type="spellStart"/>
            <w:r w:rsidRPr="000E14F1">
              <w:rPr>
                <w:iCs/>
              </w:rPr>
              <w:t>MiCA</w:t>
            </w:r>
            <w:proofErr w:type="spellEnd"/>
            <w:r w:rsidRPr="000E14F1">
              <w:rPr>
                <w:iCs/>
              </w:rPr>
              <w:t xml:space="preserve"> și ar crea suprapuneri cu legislația bancară existentă.</w:t>
            </w:r>
          </w:p>
          <w:p w14:paraId="38BEC7C4" w14:textId="0AA51E49" w:rsidR="00A06816" w:rsidRPr="000E14F1" w:rsidRDefault="00A06816" w:rsidP="00A06816">
            <w:pPr>
              <w:ind w:firstLine="0"/>
              <w:rPr>
                <w:b/>
                <w:bCs/>
                <w:iCs/>
              </w:rPr>
            </w:pPr>
            <w:r w:rsidRPr="000E14F1">
              <w:rPr>
                <w:iCs/>
              </w:rPr>
              <w:t xml:space="preserve">Prin urmare, completarea proiectului cu dispoziții referitoare la obligațiile instituțiilor de credit față de CASP, criteriile de refuz al relațiilor bancare sau mecanisme speciale de contestare nu este justificată în cadrul prezentului proiect de Lege. Aceste aspecte țin de cadrul normativ specific activității bancare și de competențele autorității de supraveghere a acestui sector, care pot fi dezvoltate prin acte normative subsecvente emise de autoritățile competente, fără extinderea obiectului legii privind piața </w:t>
            </w:r>
            <w:proofErr w:type="spellStart"/>
            <w:r w:rsidRPr="000E14F1">
              <w:rPr>
                <w:iCs/>
              </w:rPr>
              <w:t>criptoactivelor</w:t>
            </w:r>
            <w:proofErr w:type="spellEnd"/>
            <w:r w:rsidRPr="000E14F1">
              <w:rPr>
                <w:iCs/>
              </w:rPr>
              <w:t>.</w:t>
            </w:r>
          </w:p>
        </w:tc>
      </w:tr>
      <w:tr w:rsidR="00A06816" w:rsidRPr="0026420A" w14:paraId="0196CE31" w14:textId="77777777" w:rsidTr="000A671F">
        <w:trPr>
          <w:trHeight w:val="615"/>
        </w:trPr>
        <w:tc>
          <w:tcPr>
            <w:tcW w:w="2206" w:type="dxa"/>
            <w:tcBorders>
              <w:top w:val="nil"/>
            </w:tcBorders>
            <w:tcMar>
              <w:top w:w="0" w:type="dxa"/>
              <w:left w:w="108" w:type="dxa"/>
              <w:bottom w:w="0" w:type="dxa"/>
              <w:right w:w="108" w:type="dxa"/>
            </w:tcMar>
          </w:tcPr>
          <w:p w14:paraId="6D7D729C"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00A2A9E9"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7697D804" w14:textId="77777777" w:rsidR="00A06816" w:rsidRPr="000E14F1" w:rsidRDefault="00A06816" w:rsidP="00A06816">
            <w:pPr>
              <w:ind w:firstLine="0"/>
              <w:rPr>
                <w:b/>
                <w:bCs/>
              </w:rPr>
            </w:pPr>
            <w:r w:rsidRPr="000E14F1">
              <w:rPr>
                <w:b/>
                <w:bCs/>
              </w:rPr>
              <w:t>Art.68 alin.(1)-(2)</w:t>
            </w:r>
          </w:p>
          <w:p w14:paraId="66884485" w14:textId="77777777" w:rsidR="00A06816" w:rsidRPr="000E14F1" w:rsidRDefault="00A06816" w:rsidP="00A06816">
            <w:pPr>
              <w:ind w:firstLine="0"/>
              <w:rPr>
                <w:b/>
                <w:bCs/>
              </w:rPr>
            </w:pPr>
            <w:r w:rsidRPr="000E14F1">
              <w:rPr>
                <w:b/>
                <w:bCs/>
              </w:rPr>
              <w:t>Obiecții:</w:t>
            </w:r>
          </w:p>
          <w:p w14:paraId="2EA2B0C0" w14:textId="27F96102" w:rsidR="00A06816" w:rsidRPr="000E14F1" w:rsidRDefault="00A06816" w:rsidP="00A06816">
            <w:pPr>
              <w:ind w:firstLine="0"/>
            </w:pPr>
            <w:r w:rsidRPr="000E14F1">
              <w:t>Deși textul propus transpune, cerințele minime prevăzute la art. 68 din Regulamentul (UE) 2023/1114 (</w:t>
            </w:r>
            <w:proofErr w:type="spellStart"/>
            <w:r w:rsidRPr="000E14F1">
              <w:t>MiCA</w:t>
            </w:r>
            <w:proofErr w:type="spellEnd"/>
            <w:r w:rsidRPr="000E14F1">
              <w:t>), se remarcă faptul că din perspectiva standardelor internaționale de integritate și a practicilor</w:t>
            </w:r>
          </w:p>
          <w:p w14:paraId="2FED2C83" w14:textId="3BF59408" w:rsidR="00A06816" w:rsidRPr="000E14F1" w:rsidRDefault="00A06816" w:rsidP="00A06816">
            <w:pPr>
              <w:ind w:firstLine="0"/>
            </w:pPr>
            <w:r w:rsidRPr="000E14F1">
              <w:t>consacrate în domeniul supravegherii financiare, reputația unei persoane nu este evaluată exclusiv prin prisma existenței unor condamnări definitive, ci prin analiza unui spectru mai larg de circumstanțe relevante</w:t>
            </w:r>
          </w:p>
          <w:p w14:paraId="38D16F56" w14:textId="77777777" w:rsidR="00A06816" w:rsidRPr="000E14F1" w:rsidRDefault="00A06816" w:rsidP="00A06816">
            <w:pPr>
              <w:ind w:firstLine="0"/>
            </w:pPr>
            <w:r w:rsidRPr="000E14F1">
              <w:t xml:space="preserve">pentru aprecierea integrității, conduitei profesionale și a riscurilor </w:t>
            </w:r>
            <w:proofErr w:type="spellStart"/>
            <w:r w:rsidRPr="000E14F1">
              <w:t>reputaționale</w:t>
            </w:r>
            <w:proofErr w:type="spellEnd"/>
            <w:r w:rsidRPr="000E14F1">
              <w:t xml:space="preserve"> asociate.</w:t>
            </w:r>
          </w:p>
          <w:p w14:paraId="30B60175" w14:textId="2BCEE184" w:rsidR="00A06816" w:rsidRPr="000E14F1" w:rsidRDefault="00A06816" w:rsidP="00A06816">
            <w:pPr>
              <w:ind w:firstLine="0"/>
            </w:pPr>
            <w:r w:rsidRPr="000E14F1">
              <w:t xml:space="preserve">Astfel, potrivit Ghidurilor comune EBA–ESMA privind evaluarea adecvării membrilor organelor de conducere și a titularilor funcțiilor-cheie (EBA/GL/2021/06), precum și Ghidului BCE privind evaluarea „fit </w:t>
            </w:r>
            <w:proofErr w:type="spellStart"/>
            <w:r w:rsidRPr="000E14F1">
              <w:t>and</w:t>
            </w:r>
            <w:proofErr w:type="spellEnd"/>
            <w:r w:rsidRPr="000E14F1">
              <w:t xml:space="preserve"> </w:t>
            </w:r>
            <w:proofErr w:type="spellStart"/>
            <w:r w:rsidRPr="000E14F1">
              <w:t>proper</w:t>
            </w:r>
            <w:proofErr w:type="spellEnd"/>
            <w:r w:rsidRPr="000E14F1">
              <w:t xml:space="preserve">” (2021), aprecierea reputației nu se limitează la verificarea existenței unor condamnări definitive, ci presupune examinarea tuturor informațiilor relevante privind integritatea și conduita persoanei, inclusiv a procedurilor penale, administrative sau de supraveghere relevante, a sancțiunilor aplicate de autorități competente și a altor circumstanțe susceptibile să genereze riscuri </w:t>
            </w:r>
            <w:proofErr w:type="spellStart"/>
            <w:r w:rsidRPr="000E14F1">
              <w:t>reputaționale</w:t>
            </w:r>
            <w:proofErr w:type="spellEnd"/>
            <w:r w:rsidRPr="000E14F1">
              <w:t>.</w:t>
            </w:r>
          </w:p>
          <w:p w14:paraId="0DD2D308" w14:textId="51EDE47B" w:rsidR="00A06816" w:rsidRPr="000E14F1" w:rsidRDefault="00A06816" w:rsidP="00A06816">
            <w:pPr>
              <w:ind w:firstLine="0"/>
            </w:pPr>
            <w:r w:rsidRPr="000E14F1">
              <w:t xml:space="preserve">O abordare limitată doar la antecedentele penale definitive poate conduce la situații în care persoane aflate sub investigație pentru </w:t>
            </w:r>
            <w:r w:rsidRPr="000E14F1">
              <w:lastRenderedPageBreak/>
              <w:t xml:space="preserve">infracțiuni grave de corupție, fraudă, spălare a banilor, criminalitate organizată sau alte infracțiuni </w:t>
            </w:r>
            <w:proofErr w:type="spellStart"/>
            <w:r w:rsidRPr="000E14F1">
              <w:t>economico</w:t>
            </w:r>
            <w:proofErr w:type="spellEnd"/>
            <w:r w:rsidRPr="000E14F1">
              <w:t xml:space="preserve">-financiare să poată exercita funcții de conducere ori să dețină controlul asupra unui furnizor de servicii de </w:t>
            </w:r>
            <w:proofErr w:type="spellStart"/>
            <w:r w:rsidRPr="000E14F1">
              <w:t>criptoactive</w:t>
            </w:r>
            <w:proofErr w:type="spellEnd"/>
            <w:r w:rsidRPr="000E14F1">
              <w:t xml:space="preserve"> pe durata desfășurării procedurilor de investigare și judecată.</w:t>
            </w:r>
          </w:p>
          <w:p w14:paraId="7AAAFAA4" w14:textId="7E539444" w:rsidR="00A06816" w:rsidRPr="000E14F1" w:rsidRDefault="00A06816" w:rsidP="00A06816">
            <w:pPr>
              <w:ind w:firstLine="0"/>
            </w:pPr>
            <w:proofErr w:type="spellStart"/>
            <w:r w:rsidRPr="000E14F1">
              <w:t>Ținînd</w:t>
            </w:r>
            <w:proofErr w:type="spellEnd"/>
            <w:r w:rsidRPr="000E14F1">
              <w:t xml:space="preserve"> cont de faptul că domeniul este expus unor riscuri sporite de spălare a banilor, fraudă și disimulare a provenienței fondurilor, limitarea criteriului reputației exclusiv la inexistența unor condamnări definitive poate determina instituirea unui standard de evaluare mai puțin riguros decât cel aplicabil altor segmente ale sectorului financiar reglementat.</w:t>
            </w:r>
          </w:p>
          <w:p w14:paraId="0C5E63C3" w14:textId="77777777" w:rsidR="00A06816" w:rsidRPr="000E14F1" w:rsidRDefault="00A06816" w:rsidP="00A06816">
            <w:pPr>
              <w:ind w:firstLine="0"/>
              <w:rPr>
                <w:b/>
                <w:bCs/>
              </w:rPr>
            </w:pPr>
            <w:r w:rsidRPr="000E14F1">
              <w:rPr>
                <w:b/>
                <w:bCs/>
              </w:rPr>
              <w:t>Recomandări:</w:t>
            </w:r>
          </w:p>
          <w:p w14:paraId="7B5CFE06" w14:textId="347C90BA" w:rsidR="00A06816" w:rsidRPr="000E14F1" w:rsidRDefault="00A06816" w:rsidP="00A06816">
            <w:pPr>
              <w:ind w:firstLine="0"/>
            </w:pPr>
            <w:r w:rsidRPr="000E14F1">
              <w:t>Aprecierea utilității completării textului cu dispoziții care să permită autorității competente să ia în considerare, în cadrul evaluării reputației, existența unor investigații, proceduri judiciare, administrative sau sancționatorii relevante, în măsura în care acestea furnizează indicii obiective privind riscuri de integritate, cu respectarea deplină a principiului constituțional al prezumției de nevinovăție.</w:t>
            </w:r>
          </w:p>
        </w:tc>
        <w:tc>
          <w:tcPr>
            <w:tcW w:w="5281" w:type="dxa"/>
            <w:tcMar>
              <w:top w:w="0" w:type="dxa"/>
              <w:left w:w="108" w:type="dxa"/>
              <w:bottom w:w="0" w:type="dxa"/>
              <w:right w:w="108" w:type="dxa"/>
            </w:tcMar>
          </w:tcPr>
          <w:p w14:paraId="3077E81E" w14:textId="184CECCC" w:rsidR="00A06816" w:rsidRPr="000E14F1" w:rsidRDefault="00A06816" w:rsidP="00A06816">
            <w:pPr>
              <w:ind w:firstLine="0"/>
              <w:rPr>
                <w:b/>
                <w:bCs/>
                <w:iCs/>
              </w:rPr>
            </w:pPr>
            <w:r w:rsidRPr="000E14F1">
              <w:rPr>
                <w:b/>
                <w:bCs/>
                <w:iCs/>
              </w:rPr>
              <w:lastRenderedPageBreak/>
              <w:t>Nu se acceptă</w:t>
            </w:r>
          </w:p>
          <w:p w14:paraId="5037BCCE" w14:textId="7A660D30" w:rsidR="00A06816" w:rsidRPr="000E14F1" w:rsidRDefault="00A06816" w:rsidP="00A06816">
            <w:pPr>
              <w:ind w:firstLine="0"/>
              <w:rPr>
                <w:iCs/>
              </w:rPr>
            </w:pPr>
            <w:r w:rsidRPr="000E14F1">
              <w:rPr>
                <w:iCs/>
              </w:rPr>
              <w:t>Cu titlu informativ, se precizează că trimiterea din obiecție la art. 68 alin. (1)–(2) este eronată, prevederile efectiv vizate fiind art. 61 alin. (1)–(2), care reglementează cerințele în materia cadrului de guvernanță.</w:t>
            </w:r>
          </w:p>
          <w:p w14:paraId="65A04303" w14:textId="1DFDD27D" w:rsidR="00A06816" w:rsidRPr="000E14F1" w:rsidRDefault="00A06816" w:rsidP="00A06816">
            <w:pPr>
              <w:ind w:firstLine="0"/>
              <w:rPr>
                <w:iCs/>
              </w:rPr>
            </w:pPr>
            <w:r w:rsidRPr="000E14F1">
              <w:rPr>
                <w:iCs/>
              </w:rPr>
              <w:t xml:space="preserve">Pe fond, observația este relevantă în partea în care subliniază că evaluarea reputației nu trebuie redusă exclusiv la existența condamnărilor definitive. Totuși, nu se impune modificarea art. 61 alin. (1)–(2), întrucât textul transpune fidel art. 68 din </w:t>
            </w:r>
            <w:proofErr w:type="spellStart"/>
            <w:r w:rsidRPr="000E14F1">
              <w:rPr>
                <w:iCs/>
              </w:rPr>
              <w:t>MiCA</w:t>
            </w:r>
            <w:proofErr w:type="spellEnd"/>
            <w:r w:rsidRPr="000E14F1">
              <w:rPr>
                <w:iCs/>
              </w:rPr>
              <w:t>, iar utilizarea formulei „în special” arată că lipsa condamnărilor pentru infracțiuni relevante constituie un criteriu minim</w:t>
            </w:r>
            <w:r w:rsidRPr="000E14F1">
              <w:t xml:space="preserve"> </w:t>
            </w:r>
            <w:r w:rsidRPr="000E14F1">
              <w:rPr>
                <w:iCs/>
              </w:rPr>
              <w:t>din interiorul acestui standard, nu o listă exhaustivă a elementelor care pot fi avute în vedere la evaluarea reputației.</w:t>
            </w:r>
          </w:p>
          <w:p w14:paraId="17BB752F" w14:textId="6382A2E6" w:rsidR="00A06816" w:rsidRPr="000E14F1" w:rsidRDefault="00A06816" w:rsidP="00A06816">
            <w:pPr>
              <w:ind w:firstLine="0"/>
              <w:rPr>
                <w:iCs/>
              </w:rPr>
            </w:pPr>
            <w:r w:rsidRPr="000E14F1">
              <w:rPr>
                <w:iCs/>
              </w:rPr>
              <w:t xml:space="preserve">Suplimentar, proiectul trebuie analizat sistemic, nu izolat. Art. 56 alin. (3) prevede deja obligația solicitantului de a prezenta dovezi privind absența antecedentelor penale și a sancțiunilor relevante pentru membrii organului de conducere, acționarii și asociații care dețin participații calificate, inclusiv în raport cu legislația comercială, insolvabilitatea, domeniul financiar și piața de capital, prevenirea spălării banilor și finanțării terorismului, frauda și răspunderea profesională. Totodată, art. 56 alin. (4) permite Comisiei Naționale să detalieze, prin acte </w:t>
            </w:r>
            <w:r w:rsidRPr="000E14F1">
              <w:rPr>
                <w:iCs/>
              </w:rPr>
              <w:lastRenderedPageBreak/>
              <w:t>normative, informațiile necesare pentru evaluarea acestor cerințe.</w:t>
            </w:r>
          </w:p>
          <w:p w14:paraId="0904A6FD" w14:textId="520738A9" w:rsidR="00A06816" w:rsidRPr="000E14F1" w:rsidRDefault="00A06816" w:rsidP="00A06816">
            <w:pPr>
              <w:ind w:firstLine="0"/>
              <w:rPr>
                <w:iCs/>
              </w:rPr>
            </w:pPr>
            <w:r w:rsidRPr="000E14F1">
              <w:rPr>
                <w:iCs/>
              </w:rPr>
              <w:t xml:space="preserve">Prin urmare, aspectele privind luarea în considerare a investigațiilor, procedurilor judiciare, administrative sau de supraveghere relevante pot fi dezvoltate prin cadrul normativ secundar, cu respectarea prezumției de nevinovăție, a proporționalității, a dreptului la apărare și a caracterului obiectiv și documentat al informațiilor analizate. Simpla existență a unei investigații nu trebuie să constituie, prin ea însăși, un temei automat de neeligibilitate, însă poate fi avută în vedere dacă furnizează indicii obiective, relevante și demonstrabile privind riscuri de integritate sau </w:t>
            </w:r>
            <w:proofErr w:type="spellStart"/>
            <w:r w:rsidRPr="000E14F1">
              <w:rPr>
                <w:iCs/>
              </w:rPr>
              <w:t>reputaționale</w:t>
            </w:r>
            <w:proofErr w:type="spellEnd"/>
            <w:r w:rsidRPr="000E14F1">
              <w:rPr>
                <w:iCs/>
              </w:rPr>
              <w:t>.</w:t>
            </w:r>
          </w:p>
          <w:p w14:paraId="398A16BB" w14:textId="075FD5EE" w:rsidR="00A06816" w:rsidRPr="000E14F1" w:rsidRDefault="00A06816" w:rsidP="00A06816">
            <w:pPr>
              <w:ind w:firstLine="0"/>
              <w:rPr>
                <w:iCs/>
              </w:rPr>
            </w:pPr>
            <w:r w:rsidRPr="000E14F1">
              <w:rPr>
                <w:iCs/>
              </w:rPr>
              <w:t xml:space="preserve">În consecință, nu se acceptă o enumerare detaliată a tuturor circumstanțelor care pot fi analizate la evaluarea reputației, deoarece aceasta ar încărca legea primară și ar putea rigidiza nejustificat procesul de evaluare. Observația se valorifică la nivelul actelor normative subsecvente privind metodologia și cerințele de evaluare a caracterului adecvat al membrilor organului de conducere și al persoanelor care dețin participații calificate. </w:t>
            </w:r>
          </w:p>
        </w:tc>
      </w:tr>
      <w:tr w:rsidR="00A06816" w:rsidRPr="0026420A" w14:paraId="632D1B13" w14:textId="77777777" w:rsidTr="001F4857">
        <w:trPr>
          <w:trHeight w:val="615"/>
        </w:trPr>
        <w:tc>
          <w:tcPr>
            <w:tcW w:w="2206" w:type="dxa"/>
            <w:tcMar>
              <w:top w:w="0" w:type="dxa"/>
              <w:left w:w="108" w:type="dxa"/>
              <w:bottom w:w="0" w:type="dxa"/>
              <w:right w:w="108" w:type="dxa"/>
            </w:tcMar>
          </w:tcPr>
          <w:p w14:paraId="6F9ACEFC"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2103878B"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78A9CCE2" w14:textId="77777777" w:rsidR="00A06816" w:rsidRPr="000E14F1" w:rsidRDefault="00A06816" w:rsidP="00A06816">
            <w:pPr>
              <w:ind w:firstLine="0"/>
              <w:rPr>
                <w:b/>
                <w:bCs/>
              </w:rPr>
            </w:pPr>
            <w:r w:rsidRPr="000E14F1">
              <w:rPr>
                <w:b/>
                <w:bCs/>
              </w:rPr>
              <w:t>Art.69 alin.(8); Art.87</w:t>
            </w:r>
          </w:p>
          <w:p w14:paraId="1C5D6434" w14:textId="77777777" w:rsidR="00A06816" w:rsidRPr="000E14F1" w:rsidRDefault="00A06816" w:rsidP="00A06816">
            <w:pPr>
              <w:ind w:firstLine="0"/>
              <w:rPr>
                <w:b/>
                <w:bCs/>
              </w:rPr>
            </w:pPr>
            <w:r w:rsidRPr="000E14F1">
              <w:rPr>
                <w:b/>
                <w:bCs/>
              </w:rPr>
              <w:t>Obiecții:</w:t>
            </w:r>
          </w:p>
          <w:p w14:paraId="64938AB2" w14:textId="523C805D" w:rsidR="00A06816" w:rsidRPr="000E14F1" w:rsidRDefault="00A06816" w:rsidP="00A06816">
            <w:pPr>
              <w:ind w:firstLine="0"/>
            </w:pPr>
            <w:r w:rsidRPr="000E14F1">
              <w:t>Prevederile proiectului reglementează obligația de detectare și notificare a suspiciunilor de abuz de piață, însă nu reglementează în mod suficient etapa ulterioară notificării, respectiv procedura de examinare, investigare și valorificare a informațiilor primite de către autoritatea competentă (i) evaluarea preliminară a notificărilor și criteriile de apreciere a caracterului întemeiat al suspiciunii raportate; ii) inițiere ași</w:t>
            </w:r>
          </w:p>
          <w:p w14:paraId="34AEA856" w14:textId="1E597D9A" w:rsidR="00A06816" w:rsidRPr="000E14F1" w:rsidRDefault="00A06816" w:rsidP="00A06816">
            <w:pPr>
              <w:ind w:firstLine="0"/>
            </w:pPr>
            <w:r w:rsidRPr="000E14F1">
              <w:t>desfășurarea investigațiilor privind posibilele cazuri de utilizare a informațiilor privilegiate, manipulare a pieței sau divulgare ilicită a informațiilor privilegiate; iii) drepturile și obligațiile persoanelor vizate în cadrul procedurii de investigare; măsurile preventive sau de intervenție pe care autoritatea competentă le poate dispune pe durata examinării cazului; iv) termenele procedurale de examinare a notificărilor și de adoptare a deciziilor).</w:t>
            </w:r>
          </w:p>
          <w:p w14:paraId="6B87D4F9" w14:textId="704F041A" w:rsidR="00A06816" w:rsidRPr="000E14F1" w:rsidRDefault="00A06816" w:rsidP="00A06816">
            <w:pPr>
              <w:ind w:firstLine="0"/>
            </w:pPr>
            <w:r w:rsidRPr="000E14F1">
              <w:t>Carența prenotată, periclitează eficiența mecanismului de supraveghere și riscă să transforme notificarea într-o obligație formală, lipsită de o arhitectură procedurală suficientă pentru atingerea obiectivului urmărit</w:t>
            </w:r>
          </w:p>
          <w:p w14:paraId="55024213" w14:textId="77777777" w:rsidR="00A06816" w:rsidRPr="000E14F1" w:rsidRDefault="00A06816" w:rsidP="00A06816">
            <w:pPr>
              <w:ind w:firstLine="0"/>
            </w:pPr>
            <w:r w:rsidRPr="000E14F1">
              <w:lastRenderedPageBreak/>
              <w:t xml:space="preserve">de lege – protejarea integrității pieței </w:t>
            </w:r>
            <w:proofErr w:type="spellStart"/>
            <w:r w:rsidRPr="000E14F1">
              <w:t>criptoactivelor</w:t>
            </w:r>
            <w:proofErr w:type="spellEnd"/>
            <w:r w:rsidRPr="000E14F1">
              <w:t xml:space="preserve"> și prevenirea manipulării pieței.</w:t>
            </w:r>
          </w:p>
          <w:p w14:paraId="668C3D07" w14:textId="5C8B4303" w:rsidR="00A06816" w:rsidRPr="000E14F1" w:rsidRDefault="00A06816" w:rsidP="00A06816">
            <w:pPr>
              <w:ind w:firstLine="0"/>
            </w:pPr>
            <w:r w:rsidRPr="000E14F1">
              <w:t xml:space="preserve">Omisiunile legiuitorului de a reglementa aspecte ale </w:t>
            </w:r>
            <w:proofErr w:type="spellStart"/>
            <w:r w:rsidRPr="000E14F1">
              <w:t>relaţiilor</w:t>
            </w:r>
            <w:proofErr w:type="spellEnd"/>
            <w:r w:rsidRPr="000E14F1">
              <w:t xml:space="preserve"> sociale, </w:t>
            </w:r>
            <w:proofErr w:type="spellStart"/>
            <w:r w:rsidRPr="000E14F1">
              <w:t>existenţa</w:t>
            </w:r>
            <w:proofErr w:type="spellEnd"/>
            <w:r w:rsidRPr="000E14F1">
              <w:t xml:space="preserve"> cărora rezultă din realitatea obiectivă sau din alte prevederi ale </w:t>
            </w:r>
            <w:proofErr w:type="spellStart"/>
            <w:r w:rsidRPr="000E14F1">
              <w:t>aceluiaşi</w:t>
            </w:r>
            <w:proofErr w:type="spellEnd"/>
            <w:r w:rsidRPr="000E14F1">
              <w:t xml:space="preserve"> act, condiționează incertitudine în </w:t>
            </w:r>
            <w:proofErr w:type="spellStart"/>
            <w:r w:rsidRPr="000E14F1">
              <w:t>relaţiile</w:t>
            </w:r>
            <w:proofErr w:type="spellEnd"/>
            <w:r w:rsidRPr="000E14F1">
              <w:t xml:space="preserve"> sociale, îndeosebi cele referitoare la mecanismele de realizare a drepturilor, de îndeplinire a </w:t>
            </w:r>
            <w:proofErr w:type="spellStart"/>
            <w:r w:rsidRPr="000E14F1">
              <w:t>obligaţiilor</w:t>
            </w:r>
            <w:proofErr w:type="spellEnd"/>
            <w:r w:rsidRPr="000E14F1">
              <w:t xml:space="preserve">, ambiguitatea </w:t>
            </w:r>
            <w:proofErr w:type="spellStart"/>
            <w:r w:rsidRPr="000E14F1">
              <w:t>atribuţiilor</w:t>
            </w:r>
            <w:proofErr w:type="spellEnd"/>
            <w:r w:rsidRPr="000E14F1">
              <w:t xml:space="preserve"> </w:t>
            </w:r>
            <w:proofErr w:type="spellStart"/>
            <w:r w:rsidRPr="000E14F1">
              <w:t>funcţionarilor</w:t>
            </w:r>
            <w:proofErr w:type="spellEnd"/>
            <w:r w:rsidRPr="000E14F1">
              <w:t xml:space="preserve"> publici </w:t>
            </w:r>
            <w:proofErr w:type="spellStart"/>
            <w:r w:rsidRPr="000E14F1">
              <w:t>şi</w:t>
            </w:r>
            <w:proofErr w:type="spellEnd"/>
            <w:r w:rsidRPr="000E14F1">
              <w:t xml:space="preserve"> a procedurilor administrative de care ei sunt responsabili etc., </w:t>
            </w:r>
            <w:proofErr w:type="spellStart"/>
            <w:r w:rsidRPr="000E14F1">
              <w:t>situaţii</w:t>
            </w:r>
            <w:proofErr w:type="spellEnd"/>
            <w:r w:rsidRPr="000E14F1">
              <w:t xml:space="preserve"> în care </w:t>
            </w:r>
            <w:proofErr w:type="spellStart"/>
            <w:r w:rsidRPr="000E14F1">
              <w:t>autorităţile</w:t>
            </w:r>
            <w:proofErr w:type="spellEnd"/>
            <w:r w:rsidRPr="000E14F1">
              <w:t xml:space="preserve"> responsabile de executarea legii respective se pot prevala de această </w:t>
            </w:r>
            <w:proofErr w:type="spellStart"/>
            <w:r w:rsidRPr="000E14F1">
              <w:t>deficienţă</w:t>
            </w:r>
            <w:proofErr w:type="spellEnd"/>
            <w:r w:rsidRPr="000E14F1">
              <w:t xml:space="preserve"> pentru a comite abuzuri.</w:t>
            </w:r>
          </w:p>
          <w:p w14:paraId="5CCAA7AC" w14:textId="77777777" w:rsidR="00A06816" w:rsidRPr="000E14F1" w:rsidRDefault="00A06816" w:rsidP="00A06816">
            <w:pPr>
              <w:ind w:firstLine="0"/>
              <w:rPr>
                <w:b/>
                <w:bCs/>
              </w:rPr>
            </w:pPr>
            <w:r w:rsidRPr="000E14F1">
              <w:rPr>
                <w:b/>
                <w:bCs/>
              </w:rPr>
              <w:t>Recomandări:</w:t>
            </w:r>
          </w:p>
          <w:p w14:paraId="3921295F" w14:textId="77777777" w:rsidR="00A06816" w:rsidRPr="000E14F1" w:rsidRDefault="00A06816" w:rsidP="00A06816">
            <w:pPr>
              <w:ind w:firstLine="0"/>
            </w:pPr>
            <w:r w:rsidRPr="000E14F1">
              <w:t>Completarea proiectului cu norme care să reglementeze expres procedura de examinare a notificărilor privind suspiciunile de abuz de piață, competențele de investigație ale Comisiei Naționale, măsurile ce pot fi dispuse în cadrul investigației, precum și garanțiile procedurale aplicabile persoanelor vizate.</w:t>
            </w:r>
          </w:p>
          <w:p w14:paraId="6347A29C" w14:textId="77777777" w:rsidR="00A06816" w:rsidRPr="000E14F1" w:rsidRDefault="00A06816" w:rsidP="00A06816">
            <w:pPr>
              <w:ind w:firstLine="0"/>
            </w:pPr>
          </w:p>
          <w:p w14:paraId="2C3A76B4" w14:textId="77777777" w:rsidR="00A06816" w:rsidRPr="000E14F1" w:rsidRDefault="00A06816" w:rsidP="00A06816">
            <w:pPr>
              <w:ind w:firstLine="0"/>
            </w:pPr>
          </w:p>
          <w:p w14:paraId="56DE63AB" w14:textId="77777777" w:rsidR="00A06816" w:rsidRPr="000E14F1" w:rsidRDefault="00A06816" w:rsidP="00A06816">
            <w:pPr>
              <w:ind w:firstLine="0"/>
            </w:pPr>
          </w:p>
          <w:p w14:paraId="1F73ABDA" w14:textId="582FF8E0" w:rsidR="00A06816" w:rsidRPr="000E14F1" w:rsidRDefault="00A06816" w:rsidP="00A06816">
            <w:pPr>
              <w:ind w:firstLine="0"/>
            </w:pPr>
          </w:p>
        </w:tc>
        <w:tc>
          <w:tcPr>
            <w:tcW w:w="5281" w:type="dxa"/>
            <w:tcMar>
              <w:top w:w="0" w:type="dxa"/>
              <w:left w:w="108" w:type="dxa"/>
              <w:bottom w:w="0" w:type="dxa"/>
              <w:right w:w="108" w:type="dxa"/>
            </w:tcMar>
          </w:tcPr>
          <w:p w14:paraId="64C2909E" w14:textId="77777777" w:rsidR="00A06816" w:rsidRPr="000E14F1" w:rsidRDefault="00A06816" w:rsidP="00A06816">
            <w:pPr>
              <w:ind w:firstLine="0"/>
              <w:rPr>
                <w:iCs/>
              </w:rPr>
            </w:pPr>
            <w:r w:rsidRPr="000E14F1">
              <w:rPr>
                <w:b/>
                <w:bCs/>
                <w:iCs/>
              </w:rPr>
              <w:lastRenderedPageBreak/>
              <w:t>Nu se acceptă</w:t>
            </w:r>
            <w:r w:rsidRPr="000E14F1">
              <w:rPr>
                <w:iCs/>
              </w:rPr>
              <w:t>.</w:t>
            </w:r>
          </w:p>
          <w:p w14:paraId="1732DC8F" w14:textId="06EA0987" w:rsidR="00A06816" w:rsidRPr="000E14F1" w:rsidRDefault="00A06816" w:rsidP="00A06816">
            <w:pPr>
              <w:ind w:firstLine="0"/>
              <w:rPr>
                <w:iCs/>
              </w:rPr>
            </w:pPr>
            <w:r w:rsidRPr="000E14F1">
              <w:rPr>
                <w:iCs/>
              </w:rPr>
              <w:t xml:space="preserve">Cu titlu informativ, semnalăm că trimiterea din obiecție la „art. 87" nu corespunde numerotării proiectului; prevederile efectiv vizate sunt art. </w:t>
            </w:r>
            <w:r w:rsidRPr="000E14F1">
              <w:rPr>
                <w:b/>
                <w:bCs/>
                <w:iCs/>
              </w:rPr>
              <w:t>69 alin. (8) și art. 84</w:t>
            </w:r>
            <w:r w:rsidRPr="000E14F1">
              <w:rPr>
                <w:iCs/>
              </w:rPr>
              <w:t>.</w:t>
            </w:r>
          </w:p>
          <w:p w14:paraId="154427A7" w14:textId="2ADA2C28" w:rsidR="00A06816" w:rsidRPr="000E14F1" w:rsidRDefault="00A06816" w:rsidP="00A06816">
            <w:pPr>
              <w:ind w:firstLine="0"/>
              <w:rPr>
                <w:iCs/>
              </w:rPr>
            </w:pPr>
            <w:r w:rsidRPr="000E14F1">
              <w:rPr>
                <w:iCs/>
              </w:rPr>
              <w:t xml:space="preserve">Pe fond, observația pornește de la o premisă inexactă, aceea că proiectul s-ar opri la obligația de notificare, lăsând nereglementată etapa ulterioară. Aprecierea conținutului proiectului necesită o analiză sistemică și integrată a normelor propuse, iar nu examinarea izolată a unei singure dispoziții. Art. 69 alin. (8) și art. 84 reproduc art. 76 alin. (8) și art. 92 din Regulamentul (UE) 2023/1114 și instituie o obligație de conduită în sarcina operatorilor privați: detectarea și notificarea suspiciunilor de abuz de piață. Procedura administrativă care urmează notificării nu lipsește din proiect, aceasta este reglementată separat, la art. 86 unde stabilește competențele de investigație relevante, care înzestrează Comisia Națională cu un set substanțial de competențe de supraveghere, investigare și control special atașate capitolului privind abuzul de piață: accesul la documente și date, solicitarea de informații și audierea persoanelor, accesul în sedii și confiscarea de înscrisuri, sesizarea organelor de drept, înghețarea sau </w:t>
            </w:r>
            <w:r w:rsidRPr="000E14F1">
              <w:rPr>
                <w:iCs/>
              </w:rPr>
              <w:lastRenderedPageBreak/>
              <w:t>sechestrarea activelor, interdicția temporară de exercitare a activității profesionale și măsurile de informare corectă a publicului. Tot aici se regăsesc și garanțiile reclamate de obiecție: măsurile cele mai intruzive, precum accesul în sedii, ridicarea înregistrărilor de trafic, înghețarea activelor, care sunt condiționate de autorizarea instanței de judecată (art. 86 alin. 5), iar persoana care furnizează informații beneficiază de o clauză expresă de neincriminare (art. 86 alin. 9). La acestea se adaugă regimul măsurilor și sancțiunilor de la art. 97, care stabilește competența de constatare și paleta de măsuri și sancțiuni aplicabile încălcărilor art. 80–84.</w:t>
            </w:r>
          </w:p>
          <w:p w14:paraId="72B1F301" w14:textId="4321C3AB" w:rsidR="00A06816" w:rsidRPr="000E14F1" w:rsidRDefault="00A06816" w:rsidP="00A06816">
            <w:pPr>
              <w:ind w:firstLine="0"/>
              <w:rPr>
                <w:iCs/>
              </w:rPr>
            </w:pPr>
            <w:r w:rsidRPr="000E14F1">
              <w:rPr>
                <w:iCs/>
              </w:rPr>
              <w:t xml:space="preserve">Ceea ce obiecția reclamă ca lipsă - criteriile de evaluare preliminară a notificărilor, etapele concrete de investigare, termenele procedurale interne,  nu ține de nivelul legii primare. Însuși Regulamentul nu reglementează aceste aspecte la nivel primar: art. 92 alin. (2) și (3) </w:t>
            </w:r>
            <w:proofErr w:type="spellStart"/>
            <w:r w:rsidRPr="000E14F1">
              <w:rPr>
                <w:iCs/>
              </w:rPr>
              <w:t>MiCA</w:t>
            </w:r>
            <w:proofErr w:type="spellEnd"/>
            <w:r w:rsidRPr="000E14F1">
              <w:rPr>
                <w:iCs/>
              </w:rPr>
              <w:t xml:space="preserve"> le deleagă standardelor tehnice de reglementare și ghidurilor de supraveghere ESMA emise în temeiul art. 16 din Regulamentul (UE) nr. 1095/2010. Transpunerea fidelă a acestei arhitecturi pe niveluri este reflectată la art. 84 alin. (2), care abilitează expres Comisia Națională să dezvolte prin acte normative subsecvente exact aceste mecanisme, proceduri și modele, în aliniere cu viitoarele standarde și ghiduri europene. A pretinde reglementarea exhaustivă a procedurii în legea primară națională ar însemna o abatere de la structura </w:t>
            </w:r>
            <w:proofErr w:type="spellStart"/>
            <w:r w:rsidRPr="000E14F1">
              <w:rPr>
                <w:iCs/>
              </w:rPr>
              <w:t>MiCA</w:t>
            </w:r>
            <w:proofErr w:type="spellEnd"/>
            <w:r w:rsidRPr="000E14F1">
              <w:rPr>
                <w:iCs/>
              </w:rPr>
              <w:t>, generând totodată risc de divergență față de practica europeană de supraveghere. Garanțiile procedurale generale - dreptul la apărare, motivarea actelor, căile de contestare, acestea sunt, de altfel, deja asigurate de Codul administrativ, fără a fi necesară reproducerea lor într-o procedură specială.</w:t>
            </w:r>
          </w:p>
          <w:p w14:paraId="33948132" w14:textId="69A5E279" w:rsidR="00A06816" w:rsidRPr="000E14F1" w:rsidRDefault="00A06816" w:rsidP="00A06816">
            <w:pPr>
              <w:ind w:firstLine="0"/>
              <w:rPr>
                <w:iCs/>
              </w:rPr>
            </w:pPr>
            <w:r w:rsidRPr="000E14F1">
              <w:rPr>
                <w:iCs/>
              </w:rPr>
              <w:t xml:space="preserve">În concluzie, preocuparea privind efectivitatea mecanismului de supraveghere este legitimă, însă proiectul nu prezintă </w:t>
            </w:r>
            <w:proofErr w:type="spellStart"/>
            <w:r w:rsidRPr="000E14F1">
              <w:rPr>
                <w:iCs/>
              </w:rPr>
              <w:t>lacunade</w:t>
            </w:r>
            <w:proofErr w:type="spellEnd"/>
            <w:r w:rsidRPr="000E14F1">
              <w:rPr>
                <w:iCs/>
              </w:rPr>
              <w:t xml:space="preserve"> drept si riscurile invocate: competențele de investigație și garanțiile aferente sunt reglementate la art. 86, regimul sancționator la art. 97, iar detalierea operațională a procedurii de examinare a notificărilor urmează a fi realizată prin cadrul normativ secundar prevăzut chiar de art. 84 alin. (2), conform modelului stabilit de </w:t>
            </w:r>
            <w:proofErr w:type="spellStart"/>
            <w:r w:rsidRPr="000E14F1">
              <w:rPr>
                <w:iCs/>
              </w:rPr>
              <w:t>MiCA</w:t>
            </w:r>
            <w:proofErr w:type="spellEnd"/>
            <w:r w:rsidRPr="000E14F1">
              <w:rPr>
                <w:iCs/>
              </w:rPr>
              <w:t>.</w:t>
            </w:r>
          </w:p>
        </w:tc>
      </w:tr>
      <w:tr w:rsidR="00A06816" w:rsidRPr="0026420A" w14:paraId="3C6271AC" w14:textId="77777777" w:rsidTr="001F4857">
        <w:trPr>
          <w:trHeight w:val="615"/>
        </w:trPr>
        <w:tc>
          <w:tcPr>
            <w:tcW w:w="2206" w:type="dxa"/>
            <w:tcMar>
              <w:top w:w="0" w:type="dxa"/>
              <w:left w:w="108" w:type="dxa"/>
              <w:bottom w:w="0" w:type="dxa"/>
              <w:right w:w="108" w:type="dxa"/>
            </w:tcMar>
          </w:tcPr>
          <w:p w14:paraId="4E9A554D"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11C74FE7"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21C2F313" w14:textId="77777777" w:rsidR="00A06816" w:rsidRPr="000E14F1" w:rsidRDefault="00A06816" w:rsidP="00A06816">
            <w:pPr>
              <w:ind w:firstLine="0"/>
              <w:rPr>
                <w:b/>
                <w:bCs/>
              </w:rPr>
            </w:pPr>
            <w:r w:rsidRPr="000E14F1">
              <w:rPr>
                <w:b/>
                <w:bCs/>
              </w:rPr>
              <w:t xml:space="preserve">Art.86 alin.(4) </w:t>
            </w:r>
            <w:proofErr w:type="spellStart"/>
            <w:r w:rsidRPr="000E14F1">
              <w:rPr>
                <w:b/>
                <w:bCs/>
              </w:rPr>
              <w:t>lit.f</w:t>
            </w:r>
            <w:proofErr w:type="spellEnd"/>
            <w:r w:rsidRPr="000E14F1">
              <w:rPr>
                <w:b/>
                <w:bCs/>
              </w:rPr>
              <w:t>)</w:t>
            </w:r>
          </w:p>
          <w:p w14:paraId="0F46926A" w14:textId="77777777" w:rsidR="00A06816" w:rsidRPr="000E14F1" w:rsidRDefault="00A06816" w:rsidP="00A06816">
            <w:pPr>
              <w:ind w:firstLine="0"/>
              <w:rPr>
                <w:b/>
                <w:bCs/>
              </w:rPr>
            </w:pPr>
            <w:r w:rsidRPr="000E14F1">
              <w:rPr>
                <w:b/>
                <w:bCs/>
              </w:rPr>
              <w:t>Obiecții:</w:t>
            </w:r>
          </w:p>
          <w:p w14:paraId="7E4CB426" w14:textId="325C3DE4" w:rsidR="00A06816" w:rsidRPr="000E14F1" w:rsidRDefault="00A06816" w:rsidP="00A06816">
            <w:pPr>
              <w:ind w:firstLine="0"/>
            </w:pPr>
            <w:r w:rsidRPr="000E14F1">
              <w:lastRenderedPageBreak/>
              <w:t>Soluția normativă este în concordanță cu Regulamentul (UE) 2023/1114 (</w:t>
            </w:r>
            <w:proofErr w:type="spellStart"/>
            <w:r w:rsidRPr="000E14F1">
              <w:t>MiCA</w:t>
            </w:r>
            <w:proofErr w:type="spellEnd"/>
            <w:r w:rsidRPr="000E14F1">
              <w:t xml:space="preserve">), care conferă autorităților competente atribuții de intervenție menite să asigure funcționarea ordonată a pieței </w:t>
            </w:r>
            <w:proofErr w:type="spellStart"/>
            <w:r w:rsidRPr="000E14F1">
              <w:t>criptoactivelor</w:t>
            </w:r>
            <w:proofErr w:type="spellEnd"/>
            <w:r w:rsidRPr="000E14F1">
              <w:t xml:space="preserve"> și protecția investitorilor. Cu toate acestea, deși proiectul preia competența prevăzută de regulamentul european, acesta nu reglementează suficient de clar mecanismul juridic prin care măsura urmează să fie dispusă și executată în Republicii Moldova. Astfel, norma nu permite identificarea naturii juridice a solicitării formulate de autoritatea competentă, nefiind clar dacă aceasta constituie un act administrativ cu efecte executorii directe, un demers adresat unei instanțe de judecată sau unei alte autorități competente ori o etapă prealabilă unei proceduri distincte reglementate de legislația națională.</w:t>
            </w:r>
          </w:p>
          <w:p w14:paraId="390F5C85" w14:textId="0E952B6A" w:rsidR="00A06816" w:rsidRPr="000E14F1" w:rsidRDefault="00A06816" w:rsidP="00A06816">
            <w:pPr>
              <w:ind w:firstLine="0"/>
            </w:pPr>
            <w:r w:rsidRPr="000E14F1">
              <w:t>Totodată, potrivit cadrului național, termenul „înghețare” nu reprezintă o măsură generică de restricționare a circulației bunurilor sau fondurilor, ci desemnează o instituție juridică distinctă, consacrată de Legea nr.48/2017 privind Agenția de Recuperare a Bunurilor Infracționale (</w:t>
            </w:r>
            <w:r w:rsidRPr="000E14F1">
              <w:rPr>
                <w:i/>
                <w:iCs/>
              </w:rPr>
              <w:t xml:space="preserve">Articolul 6. Drepturile </w:t>
            </w:r>
            <w:proofErr w:type="spellStart"/>
            <w:r w:rsidRPr="000E14F1">
              <w:rPr>
                <w:i/>
                <w:iCs/>
              </w:rPr>
              <w:t>şi</w:t>
            </w:r>
            <w:proofErr w:type="spellEnd"/>
            <w:r w:rsidRPr="000E14F1">
              <w:rPr>
                <w:i/>
                <w:iCs/>
              </w:rPr>
              <w:t xml:space="preserve"> </w:t>
            </w:r>
            <w:proofErr w:type="spellStart"/>
            <w:r w:rsidRPr="000E14F1">
              <w:rPr>
                <w:i/>
                <w:iCs/>
              </w:rPr>
              <w:t>obligaţiile</w:t>
            </w:r>
            <w:proofErr w:type="spellEnd"/>
            <w:r w:rsidRPr="000E14F1">
              <w:rPr>
                <w:i/>
                <w:iCs/>
              </w:rPr>
              <w:t xml:space="preserve"> </w:t>
            </w:r>
            <w:proofErr w:type="spellStart"/>
            <w:r w:rsidRPr="000E14F1">
              <w:rPr>
                <w:i/>
                <w:iCs/>
              </w:rPr>
              <w:t>Agenţiei</w:t>
            </w:r>
            <w:proofErr w:type="spellEnd"/>
            <w:r w:rsidRPr="000E14F1">
              <w:rPr>
                <w:i/>
                <w:iCs/>
              </w:rPr>
              <w:t xml:space="preserve"> de Recuperare a Bunurilor </w:t>
            </w:r>
            <w:proofErr w:type="spellStart"/>
            <w:r w:rsidRPr="000E14F1">
              <w:rPr>
                <w:i/>
                <w:iCs/>
              </w:rPr>
              <w:t>Infracţionale</w:t>
            </w:r>
            <w:proofErr w:type="spellEnd"/>
            <w:r w:rsidRPr="000E14F1">
              <w:rPr>
                <w:i/>
                <w:iCs/>
              </w:rPr>
              <w:t xml:space="preserve"> (1) </w:t>
            </w:r>
            <w:proofErr w:type="spellStart"/>
            <w:r w:rsidRPr="000E14F1">
              <w:rPr>
                <w:i/>
                <w:iCs/>
              </w:rPr>
              <w:t>Agenţia</w:t>
            </w:r>
            <w:proofErr w:type="spellEnd"/>
            <w:r w:rsidRPr="000E14F1">
              <w:rPr>
                <w:i/>
                <w:iCs/>
              </w:rPr>
              <w:t xml:space="preserve"> de Recuperare a Bunurilor </w:t>
            </w:r>
            <w:proofErr w:type="spellStart"/>
            <w:r w:rsidRPr="000E14F1">
              <w:rPr>
                <w:i/>
                <w:iCs/>
              </w:rPr>
              <w:t>Infracţionale</w:t>
            </w:r>
            <w:proofErr w:type="spellEnd"/>
            <w:r w:rsidRPr="000E14F1">
              <w:rPr>
                <w:i/>
                <w:iCs/>
              </w:rPr>
              <w:t xml:space="preserve"> are următoarele drepturi: b) să decidă </w:t>
            </w:r>
            <w:proofErr w:type="spellStart"/>
            <w:r w:rsidRPr="000E14F1">
              <w:rPr>
                <w:i/>
                <w:iCs/>
              </w:rPr>
              <w:t>îngheţarea</w:t>
            </w:r>
            <w:proofErr w:type="spellEnd"/>
            <w:r w:rsidRPr="000E14F1">
              <w:rPr>
                <w:i/>
                <w:iCs/>
              </w:rPr>
              <w:t xml:space="preserve"> bunurilor </w:t>
            </w:r>
            <w:proofErr w:type="spellStart"/>
            <w:r w:rsidRPr="000E14F1">
              <w:rPr>
                <w:i/>
                <w:iCs/>
              </w:rPr>
              <w:t>infracţionale</w:t>
            </w:r>
            <w:proofErr w:type="spellEnd"/>
            <w:r w:rsidRPr="000E14F1">
              <w:rPr>
                <w:i/>
                <w:iCs/>
              </w:rPr>
              <w:t xml:space="preserve"> identificate, în conformitate cu prevederile art.10 alin.(2);</w:t>
            </w:r>
            <w:r w:rsidRPr="000E14F1">
              <w:t>). Potrivit art. 10 alin. (2) din legea menționată, înghețarea bunurilor infracționale identificate constituie o măsură specifică aplicată de ARBI în cadrul unei cauze penale, având ca finalitate conservarea bunurilor susceptibile de confiscare și împiedicarea înstrăinării, disimulării sau transferului acestora.</w:t>
            </w:r>
          </w:p>
          <w:p w14:paraId="07C7E070" w14:textId="302A7A1A" w:rsidR="00A06816" w:rsidRPr="000E14F1" w:rsidRDefault="00A06816" w:rsidP="00A06816">
            <w:pPr>
              <w:ind w:firstLine="0"/>
            </w:pPr>
            <w:r w:rsidRPr="000E14F1">
              <w:t xml:space="preserve">Redacția propusă, utilizează concomitent noțiunile de „înghețare” și „punere sub sechestru”, fără a clarifica raportul juridic dintre acestea și efectele juridice specifice fiecărei măsuri. Or, în dreptul Republicii Moldova, sechestrul reprezintă o instituție juridică consacrată, reglementată prin acte normative speciale și asociată unor proceduri și garanții procesuale proprii. În schimb, proiectul nu precizează dacă măsura de înghețare constituie o instituție juridică distinctă și nici care sunt elementele ce o diferențiază de sechestru. În lipsa unei asemenea delimitări, există riscul unor interpretări divergente privind condițiile de aplicare, autoritățile competente să execute măsurile și efectele juridice produse. Problema este amplificată de particularitățile pieței </w:t>
            </w:r>
            <w:proofErr w:type="spellStart"/>
            <w:r w:rsidRPr="000E14F1">
              <w:t>criptoactivelor</w:t>
            </w:r>
            <w:proofErr w:type="spellEnd"/>
            <w:r w:rsidRPr="000E14F1">
              <w:t xml:space="preserve">, unde activele virtuale pot fi deținute prin intermediul unor furnizori aflați sub supravegherea autorităților competente, al unor entități stabilite în alte jurisdicții sau prin mecanisme descentralizate asupra cărora controlul este exercitat exclusiv de </w:t>
            </w:r>
            <w:r w:rsidRPr="000E14F1">
              <w:lastRenderedPageBreak/>
              <w:t>titularul cheilor private. În aceste situații, posibilitatea practică de executare a unei măsuri de înghețare sau sechestru diferă substanțial.</w:t>
            </w:r>
          </w:p>
          <w:p w14:paraId="1DB7B464" w14:textId="7F5F80F2" w:rsidR="00A06816" w:rsidRPr="000E14F1" w:rsidRDefault="00A06816" w:rsidP="00A06816">
            <w:pPr>
              <w:ind w:firstLine="0"/>
            </w:pPr>
            <w:r w:rsidRPr="000E14F1">
              <w:t>Cu toate acestea, proiectul utilizează o formulare generală, aplicabilă tuturor categoriilor de active și tuturor modalităților de deținere, fără a preciza limitele competenței autorității competente și fără a reglementa mecanismele necesare pentru executarea efectivă a măsurii. În special, nu este clar în ce măsură competența poate produce efecte juridice în raport cu activele aflate în custodia unor entități stabilite în alte jurisdicții sau în cazul portofelelor ne-</w:t>
            </w:r>
            <w:proofErr w:type="spellStart"/>
            <w:r w:rsidRPr="000E14F1">
              <w:t>custodiale</w:t>
            </w:r>
            <w:proofErr w:type="spellEnd"/>
            <w:r w:rsidRPr="000E14F1">
              <w:t xml:space="preserve"> asupra cărora autoritatea nu exercită control direct.</w:t>
            </w:r>
          </w:p>
          <w:p w14:paraId="34D77958" w14:textId="4603D055" w:rsidR="00A06816" w:rsidRPr="000E14F1" w:rsidRDefault="00A06816" w:rsidP="00A06816">
            <w:pPr>
              <w:ind w:firstLine="0"/>
            </w:pPr>
            <w:r w:rsidRPr="000E14F1">
              <w:t xml:space="preserve">Din perspectiva standardelor internaționale relevante, inclusiv a cadrului european instituit prin Regulamentul (UE) 2023/1114 privind piețele </w:t>
            </w:r>
            <w:proofErr w:type="spellStart"/>
            <w:r w:rsidRPr="000E14F1">
              <w:t>criptoactivelor</w:t>
            </w:r>
            <w:proofErr w:type="spellEnd"/>
            <w:r w:rsidRPr="000E14F1">
              <w:t xml:space="preserve"> (</w:t>
            </w:r>
            <w:proofErr w:type="spellStart"/>
            <w:r w:rsidRPr="000E14F1">
              <w:t>MiCA</w:t>
            </w:r>
            <w:proofErr w:type="spellEnd"/>
            <w:r w:rsidRPr="000E14F1">
              <w:t>), competențele autorităților competente vizează, de regulă, posibilitatea de a solicita instanțelor sau altor autorități abilitate adoptarea unor măsuri de indisponibilizare ori conservare a activelor, fără a interfera cu mecanismele specifice de recuperare a bunurilor infracționale reglementate de legislația penală. În lipsa unei definiții autonome a noțiunii de „înghețare” și a unei delimitări exprese față de competențele ARBI, redacția propusă poate conduce la suprapuneri instituționale și la interpretări divergente privind competențele Comisiei Naționale.</w:t>
            </w:r>
          </w:p>
          <w:p w14:paraId="5908DA7A" w14:textId="601C72CE" w:rsidR="00A06816" w:rsidRPr="000E14F1" w:rsidRDefault="00A06816" w:rsidP="00A06816">
            <w:pPr>
              <w:ind w:firstLine="0"/>
            </w:pPr>
            <w:r w:rsidRPr="000E14F1">
              <w:t xml:space="preserve">Condescendent, în conformitate cu art. 33 din Legea nr. 308/2017 privind prevenirea și combaterea spălării banilor și finanțării terorismului, Serviciul Prevenirea și Combaterea Spălării Banilor (SPCSB) este învestit cu competența de a dispune măsuri asigurătorii sub forma sistării executării activităților și tranzacțiilor cu bunuri, inclusiv cu mijloace financiare, în cazul existenței unor suspiciuni rezonabile privind implicarea acestora în activități de spălare a banilor, infracțiuni asociate sau finanțarea terorismului, categorie susceptibilă să includă și </w:t>
            </w:r>
            <w:proofErr w:type="spellStart"/>
            <w:r w:rsidRPr="000E14F1">
              <w:t>criptoactivele</w:t>
            </w:r>
            <w:proofErr w:type="spellEnd"/>
            <w:r w:rsidRPr="000E14F1">
              <w:t xml:space="preserve"> atunci când acestea fac obiectul raporturilor juridice reglementate de legislația privind prevenirea și combaterea spălării banilor. În aceste condiții, atribuirea către Comisia Națională a competenței de a solicita „înghețarea” activelor, inclusiv a </w:t>
            </w:r>
            <w:proofErr w:type="spellStart"/>
            <w:r w:rsidRPr="000E14F1">
              <w:t>criptoactivelor</w:t>
            </w:r>
            <w:proofErr w:type="spellEnd"/>
            <w:r w:rsidRPr="000E14F1">
              <w:t>, fără o delimitare clară față de mecanismele și atribuțiile deja reglementate de Legea nr. 308/2017, poate genera suprapuneri funcționale și incertitudini privind repartizarea competențelor între autoritățile responsabile de supravegherea pieței și cele competente în domeniul prevenirii și combaterii criminalității financiare.</w:t>
            </w:r>
          </w:p>
          <w:p w14:paraId="43B24F70" w14:textId="77777777" w:rsidR="00A06816" w:rsidRPr="000E14F1" w:rsidRDefault="00A06816" w:rsidP="00A06816">
            <w:pPr>
              <w:ind w:firstLine="0"/>
              <w:rPr>
                <w:b/>
                <w:bCs/>
              </w:rPr>
            </w:pPr>
            <w:r w:rsidRPr="000E14F1">
              <w:rPr>
                <w:b/>
                <w:bCs/>
              </w:rPr>
              <w:t>Recomandări:</w:t>
            </w:r>
          </w:p>
          <w:p w14:paraId="2A9E62B7" w14:textId="77777777" w:rsidR="00A06816" w:rsidRPr="000E14F1" w:rsidRDefault="00A06816" w:rsidP="00A06816">
            <w:pPr>
              <w:ind w:firstLine="0"/>
            </w:pPr>
            <w:r w:rsidRPr="000E14F1">
              <w:t>Completarea proiectului cu dispoziții care să clarifice în mod special:</w:t>
            </w:r>
          </w:p>
          <w:p w14:paraId="193DD6F5" w14:textId="77777777" w:rsidR="00A06816" w:rsidRPr="000E14F1" w:rsidRDefault="00A06816" w:rsidP="00A06816">
            <w:pPr>
              <w:ind w:firstLine="0"/>
            </w:pPr>
            <w:r w:rsidRPr="000E14F1">
              <w:lastRenderedPageBreak/>
              <w:t>- subiectul care dispune și subiectul care nemijlocit efectuează ”înghețarea” în sensul vizat de autor;</w:t>
            </w:r>
          </w:p>
          <w:p w14:paraId="746C2BA0" w14:textId="77777777" w:rsidR="00A06816" w:rsidRPr="000E14F1" w:rsidRDefault="00A06816" w:rsidP="00A06816">
            <w:pPr>
              <w:ind w:firstLine="0"/>
            </w:pPr>
            <w:r w:rsidRPr="000E14F1">
              <w:t>- natura juridică a măsurii de înghețare și a măsurii de punere sub sechestru;</w:t>
            </w:r>
          </w:p>
          <w:p w14:paraId="74D282EC" w14:textId="77777777" w:rsidR="00A06816" w:rsidRPr="000E14F1" w:rsidRDefault="00A06816" w:rsidP="00A06816">
            <w:pPr>
              <w:ind w:firstLine="0"/>
            </w:pPr>
            <w:r w:rsidRPr="000E14F1">
              <w:t>- raportul dintre aceste două măsuri și efectele juridice specifice fiecăreia;</w:t>
            </w:r>
          </w:p>
          <w:p w14:paraId="4AF583DB" w14:textId="77777777" w:rsidR="00A06816" w:rsidRPr="000E14F1" w:rsidRDefault="00A06816" w:rsidP="00A06816">
            <w:pPr>
              <w:ind w:firstLine="0"/>
            </w:pPr>
            <w:r w:rsidRPr="000E14F1">
              <w:t>- mecanismul prin care solicitarea formulată de autoritatea competentă produce efecte juridice;</w:t>
            </w:r>
          </w:p>
          <w:p w14:paraId="1C310D7D" w14:textId="7E421CB6" w:rsidR="00A06816" w:rsidRPr="000E14F1" w:rsidRDefault="00A06816" w:rsidP="00A06816">
            <w:pPr>
              <w:ind w:firstLine="0"/>
            </w:pPr>
            <w:r w:rsidRPr="000E14F1">
              <w:t>- raportul dintre competențele administrative instituite prin proiect și procedurile prevăzute de legislația națională pentru indisponibilizarea bunurilor;</w:t>
            </w:r>
          </w:p>
          <w:p w14:paraId="26511E19" w14:textId="47146C93" w:rsidR="00A06816" w:rsidRPr="000E14F1" w:rsidRDefault="00A06816" w:rsidP="00A06816">
            <w:pPr>
              <w:ind w:firstLine="0"/>
            </w:pPr>
            <w:r w:rsidRPr="000E14F1">
              <w:t>- limitele materiale ale competenței autorității competente, în special în situațiile în care executarea măsurii depinde de cooperarea cu alte autorități sau cu furnizori stabiliți în alte jurisdicții.</w:t>
            </w:r>
          </w:p>
        </w:tc>
        <w:tc>
          <w:tcPr>
            <w:tcW w:w="5281" w:type="dxa"/>
            <w:tcMar>
              <w:top w:w="0" w:type="dxa"/>
              <w:left w:w="108" w:type="dxa"/>
              <w:bottom w:w="0" w:type="dxa"/>
              <w:right w:w="108" w:type="dxa"/>
            </w:tcMar>
          </w:tcPr>
          <w:p w14:paraId="16F3DE68" w14:textId="77777777" w:rsidR="00A06816" w:rsidRPr="000E14F1" w:rsidRDefault="00A06816" w:rsidP="00A06816">
            <w:pPr>
              <w:ind w:firstLine="0"/>
              <w:rPr>
                <w:b/>
                <w:bCs/>
                <w:iCs/>
              </w:rPr>
            </w:pPr>
            <w:r w:rsidRPr="000E14F1">
              <w:rPr>
                <w:b/>
                <w:bCs/>
                <w:iCs/>
              </w:rPr>
              <w:lastRenderedPageBreak/>
              <w:t>Nu se acceptă.</w:t>
            </w:r>
          </w:p>
          <w:p w14:paraId="585656E0" w14:textId="77777777" w:rsidR="00A06816" w:rsidRPr="000E14F1" w:rsidRDefault="00A06816" w:rsidP="00A06816">
            <w:pPr>
              <w:ind w:firstLine="0"/>
              <w:rPr>
                <w:iCs/>
              </w:rPr>
            </w:pPr>
            <w:r w:rsidRPr="000E14F1">
              <w:rPr>
                <w:iCs/>
              </w:rPr>
              <w:t xml:space="preserve">Prevederea art. 86 alin. (4) lit. f) transpune fidel art. 94 alin. (3) lit. f) din Regulamentul (UE) 2023/1114, care preia, la rândul </w:t>
            </w:r>
            <w:r w:rsidRPr="000E14F1">
              <w:rPr>
                <w:iCs/>
              </w:rPr>
              <w:lastRenderedPageBreak/>
              <w:t>său, soluția cadrului european privind abuzul de piață (art. 23 din Regulamentul (UE) nr. 596/2014): autoritatea competentă trebuie să dispună de posibilitatea de a solicita înghețarea sau punerea sub sechestru a activelor, în scopul protejării integrității pieței și al prevenirii efectelor conduitelor de abuz de piață.</w:t>
            </w:r>
          </w:p>
          <w:p w14:paraId="20FC0196" w14:textId="250D5719" w:rsidR="00A06816" w:rsidRPr="000E14F1" w:rsidRDefault="00A06816" w:rsidP="00A06816">
            <w:pPr>
              <w:ind w:firstLine="0"/>
              <w:rPr>
                <w:iCs/>
              </w:rPr>
            </w:pPr>
            <w:r w:rsidRPr="000E14F1">
              <w:rPr>
                <w:iCs/>
              </w:rPr>
              <w:t>Obiecția pornește de la o premisă inexactă, întrucât proiectul nu atribuie Comisiei Naționale competența de a dispune direct înghețarea sau sechestrul. Verbul normei este „</w:t>
            </w:r>
            <w:r w:rsidRPr="000E14F1">
              <w:rPr>
                <w:i/>
              </w:rPr>
              <w:t>a solicita”</w:t>
            </w:r>
            <w:r w:rsidRPr="000E14F1">
              <w:rPr>
                <w:iCs/>
              </w:rPr>
              <w:t>, iar mecanismul prin care solicitarea produce efecte este deja clarificat de art. 86 alin. (5): pentru aplicarea măsurilor prevăzute la alin. (4) lit. c), e) și f), Comisia Națională se adresează instanței de judecată competente. Solicitarea nu este, așadar, un act administrativ cu efecte executorii directe, ci o sesizare a instanței, care asigură garanția judiciară proporțională cu ingerința în dreptul de proprietate. Tocmai pentru că măsura se grefează pe intervenția instanței și pe procedurile dreptului comun, ea nu se confundă și nu interferează cu măsurile de indisponibilizare a bunurilor infracționale dispuse în cadrul procesului penal ori în temeiul Legii nr. 48/2017 și al Legii nr. 308/2017: este o măsură asiguratorie proprie supravegherii abuzului de piață, cu finalitate, autoritate și temei distincte de cele ale regimului penal și AML/CFT.</w:t>
            </w:r>
          </w:p>
          <w:p w14:paraId="65744466" w14:textId="6D8241FE" w:rsidR="00A06816" w:rsidRPr="000E14F1" w:rsidRDefault="00A06816" w:rsidP="00A06816">
            <w:pPr>
              <w:ind w:firstLine="0"/>
              <w:rPr>
                <w:iCs/>
              </w:rPr>
            </w:pPr>
            <w:r w:rsidRPr="000E14F1">
              <w:rPr>
                <w:iCs/>
              </w:rPr>
              <w:t xml:space="preserve">De altfel, un mecanism similar este deja consacrat în dreptul intern, prin Legea nr. 171/2012 privind piața de capital, care atribuie Comisiei Naționale, în exercitarea atribuțiilor sale de supraveghere și control al abuzului pe piața de capital, competența de a cere punerea sub sechestru sau blocarea activelor, înregistrările de trafic existente, suspendarea ori interzicerea tranzacționării. Soluția din proiect nu introduce, prin urmare, o instituție nouă sau izolată, ci extinde asupra pieței </w:t>
            </w:r>
            <w:proofErr w:type="spellStart"/>
            <w:r w:rsidRPr="000E14F1">
              <w:rPr>
                <w:iCs/>
              </w:rPr>
              <w:t>criptoactivelor</w:t>
            </w:r>
            <w:proofErr w:type="spellEnd"/>
            <w:r w:rsidRPr="000E14F1">
              <w:rPr>
                <w:iCs/>
              </w:rPr>
              <w:t xml:space="preserve"> un model deja existent și funcțional în supravegherea pieței de capital.</w:t>
            </w:r>
          </w:p>
          <w:p w14:paraId="5F43BA95" w14:textId="77777777" w:rsidR="00A06816" w:rsidRPr="000E14F1" w:rsidRDefault="00A06816" w:rsidP="00A06816">
            <w:pPr>
              <w:ind w:firstLine="0"/>
              <w:rPr>
                <w:iCs/>
              </w:rPr>
            </w:pPr>
            <w:r w:rsidRPr="000E14F1">
              <w:rPr>
                <w:iCs/>
              </w:rPr>
              <w:t>Utilizarea termenilor „</w:t>
            </w:r>
            <w:r w:rsidRPr="000E14F1">
              <w:rPr>
                <w:i/>
              </w:rPr>
              <w:t>înghețare" și „punere sub sechestru"</w:t>
            </w:r>
            <w:r w:rsidRPr="000E14F1">
              <w:rPr>
                <w:iCs/>
              </w:rPr>
              <w:t xml:space="preserve"> este, astfel, justificată de transpunerea cadrului </w:t>
            </w:r>
            <w:proofErr w:type="spellStart"/>
            <w:r w:rsidRPr="000E14F1">
              <w:rPr>
                <w:iCs/>
              </w:rPr>
              <w:t>MiCA</w:t>
            </w:r>
            <w:proofErr w:type="spellEnd"/>
            <w:r w:rsidRPr="000E14F1">
              <w:rPr>
                <w:iCs/>
              </w:rPr>
              <w:t xml:space="preserve"> și de corespondența acestuia cu regimul european privind abuzul de piață. Aceeași terminologie — „</w:t>
            </w:r>
            <w:proofErr w:type="spellStart"/>
            <w:r w:rsidRPr="000E14F1">
              <w:rPr>
                <w:i/>
              </w:rPr>
              <w:t>freezing</w:t>
            </w:r>
            <w:proofErr w:type="spellEnd"/>
            <w:r w:rsidRPr="000E14F1">
              <w:rPr>
                <w:i/>
              </w:rPr>
              <w:t>" și „</w:t>
            </w:r>
            <w:proofErr w:type="spellStart"/>
            <w:r w:rsidRPr="000E14F1">
              <w:rPr>
                <w:i/>
              </w:rPr>
              <w:t>seizure</w:t>
            </w:r>
            <w:proofErr w:type="spellEnd"/>
            <w:r w:rsidRPr="000E14F1">
              <w:rPr>
                <w:iCs/>
              </w:rPr>
              <w:t xml:space="preserve">" — este consacrată în instrumentele juridice internaționale, în actele Uniunii și în practica autorităților de supraveghere din multiple jurisdicții în contextul activelor virtuale, ceea ce asigură alinierea la standardele relevante și facilitează cooperarea transfrontalieră. Aplicarea concretă a acestor măsuri în dreptul </w:t>
            </w:r>
            <w:r w:rsidRPr="000E14F1">
              <w:rPr>
                <w:iCs/>
              </w:rPr>
              <w:lastRenderedPageBreak/>
              <w:t>național se realizează cu respectarea procedurilor și garanțiilor prevăzute de legislația aplicabilă, inclusiv prin intervenția instanței, atunci când legea impune o asemenea condiție.</w:t>
            </w:r>
          </w:p>
          <w:p w14:paraId="035F8F64" w14:textId="722ADD63" w:rsidR="00A06816" w:rsidRPr="000E14F1" w:rsidRDefault="00A06816" w:rsidP="00A06816">
            <w:pPr>
              <w:ind w:firstLine="0"/>
              <w:rPr>
                <w:iCs/>
              </w:rPr>
            </w:pPr>
            <w:r w:rsidRPr="000E14F1">
              <w:rPr>
                <w:iCs/>
              </w:rPr>
              <w:t>În fine, aspectele privind executarea practică în raport cu activele deținute prin furnizori custode, entități din alte jurisdicții sau portofele non-</w:t>
            </w:r>
            <w:proofErr w:type="spellStart"/>
            <w:r w:rsidRPr="000E14F1">
              <w:rPr>
                <w:iCs/>
              </w:rPr>
              <w:t>custodiale</w:t>
            </w:r>
            <w:proofErr w:type="spellEnd"/>
            <w:r w:rsidRPr="000E14F1">
              <w:rPr>
                <w:iCs/>
              </w:rPr>
              <w:t xml:space="preserve"> țin de aplicarea operațională a competențelor de supraveghere și de cooperarea interinstituțională ori internațională. Aceste elemente urmează să fie detaliate, după caz, prin cadrul normativ secundar, proceduri interne și acorduri de colaborare, fără a fi necesară reglementarea lor exhaustivă în legea primară.</w:t>
            </w:r>
          </w:p>
          <w:p w14:paraId="10FC5C02" w14:textId="79B3D782" w:rsidR="00A06816" w:rsidRPr="000E14F1" w:rsidRDefault="00A06816" w:rsidP="00A06816">
            <w:pPr>
              <w:ind w:firstLine="0"/>
              <w:rPr>
                <w:iCs/>
              </w:rPr>
            </w:pPr>
            <w:r w:rsidRPr="000E14F1">
              <w:rPr>
                <w:iCs/>
              </w:rPr>
              <w:t xml:space="preserve">Prin urmare, nu se justifică modificarea soluției normative propuse. Proiectul stabilește cadrul primar necesar, în conformitate cu </w:t>
            </w:r>
            <w:proofErr w:type="spellStart"/>
            <w:r w:rsidRPr="000E14F1">
              <w:rPr>
                <w:iCs/>
              </w:rPr>
              <w:t>MiCA</w:t>
            </w:r>
            <w:proofErr w:type="spellEnd"/>
            <w:r w:rsidRPr="000E14F1">
              <w:rPr>
                <w:iCs/>
              </w:rPr>
              <w:t>, iar mecanismul de aplicare este clarificat prin art. 86 alin. (5), care prevede adresarea către instanța de judecată competentă pentru dispunerea măsurii.</w:t>
            </w:r>
          </w:p>
        </w:tc>
      </w:tr>
      <w:tr w:rsidR="00A06816" w:rsidRPr="0026420A" w14:paraId="11E22C8F" w14:textId="77777777" w:rsidTr="001F4857">
        <w:trPr>
          <w:trHeight w:val="615"/>
        </w:trPr>
        <w:tc>
          <w:tcPr>
            <w:tcW w:w="2206" w:type="dxa"/>
            <w:tcMar>
              <w:top w:w="0" w:type="dxa"/>
              <w:left w:w="108" w:type="dxa"/>
              <w:bottom w:w="0" w:type="dxa"/>
              <w:right w:w="108" w:type="dxa"/>
            </w:tcMar>
          </w:tcPr>
          <w:p w14:paraId="70716550"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4948A499"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46A87DE8" w14:textId="77777777" w:rsidR="00A06816" w:rsidRPr="000E14F1" w:rsidRDefault="00A06816" w:rsidP="00A06816">
            <w:pPr>
              <w:ind w:firstLine="0"/>
              <w:rPr>
                <w:b/>
                <w:bCs/>
              </w:rPr>
            </w:pPr>
            <w:r w:rsidRPr="000E14F1">
              <w:rPr>
                <w:b/>
                <w:bCs/>
              </w:rPr>
              <w:t xml:space="preserve">Art.97 alin.(12) </w:t>
            </w:r>
            <w:proofErr w:type="spellStart"/>
            <w:r w:rsidRPr="000E14F1">
              <w:rPr>
                <w:b/>
                <w:bCs/>
              </w:rPr>
              <w:t>lit.c</w:t>
            </w:r>
            <w:proofErr w:type="spellEnd"/>
            <w:r w:rsidRPr="000E14F1">
              <w:rPr>
                <w:b/>
                <w:bCs/>
              </w:rPr>
              <w:t>)</w:t>
            </w:r>
          </w:p>
          <w:p w14:paraId="6CC84AA3" w14:textId="77777777" w:rsidR="00A06816" w:rsidRPr="000E14F1" w:rsidRDefault="00A06816" w:rsidP="00A06816">
            <w:pPr>
              <w:ind w:firstLine="0"/>
              <w:rPr>
                <w:b/>
                <w:bCs/>
              </w:rPr>
            </w:pPr>
            <w:r w:rsidRPr="000E14F1">
              <w:rPr>
                <w:b/>
                <w:bCs/>
              </w:rPr>
              <w:t>Obiecții:</w:t>
            </w:r>
          </w:p>
          <w:p w14:paraId="3B407137" w14:textId="2B526574" w:rsidR="00A06816" w:rsidRPr="000E14F1" w:rsidRDefault="00A06816" w:rsidP="00A06816">
            <w:pPr>
              <w:ind w:firstLine="0"/>
            </w:pPr>
            <w:r w:rsidRPr="000E14F1">
              <w:t xml:space="preserve">Noțiunea de „restituire” este asociată, de regulă, cu obligația de a transmite sau de a readuce un bun, o valoare patrimonială ori o prestație către un titular determinat al dreptului respectiv. Din această perspectivă, utilizarea termenului „restituire” presupune existența unui </w:t>
            </w:r>
            <w:r w:rsidRPr="000E14F1">
              <w:rPr>
                <w:i/>
                <w:iCs/>
              </w:rPr>
              <w:t xml:space="preserve">beneficiar identificabil </w:t>
            </w:r>
            <w:r w:rsidRPr="000E14F1">
              <w:t>al prestației, element care nu poate fi dedus cu suficientă claritate din redacția propusă. Norma nu permite stabilirea cu certitudine dacă sumele reprezentând profituri obținute din încălcare sau pierderi evitate urmează să fie vărsate la bugetul de stat, să fie restituite persoanelor prejudiciate ori dacă măsura urmărește exclusiv privarea persoanei responsabile de avantajul economic obținut ca urmare a încălcării. De asemenea, textul nu clarifică dacă măsura are natura unei sancțiuni administrative autonome, a unei măsuri reparatorii sau a unei forme speciale de indisponibilizare și recuperare a avantajului patrimonial ilicit.</w:t>
            </w:r>
          </w:p>
          <w:p w14:paraId="6ACD2972" w14:textId="381D539A" w:rsidR="00A06816" w:rsidRPr="000E14F1" w:rsidRDefault="00A06816" w:rsidP="00A06816">
            <w:pPr>
              <w:ind w:firstLine="0"/>
            </w:pPr>
            <w:r w:rsidRPr="000E14F1">
              <w:t>Această incertitudine este amplificată de faptul că legislația națională consacră instituții juridice distincte, precum repararea prejudiciului, confiscarea specială, confiscarea extinsă sau executarea creanțelor bugetare, fiecare fiind supusă unor condiții și garanții procedurale proprii. În lipsa unei delimitări exprese, poate apărea riscul unor interpretări divergente privind natura juridică a măsurii și mecanismul prin care aceasta urmează să fie pusă în executare.</w:t>
            </w:r>
          </w:p>
          <w:p w14:paraId="5BBBDC0B" w14:textId="77777777" w:rsidR="00A06816" w:rsidRPr="000E14F1" w:rsidRDefault="00A06816" w:rsidP="00A06816">
            <w:pPr>
              <w:ind w:firstLine="0"/>
              <w:rPr>
                <w:b/>
                <w:bCs/>
              </w:rPr>
            </w:pPr>
            <w:r w:rsidRPr="000E14F1">
              <w:rPr>
                <w:b/>
                <w:bCs/>
              </w:rPr>
              <w:t>Recomandări:</w:t>
            </w:r>
          </w:p>
          <w:p w14:paraId="4D61A8A1" w14:textId="77777777" w:rsidR="00A06816" w:rsidRPr="000E14F1" w:rsidRDefault="00A06816" w:rsidP="00A06816">
            <w:pPr>
              <w:ind w:firstLine="0"/>
            </w:pPr>
            <w:r w:rsidRPr="000E14F1">
              <w:t>Concretizarea aspectelor deficitare evidențiate supra.</w:t>
            </w:r>
          </w:p>
          <w:p w14:paraId="02DF6936" w14:textId="50F585E9" w:rsidR="00A06816" w:rsidRPr="000E14F1" w:rsidRDefault="00A06816" w:rsidP="00A06816">
            <w:pPr>
              <w:ind w:firstLine="0"/>
            </w:pPr>
          </w:p>
        </w:tc>
        <w:tc>
          <w:tcPr>
            <w:tcW w:w="5281" w:type="dxa"/>
            <w:tcMar>
              <w:top w:w="0" w:type="dxa"/>
              <w:left w:w="108" w:type="dxa"/>
              <w:bottom w:w="0" w:type="dxa"/>
              <w:right w:w="108" w:type="dxa"/>
            </w:tcMar>
          </w:tcPr>
          <w:p w14:paraId="0342BD25" w14:textId="77777777" w:rsidR="00A06816" w:rsidRPr="000E14F1" w:rsidRDefault="00A06816" w:rsidP="00A06816">
            <w:pPr>
              <w:ind w:firstLine="0"/>
              <w:rPr>
                <w:b/>
                <w:bCs/>
                <w:iCs/>
              </w:rPr>
            </w:pPr>
            <w:r w:rsidRPr="000E14F1">
              <w:rPr>
                <w:b/>
                <w:bCs/>
                <w:iCs/>
              </w:rPr>
              <w:t>Se acceptă parțial.</w:t>
            </w:r>
          </w:p>
          <w:p w14:paraId="325ED809" w14:textId="77777777" w:rsidR="00A06816" w:rsidRPr="000E14F1" w:rsidRDefault="00A06816" w:rsidP="00A06816">
            <w:pPr>
              <w:ind w:firstLine="0"/>
              <w:rPr>
                <w:iCs/>
              </w:rPr>
            </w:pPr>
          </w:p>
          <w:p w14:paraId="40968991" w14:textId="4F4BDBE3" w:rsidR="00A06816" w:rsidRPr="000E14F1" w:rsidRDefault="00A06816" w:rsidP="00A06816">
            <w:pPr>
              <w:ind w:firstLine="0"/>
              <w:rPr>
                <w:i/>
              </w:rPr>
            </w:pPr>
            <w:r w:rsidRPr="000E14F1">
              <w:rPr>
                <w:iCs/>
              </w:rPr>
              <w:t xml:space="preserve">Pentru o mai bună corelare cu terminologia </w:t>
            </w:r>
            <w:proofErr w:type="spellStart"/>
            <w:r w:rsidRPr="000E14F1">
              <w:rPr>
                <w:iCs/>
              </w:rPr>
              <w:t>MiCA</w:t>
            </w:r>
            <w:proofErr w:type="spellEnd"/>
            <w:r w:rsidRPr="000E14F1">
              <w:rPr>
                <w:iCs/>
              </w:rPr>
              <w:t xml:space="preserve"> și cu art. 98 alin. (1) lit. g) din proiect, textul urmează să fie ajustat prin substituirea sintagmei „</w:t>
            </w:r>
            <w:r w:rsidRPr="000E14F1">
              <w:rPr>
                <w:i/>
              </w:rPr>
              <w:t>restituirea profiturilor obținute din încălcare sau a pierderilor evitate prin aceasta</w:t>
            </w:r>
            <w:r w:rsidRPr="000E14F1">
              <w:rPr>
                <w:iCs/>
              </w:rPr>
              <w:t>” cu sintagma „</w:t>
            </w:r>
            <w:r w:rsidRPr="000E14F1">
              <w:rPr>
                <w:i/>
              </w:rPr>
              <w:t>recuperarea profiturilor obținute din încălcare sau a pierderilor evitate prin aceasta”.</w:t>
            </w:r>
          </w:p>
          <w:p w14:paraId="2B3DD4C3" w14:textId="2C3F789F" w:rsidR="00A06816" w:rsidRPr="000E14F1" w:rsidRDefault="00A06816" w:rsidP="00A06816">
            <w:pPr>
              <w:ind w:firstLine="0"/>
              <w:rPr>
                <w:iCs/>
              </w:rPr>
            </w:pPr>
            <w:r w:rsidRPr="000E14F1">
              <w:rPr>
                <w:iCs/>
              </w:rPr>
              <w:t>Această măsură are natura unei măsuri administrative de privare a persoanei responsabile de avantajul economic obținut ca urmare a încălcării și nu trebuie confundată cu repararea prejudiciului civil, confiscarea specială, confiscarea extinsă sau măsurile de indisponibilizare aplicabile în alte proceduri. Aplicarea acesteia nu aduce atingere dreptului persoanelor prejudiciate de a solicita repararea prejudiciului potrivit dreptului comun și nici competențelor autorităților competente în materie penală, contravențională sau de recuperare a bunurilor infracționale.</w:t>
            </w:r>
          </w:p>
          <w:p w14:paraId="4FD3F81C" w14:textId="00F242C5" w:rsidR="00A06816" w:rsidRPr="000E14F1" w:rsidRDefault="00A06816" w:rsidP="00A06816">
            <w:pPr>
              <w:ind w:firstLine="0"/>
              <w:rPr>
                <w:iCs/>
              </w:rPr>
            </w:pPr>
            <w:r w:rsidRPr="000E14F1">
              <w:rPr>
                <w:iCs/>
              </w:rPr>
              <w:t xml:space="preserve">Totodată, nu se justifică reglementarea exhaustivă în art. 97 a mecanismului de executare, a destinației sumelor sau a tuturor raporturilor posibile cu alte forme de răspundere juridică. Proiectul conține deja la art. 98 reguli generale privind individualizarea măsurilor și sancțiunilor, inclusiv luarea în considerare a profiturilor obținute, a pierderilor evitate, a prejudiciilor cauzate terților și a necesității recuperării avantajului economic obținut. Modalitatea de aplicare a măsurii nu trebuie reglementată în detaliu în legea primară. Aceasta se </w:t>
            </w:r>
            <w:r w:rsidRPr="000E14F1">
              <w:rPr>
                <w:iCs/>
              </w:rPr>
              <w:lastRenderedPageBreak/>
              <w:t>va realiza potrivit legislației generale aplicabile și procedurilor administrative stabilite de autoritatea competentă. Dacă sunt necesare reguli suplimentare, detaliile privind calculul, încasarea, evidența și executarea pot fi reglementate prin acte secundare sau proceduri ale autorității competente.</w:t>
            </w:r>
          </w:p>
        </w:tc>
      </w:tr>
      <w:tr w:rsidR="00A06816" w:rsidRPr="0026420A" w14:paraId="7422280D" w14:textId="77777777" w:rsidTr="001F4857">
        <w:trPr>
          <w:trHeight w:val="615"/>
        </w:trPr>
        <w:tc>
          <w:tcPr>
            <w:tcW w:w="2206" w:type="dxa"/>
            <w:tcMar>
              <w:top w:w="0" w:type="dxa"/>
              <w:left w:w="108" w:type="dxa"/>
              <w:bottom w:w="0" w:type="dxa"/>
              <w:right w:w="108" w:type="dxa"/>
            </w:tcMar>
          </w:tcPr>
          <w:p w14:paraId="6B9F9165" w14:textId="77777777" w:rsidR="00A06816" w:rsidRPr="0026420A" w:rsidRDefault="00A06816" w:rsidP="00A06816">
            <w:pPr>
              <w:ind w:firstLine="0"/>
              <w:jc w:val="left"/>
              <w:rPr>
                <w:b/>
                <w:bCs/>
              </w:rPr>
            </w:pPr>
          </w:p>
        </w:tc>
        <w:tc>
          <w:tcPr>
            <w:tcW w:w="579" w:type="dxa"/>
            <w:tcMar>
              <w:top w:w="0" w:type="dxa"/>
              <w:left w:w="108" w:type="dxa"/>
              <w:bottom w:w="0" w:type="dxa"/>
              <w:right w:w="108" w:type="dxa"/>
            </w:tcMar>
          </w:tcPr>
          <w:p w14:paraId="6399CA6C"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3C319FD9" w14:textId="77777777" w:rsidR="00A06816" w:rsidRPr="000E14F1" w:rsidRDefault="00A06816" w:rsidP="00A06816">
            <w:pPr>
              <w:ind w:firstLine="0"/>
              <w:rPr>
                <w:b/>
                <w:bCs/>
              </w:rPr>
            </w:pPr>
            <w:r w:rsidRPr="000E14F1">
              <w:rPr>
                <w:b/>
                <w:bCs/>
              </w:rPr>
              <w:t>Art.103</w:t>
            </w:r>
          </w:p>
          <w:p w14:paraId="66644386" w14:textId="77777777" w:rsidR="00A06816" w:rsidRPr="000E14F1" w:rsidRDefault="00A06816" w:rsidP="00A06816">
            <w:pPr>
              <w:ind w:firstLine="0"/>
              <w:rPr>
                <w:b/>
                <w:bCs/>
              </w:rPr>
            </w:pPr>
            <w:r w:rsidRPr="000E14F1">
              <w:rPr>
                <w:b/>
                <w:bCs/>
              </w:rPr>
              <w:t>Obiecții:</w:t>
            </w:r>
          </w:p>
          <w:p w14:paraId="056A48A2" w14:textId="1133FF38" w:rsidR="00A06816" w:rsidRPr="000E14F1" w:rsidRDefault="00A06816" w:rsidP="00A06816">
            <w:pPr>
              <w:ind w:firstLine="0"/>
            </w:pPr>
            <w:proofErr w:type="spellStart"/>
            <w:r w:rsidRPr="000E14F1">
              <w:t>Primo</w:t>
            </w:r>
            <w:proofErr w:type="spellEnd"/>
            <w:r w:rsidRPr="000E14F1">
              <w:t>, se remarcă faptul că potrivit redacției propuse, elemente esențiale ale obligației de plată sunt lăsate spre reglementare exclusiv prin acte normative ale CNPF, or alin. (2) conferă autorităților competente prerogativa de a stabili nu doar procedura de percepere a taxelor, ci și i) categoriile de taxe, ii) cuantumul acestora și iii) categoriile de persoane obligate la plată, fără ca legea să prevadă criterii, limite, parametri sau</w:t>
            </w:r>
            <w:r>
              <w:t xml:space="preserve"> </w:t>
            </w:r>
            <w:r w:rsidRPr="000E14F1">
              <w:t>garanții suficiente care să orienteze exercitarea acestei competențe/sau obligația entității de a elaborași a aproba o metodologie de formare a cuantumului taxei. Mecanismul propus nu permite identificarea cu suficientă claritate a modului de formare a taxelor și nici verificarea caracterului rezonabil și proporțional al acestora.</w:t>
            </w:r>
          </w:p>
          <w:p w14:paraId="788C37D6" w14:textId="17E44EFA" w:rsidR="00A06816" w:rsidRPr="000E14F1" w:rsidRDefault="00A06816" w:rsidP="00A06816">
            <w:pPr>
              <w:ind w:firstLine="0"/>
            </w:pPr>
            <w:r w:rsidRPr="000E14F1">
              <w:t>Apreciind prin prisma exigențelor de tehnică legislative vizate de art.3, 54 al Legii nr.100/2017, se remarcă faptul că utilizarea expresiei „se determină pe baza principiului recuperării costurilor aferente activităților de autorizare și supraveghere”, nu oferă suficiente repere normative pentru determinarea obligațiilor financiare ce urmează a fi impuse participanților la piață. Noțiunea de „recuperare a costurilor” este formulată într-o manieră generală și nu precizează categoriile de costuri care pot fi incluse în baza de calcul, metodologia de repartizare a acestora între diferitele categorii de entități supravegheate, perioada de</w:t>
            </w:r>
            <w:r>
              <w:t xml:space="preserve"> </w:t>
            </w:r>
            <w:r w:rsidRPr="000E14F1">
              <w:t>referință utilizată, criteriile de proporționalitate aplicabile sau mecanismele de verificare a corectitudinii calculului.</w:t>
            </w:r>
          </w:p>
          <w:p w14:paraId="5BD193CD" w14:textId="29616718" w:rsidR="00A06816" w:rsidRPr="000E14F1" w:rsidRDefault="00A06816" w:rsidP="00A06816">
            <w:pPr>
              <w:ind w:firstLine="0"/>
            </w:pPr>
            <w:r w:rsidRPr="000E14F1">
              <w:t>Totodată, delegarea competenței de reglementare în materia taxelor aferente activităților de autorizare și supraveghere ar trebui să păstreze aceeași structură normativă consacrată de art. 6 din Legea nr. 192/1998</w:t>
            </w:r>
          </w:p>
          <w:p w14:paraId="6B5134CE" w14:textId="45A237D4" w:rsidR="00A06816" w:rsidRPr="000E14F1" w:rsidRDefault="00A06816" w:rsidP="00A06816">
            <w:pPr>
              <w:ind w:firstLine="0"/>
            </w:pPr>
            <w:r w:rsidRPr="000E14F1">
              <w:t>privind Comisia Națională a Pieței Financiare. Astfel, cadrul legal primar stabilește categoriile de taxe și plăți regulatorii, subiecții obligați la plată și principiile generale aplicabile, în timp ce autorității îi revine</w:t>
            </w:r>
            <w:r>
              <w:t xml:space="preserve"> </w:t>
            </w:r>
            <w:r w:rsidRPr="000E14F1">
              <w:t>competența de a aproba, în limitele și condițiile stabilite de lege, cuantumul concret, modul de calcul și procedura de percepere a acestora. Prin contrast, redacția propusă transferă către autoritatea competentă</w:t>
            </w:r>
            <w:r>
              <w:t xml:space="preserve"> </w:t>
            </w:r>
            <w:r w:rsidRPr="000E14F1">
              <w:t xml:space="preserve">nu doar aspectele de punere în aplicare, ci și determinarea unor elemente esențiale ale obligației de plată, inclusiv categoriile de </w:t>
            </w:r>
            <w:r w:rsidRPr="000E14F1">
              <w:lastRenderedPageBreak/>
              <w:t>persoane obligate la achitarea taxelor și criteriile de stabilire a cuantumului acestora,</w:t>
            </w:r>
            <w:r>
              <w:t xml:space="preserve"> </w:t>
            </w:r>
            <w:r w:rsidRPr="000E14F1">
              <w:t>fără a institui la nivel de lege repere suficiente care să delimiteze exercitarea acestei competențe.</w:t>
            </w:r>
          </w:p>
          <w:p w14:paraId="2563AF56" w14:textId="77777777" w:rsidR="00A06816" w:rsidRPr="000E14F1" w:rsidRDefault="00A06816" w:rsidP="00A06816">
            <w:pPr>
              <w:ind w:firstLine="0"/>
            </w:pPr>
            <w:r w:rsidRPr="000E14F1">
              <w:t>Se remarcă prevederile art.6 alin.(1)-(11) al Legii nr.192/1998, după cum urmează:</w:t>
            </w:r>
          </w:p>
          <w:p w14:paraId="41826C01" w14:textId="21BEA185" w:rsidR="00A06816" w:rsidRPr="000E14F1" w:rsidRDefault="00A06816" w:rsidP="00A06816">
            <w:pPr>
              <w:ind w:firstLine="0"/>
              <w:rPr>
                <w:i/>
                <w:iCs/>
              </w:rPr>
            </w:pPr>
            <w:r w:rsidRPr="000E14F1">
              <w:rPr>
                <w:i/>
                <w:iCs/>
              </w:rPr>
              <w:t xml:space="preserve">Art.6. – (1) Comisia </w:t>
            </w:r>
            <w:proofErr w:type="spellStart"/>
            <w:r w:rsidRPr="000E14F1">
              <w:rPr>
                <w:i/>
                <w:iCs/>
              </w:rPr>
              <w:t>Naţională</w:t>
            </w:r>
            <w:proofErr w:type="spellEnd"/>
            <w:r w:rsidRPr="000E14F1">
              <w:rPr>
                <w:i/>
                <w:iCs/>
              </w:rPr>
              <w:t xml:space="preserve"> se </w:t>
            </w:r>
            <w:proofErr w:type="spellStart"/>
            <w:r w:rsidRPr="000E14F1">
              <w:rPr>
                <w:i/>
                <w:iCs/>
              </w:rPr>
              <w:t>finanţează</w:t>
            </w:r>
            <w:proofErr w:type="spellEnd"/>
            <w:r w:rsidRPr="000E14F1">
              <w:rPr>
                <w:i/>
                <w:iCs/>
              </w:rPr>
              <w:t xml:space="preserve"> integral din: a) taxe în mărime de </w:t>
            </w:r>
            <w:proofErr w:type="spellStart"/>
            <w:r w:rsidRPr="000E14F1">
              <w:rPr>
                <w:i/>
                <w:iCs/>
              </w:rPr>
              <w:t>pînă</w:t>
            </w:r>
            <w:proofErr w:type="spellEnd"/>
            <w:r w:rsidRPr="000E14F1">
              <w:rPr>
                <w:i/>
                <w:iCs/>
              </w:rPr>
              <w:t xml:space="preserve"> la 0,5 la sută din suma emisiunii valorilor mobiliare, cu </w:t>
            </w:r>
            <w:proofErr w:type="spellStart"/>
            <w:r w:rsidRPr="000E14F1">
              <w:rPr>
                <w:i/>
                <w:iCs/>
              </w:rPr>
              <w:t>excepţia</w:t>
            </w:r>
            <w:proofErr w:type="spellEnd"/>
            <w:r w:rsidRPr="000E14F1">
              <w:rPr>
                <w:i/>
                <w:iCs/>
              </w:rPr>
              <w:t xml:space="preserve"> emisiunii </w:t>
            </w:r>
            <w:proofErr w:type="spellStart"/>
            <w:r w:rsidRPr="000E14F1">
              <w:rPr>
                <w:i/>
                <w:iCs/>
              </w:rPr>
              <w:t>obligaţiunilor</w:t>
            </w:r>
            <w:proofErr w:type="spellEnd"/>
            <w:r w:rsidRPr="000E14F1">
              <w:rPr>
                <w:i/>
                <w:iCs/>
              </w:rPr>
              <w:t xml:space="preserve"> pentru care se va percepe taxă în mărime de </w:t>
            </w:r>
            <w:proofErr w:type="spellStart"/>
            <w:r w:rsidRPr="000E14F1">
              <w:rPr>
                <w:i/>
                <w:iCs/>
              </w:rPr>
              <w:t>pînă</w:t>
            </w:r>
            <w:proofErr w:type="spellEnd"/>
            <w:r w:rsidRPr="000E14F1">
              <w:rPr>
                <w:i/>
                <w:iCs/>
              </w:rPr>
              <w:t xml:space="preserve"> la 0,1 la sută din suma emisiunii; b) taxe în mărime de </w:t>
            </w:r>
            <w:proofErr w:type="spellStart"/>
            <w:r w:rsidRPr="000E14F1">
              <w:rPr>
                <w:i/>
                <w:iCs/>
              </w:rPr>
              <w:t>pînă</w:t>
            </w:r>
            <w:proofErr w:type="spellEnd"/>
            <w:r w:rsidRPr="000E14F1">
              <w:rPr>
                <w:i/>
                <w:iCs/>
              </w:rPr>
              <w:t xml:space="preserve"> la 0,1 la sută din suma emisiunii valorilor mobiliare efectuate în scopul consolidării, </w:t>
            </w:r>
            <w:proofErr w:type="spellStart"/>
            <w:r w:rsidRPr="000E14F1">
              <w:rPr>
                <w:i/>
                <w:iCs/>
              </w:rPr>
              <w:t>fracţionării</w:t>
            </w:r>
            <w:proofErr w:type="spellEnd"/>
            <w:r w:rsidRPr="000E14F1">
              <w:rPr>
                <w:i/>
                <w:iCs/>
              </w:rPr>
              <w:t xml:space="preserve"> sau convertirii valorilor mobiliare emise anterior; c) taxe din </w:t>
            </w:r>
            <w:proofErr w:type="spellStart"/>
            <w:r w:rsidRPr="000E14F1">
              <w:rPr>
                <w:i/>
                <w:iCs/>
              </w:rPr>
              <w:t>tranzacţiile</w:t>
            </w:r>
            <w:proofErr w:type="spellEnd"/>
            <w:r w:rsidRPr="000E14F1">
              <w:rPr>
                <w:i/>
                <w:iCs/>
              </w:rPr>
              <w:t xml:space="preserve"> de </w:t>
            </w:r>
            <w:proofErr w:type="spellStart"/>
            <w:r w:rsidRPr="000E14F1">
              <w:rPr>
                <w:i/>
                <w:iCs/>
              </w:rPr>
              <w:t>vînzare</w:t>
            </w:r>
            <w:proofErr w:type="spellEnd"/>
            <w:r w:rsidRPr="000E14F1">
              <w:rPr>
                <w:i/>
                <w:iCs/>
              </w:rPr>
              <w:t xml:space="preserve">-cumpărare efectuate pe </w:t>
            </w:r>
            <w:proofErr w:type="spellStart"/>
            <w:r w:rsidRPr="000E14F1">
              <w:rPr>
                <w:i/>
                <w:iCs/>
              </w:rPr>
              <w:t>piaţa</w:t>
            </w:r>
            <w:proofErr w:type="spellEnd"/>
            <w:r w:rsidRPr="000E14F1">
              <w:rPr>
                <w:i/>
                <w:iCs/>
              </w:rPr>
              <w:t xml:space="preserve"> reglementată: [...] d) taxe în mărime de </w:t>
            </w:r>
            <w:proofErr w:type="spellStart"/>
            <w:r w:rsidRPr="000E14F1">
              <w:rPr>
                <w:i/>
                <w:iCs/>
              </w:rPr>
              <w:t>pînă</w:t>
            </w:r>
            <w:proofErr w:type="spellEnd"/>
            <w:r w:rsidRPr="000E14F1">
              <w:rPr>
                <w:i/>
                <w:iCs/>
              </w:rPr>
              <w:t xml:space="preserve"> la 1 la sută din </w:t>
            </w:r>
            <w:proofErr w:type="spellStart"/>
            <w:r w:rsidRPr="000E14F1">
              <w:rPr>
                <w:i/>
                <w:iCs/>
              </w:rPr>
              <w:t>tranzacţiile</w:t>
            </w:r>
            <w:proofErr w:type="spellEnd"/>
            <w:r w:rsidRPr="000E14F1">
              <w:rPr>
                <w:i/>
                <w:iCs/>
              </w:rPr>
              <w:t xml:space="preserve"> de </w:t>
            </w:r>
            <w:proofErr w:type="spellStart"/>
            <w:r w:rsidRPr="000E14F1">
              <w:rPr>
                <w:i/>
                <w:iCs/>
              </w:rPr>
              <w:t>vînzare</w:t>
            </w:r>
            <w:proofErr w:type="spellEnd"/>
            <w:r w:rsidRPr="000E14F1">
              <w:rPr>
                <w:i/>
                <w:iCs/>
              </w:rPr>
              <w:t xml:space="preserve">-cumpărare a valorilor mobiliare, efectuate în afara </w:t>
            </w:r>
            <w:proofErr w:type="spellStart"/>
            <w:r w:rsidRPr="000E14F1">
              <w:rPr>
                <w:i/>
                <w:iCs/>
              </w:rPr>
              <w:t>pieţei</w:t>
            </w:r>
            <w:proofErr w:type="spellEnd"/>
            <w:r w:rsidRPr="000E14F1">
              <w:rPr>
                <w:i/>
                <w:iCs/>
              </w:rPr>
              <w:t xml:space="preserve"> reglementate;[...]</w:t>
            </w:r>
          </w:p>
          <w:p w14:paraId="743CA2F2" w14:textId="2673B9EE" w:rsidR="00A06816" w:rsidRPr="000E14F1" w:rsidRDefault="00A06816" w:rsidP="00A06816">
            <w:pPr>
              <w:ind w:firstLine="0"/>
              <w:rPr>
                <w:i/>
                <w:iCs/>
              </w:rPr>
            </w:pPr>
            <w:r w:rsidRPr="000E14F1">
              <w:rPr>
                <w:i/>
                <w:iCs/>
              </w:rPr>
              <w:t xml:space="preserve">(11) Mărimea concretă a taxelor </w:t>
            </w:r>
            <w:proofErr w:type="spellStart"/>
            <w:r w:rsidRPr="000E14F1">
              <w:rPr>
                <w:i/>
                <w:iCs/>
              </w:rPr>
              <w:t>şi</w:t>
            </w:r>
            <w:proofErr w:type="spellEnd"/>
            <w:r w:rsidRPr="000E14F1">
              <w:rPr>
                <w:i/>
                <w:iCs/>
              </w:rPr>
              <w:t xml:space="preserve"> </w:t>
            </w:r>
            <w:proofErr w:type="spellStart"/>
            <w:r w:rsidRPr="000E14F1">
              <w:rPr>
                <w:i/>
                <w:iCs/>
              </w:rPr>
              <w:t>plăţilor</w:t>
            </w:r>
            <w:proofErr w:type="spellEnd"/>
            <w:r w:rsidRPr="000E14F1">
              <w:rPr>
                <w:i/>
                <w:iCs/>
              </w:rPr>
              <w:t xml:space="preserve">, în limitele valorilor specificate la alin.(1), se </w:t>
            </w:r>
            <w:proofErr w:type="spellStart"/>
            <w:r w:rsidRPr="000E14F1">
              <w:rPr>
                <w:i/>
                <w:iCs/>
              </w:rPr>
              <w:t>stabileşte</w:t>
            </w:r>
            <w:proofErr w:type="spellEnd"/>
            <w:r w:rsidRPr="000E14F1">
              <w:rPr>
                <w:i/>
                <w:iCs/>
              </w:rPr>
              <w:t xml:space="preserve"> de către Comisia </w:t>
            </w:r>
            <w:proofErr w:type="spellStart"/>
            <w:r w:rsidRPr="000E14F1">
              <w:rPr>
                <w:i/>
                <w:iCs/>
              </w:rPr>
              <w:t>Naţională</w:t>
            </w:r>
            <w:proofErr w:type="spellEnd"/>
            <w:r w:rsidRPr="000E14F1">
              <w:rPr>
                <w:i/>
                <w:iCs/>
              </w:rPr>
              <w:t xml:space="preserve"> la un nivel suficient să acopere cheltuielile necesare pentru asigurarea </w:t>
            </w:r>
            <w:proofErr w:type="spellStart"/>
            <w:r w:rsidRPr="000E14F1">
              <w:rPr>
                <w:i/>
                <w:iCs/>
              </w:rPr>
              <w:t>activităţii</w:t>
            </w:r>
            <w:proofErr w:type="spellEnd"/>
            <w:r w:rsidRPr="000E14F1">
              <w:rPr>
                <w:i/>
                <w:iCs/>
              </w:rPr>
              <w:t xml:space="preserve"> sale, în baza estimării indicatorilor bugetari. </w:t>
            </w:r>
            <w:proofErr w:type="spellStart"/>
            <w:r w:rsidRPr="000E14F1">
              <w:rPr>
                <w:i/>
                <w:iCs/>
              </w:rPr>
              <w:t>Pînă</w:t>
            </w:r>
            <w:proofErr w:type="spellEnd"/>
            <w:r w:rsidRPr="000E14F1">
              <w:rPr>
                <w:i/>
                <w:iCs/>
              </w:rPr>
              <w:t xml:space="preserve"> în data de 1 noiembrie a fiecărui an, Comisia </w:t>
            </w:r>
            <w:proofErr w:type="spellStart"/>
            <w:r w:rsidRPr="000E14F1">
              <w:rPr>
                <w:i/>
                <w:iCs/>
              </w:rPr>
              <w:t>Naţională</w:t>
            </w:r>
            <w:proofErr w:type="spellEnd"/>
            <w:r w:rsidRPr="000E14F1">
              <w:rPr>
                <w:i/>
                <w:iCs/>
              </w:rPr>
              <w:t xml:space="preserve"> publică în Monitorul Oficial al Republicii Moldova </w:t>
            </w:r>
            <w:proofErr w:type="spellStart"/>
            <w:r w:rsidRPr="000E14F1">
              <w:rPr>
                <w:i/>
                <w:iCs/>
              </w:rPr>
              <w:t>hotărîrea</w:t>
            </w:r>
            <w:proofErr w:type="spellEnd"/>
            <w:r w:rsidRPr="000E14F1">
              <w:rPr>
                <w:i/>
                <w:iCs/>
              </w:rPr>
              <w:t xml:space="preserve"> Consiliului de </w:t>
            </w:r>
            <w:proofErr w:type="spellStart"/>
            <w:r w:rsidRPr="000E14F1">
              <w:rPr>
                <w:i/>
                <w:iCs/>
              </w:rPr>
              <w:t>administraţie</w:t>
            </w:r>
            <w:proofErr w:type="spellEnd"/>
            <w:r w:rsidRPr="000E14F1">
              <w:rPr>
                <w:i/>
                <w:iCs/>
              </w:rPr>
              <w:t xml:space="preserve"> privind cuantumul taxelor </w:t>
            </w:r>
            <w:proofErr w:type="spellStart"/>
            <w:r w:rsidRPr="000E14F1">
              <w:rPr>
                <w:i/>
                <w:iCs/>
              </w:rPr>
              <w:t>şi</w:t>
            </w:r>
            <w:proofErr w:type="spellEnd"/>
            <w:r w:rsidRPr="000E14F1">
              <w:rPr>
                <w:i/>
                <w:iCs/>
              </w:rPr>
              <w:t xml:space="preserve"> </w:t>
            </w:r>
            <w:proofErr w:type="spellStart"/>
            <w:r w:rsidRPr="000E14F1">
              <w:rPr>
                <w:i/>
                <w:iCs/>
              </w:rPr>
              <w:t>plăţilor</w:t>
            </w:r>
            <w:proofErr w:type="spellEnd"/>
            <w:r w:rsidRPr="000E14F1">
              <w:rPr>
                <w:i/>
                <w:iCs/>
              </w:rPr>
              <w:t xml:space="preserve"> stabilite pentru anul următor, iar în cazul modificării </w:t>
            </w:r>
            <w:proofErr w:type="spellStart"/>
            <w:r w:rsidRPr="000E14F1">
              <w:rPr>
                <w:i/>
                <w:iCs/>
              </w:rPr>
              <w:t>şi</w:t>
            </w:r>
            <w:proofErr w:type="spellEnd"/>
            <w:r w:rsidRPr="000E14F1">
              <w:rPr>
                <w:i/>
                <w:iCs/>
              </w:rPr>
              <w:t>/sau completării acestora în conformitate cu</w:t>
            </w:r>
          </w:p>
          <w:p w14:paraId="5544266F" w14:textId="77777777" w:rsidR="00A06816" w:rsidRPr="000E14F1" w:rsidRDefault="00A06816" w:rsidP="00A06816">
            <w:pPr>
              <w:ind w:firstLine="0"/>
              <w:rPr>
                <w:i/>
                <w:iCs/>
              </w:rPr>
            </w:pPr>
            <w:proofErr w:type="spellStart"/>
            <w:r w:rsidRPr="000E14F1">
              <w:rPr>
                <w:i/>
                <w:iCs/>
              </w:rPr>
              <w:t>legislaţia</w:t>
            </w:r>
            <w:proofErr w:type="spellEnd"/>
            <w:r w:rsidRPr="000E14F1">
              <w:rPr>
                <w:i/>
                <w:iCs/>
              </w:rPr>
              <w:t xml:space="preserve">, </w:t>
            </w:r>
            <w:proofErr w:type="spellStart"/>
            <w:r w:rsidRPr="000E14F1">
              <w:rPr>
                <w:i/>
                <w:iCs/>
              </w:rPr>
              <w:t>hotărîrea</w:t>
            </w:r>
            <w:proofErr w:type="spellEnd"/>
            <w:r w:rsidRPr="000E14F1">
              <w:rPr>
                <w:i/>
                <w:iCs/>
              </w:rPr>
              <w:t xml:space="preserve"> se publică în termen de 5 zile lucrătoare de la adoptare.</w:t>
            </w:r>
          </w:p>
          <w:p w14:paraId="717C0208" w14:textId="53F0111B" w:rsidR="00A06816" w:rsidRPr="000E14F1" w:rsidRDefault="00A06816" w:rsidP="00A06816">
            <w:pPr>
              <w:ind w:firstLine="0"/>
            </w:pPr>
            <w:r w:rsidRPr="000E14F1">
              <w:t xml:space="preserve">Apreciind prin prisma exigențelor de tehnică legislative vizate de art.3, 54 al Legii nr.100/2017, se remarcă faptul că utilizarea expresiei </w:t>
            </w:r>
            <w:r w:rsidRPr="000E14F1">
              <w:rPr>
                <w:i/>
                <w:iCs/>
              </w:rPr>
              <w:t xml:space="preserve">” sau, după caz, ” </w:t>
            </w:r>
            <w:r w:rsidRPr="000E14F1">
              <w:t>alin. (5), atribuie caracter ambiguu normei, fapt care poate</w:t>
            </w:r>
          </w:p>
          <w:p w14:paraId="3D66DC7A" w14:textId="77777777" w:rsidR="00A06816" w:rsidRPr="000E14F1" w:rsidRDefault="00A06816" w:rsidP="00A06816">
            <w:pPr>
              <w:ind w:firstLine="0"/>
            </w:pPr>
            <w:r w:rsidRPr="000E14F1">
              <w:t>condiționa incertitudine la etapa implementării normei.</w:t>
            </w:r>
          </w:p>
          <w:p w14:paraId="7BF5772F" w14:textId="381F69EE" w:rsidR="00A06816" w:rsidRPr="000E14F1" w:rsidRDefault="00A06816" w:rsidP="00A06816">
            <w:pPr>
              <w:ind w:firstLine="0"/>
            </w:pPr>
            <w:r w:rsidRPr="000E14F1">
              <w:t xml:space="preserve">Redacția propusă prevede că taxele se achită la bugetul autorității competente </w:t>
            </w:r>
            <w:r w:rsidRPr="000E14F1">
              <w:rPr>
                <w:i/>
                <w:iCs/>
              </w:rPr>
              <w:t xml:space="preserve">sau, după caz, </w:t>
            </w:r>
            <w:r w:rsidRPr="000E14F1">
              <w:t>la bugetul de stat, fără a preciza criteriile care justifică aplicarea prioritar a uneia dintre aceste destinații. Lipsa unor</w:t>
            </w:r>
            <w:r>
              <w:t xml:space="preserve"> </w:t>
            </w:r>
            <w:r w:rsidRPr="000E14F1">
              <w:t>reglementări exprese privind regimul juridic și financiar al sumelor percepute generează incertitudini cu privire la încadrarea acestora în sistemul veniturilor publice, la modalitatea de administrare și evidență contabilă, precum și la destinația și condițiile de utilizare a resurselor respective. Deficiența prenotată, poate periclita transparența și previzibilitatea mecanismului financiar propus și corelează parțial cu principiile transparenței, responsabilității și bunei gestiuni financiare consacrate de Legea nr. 181/2014 privind finanțele publice și responsabilitatea bugetar-fiscală.</w:t>
            </w:r>
          </w:p>
          <w:p w14:paraId="12EA43CF" w14:textId="77777777" w:rsidR="00A06816" w:rsidRPr="000E14F1" w:rsidRDefault="00A06816" w:rsidP="00A06816">
            <w:pPr>
              <w:ind w:firstLine="0"/>
              <w:rPr>
                <w:b/>
                <w:bCs/>
              </w:rPr>
            </w:pPr>
            <w:r w:rsidRPr="000E14F1">
              <w:rPr>
                <w:b/>
                <w:bCs/>
              </w:rPr>
              <w:lastRenderedPageBreak/>
              <w:t>Recomandări:</w:t>
            </w:r>
          </w:p>
          <w:p w14:paraId="403807E2" w14:textId="77777777" w:rsidR="00A06816" w:rsidRPr="000E14F1" w:rsidRDefault="00A06816" w:rsidP="00A06816">
            <w:pPr>
              <w:ind w:firstLine="0"/>
            </w:pPr>
            <w:r w:rsidRPr="000E14F1">
              <w:t>Reconsiderarea utilizării expresiei ”sau, după caz,” cu stabilirea clară și fără echivoc a aspectelor vizate.</w:t>
            </w:r>
          </w:p>
          <w:p w14:paraId="1DF77F75" w14:textId="368EF477" w:rsidR="00A06816" w:rsidRPr="000E14F1" w:rsidRDefault="00A06816" w:rsidP="00A06816">
            <w:pPr>
              <w:ind w:firstLine="0"/>
            </w:pPr>
            <w:r w:rsidRPr="000E14F1">
              <w:t>Reglementarea categoriilor de taxe la nivel de act normativ (similar art.6 al Legii nr.192/1998 citat supra).</w:t>
            </w:r>
          </w:p>
        </w:tc>
        <w:tc>
          <w:tcPr>
            <w:tcW w:w="5281" w:type="dxa"/>
            <w:tcMar>
              <w:top w:w="0" w:type="dxa"/>
              <w:left w:w="108" w:type="dxa"/>
              <w:bottom w:w="0" w:type="dxa"/>
              <w:right w:w="108" w:type="dxa"/>
            </w:tcMar>
          </w:tcPr>
          <w:p w14:paraId="02C6F4D0" w14:textId="77777777" w:rsidR="00A06816" w:rsidRPr="000E14F1" w:rsidRDefault="00A06816" w:rsidP="00A06816">
            <w:pPr>
              <w:tabs>
                <w:tab w:val="left" w:pos="1087"/>
              </w:tabs>
              <w:ind w:firstLine="0"/>
              <w:rPr>
                <w:b/>
                <w:bCs/>
                <w:iCs/>
              </w:rPr>
            </w:pPr>
            <w:r w:rsidRPr="000E14F1">
              <w:rPr>
                <w:b/>
                <w:bCs/>
                <w:iCs/>
              </w:rPr>
              <w:lastRenderedPageBreak/>
              <w:t>Se acceptă parțial.</w:t>
            </w:r>
          </w:p>
          <w:p w14:paraId="037A6D0E" w14:textId="25CC55E4" w:rsidR="00A06816" w:rsidRPr="000E14F1" w:rsidRDefault="00A06816" w:rsidP="00A06816">
            <w:pPr>
              <w:tabs>
                <w:tab w:val="left" w:pos="1087"/>
              </w:tabs>
              <w:ind w:firstLine="0"/>
              <w:rPr>
                <w:iCs/>
              </w:rPr>
            </w:pPr>
            <w:r w:rsidRPr="000E14F1">
              <w:rPr>
                <w:iCs/>
              </w:rPr>
              <w:t xml:space="preserve">Proiectul operează modificări la Legea nr. 192/1998 privind Comisia Națională a Pieței Financiare, prin completarea art. 6 cu prevederi referitoare la plățile aplicabile furnizorilor de servicii de </w:t>
            </w:r>
            <w:proofErr w:type="spellStart"/>
            <w:r w:rsidRPr="000E14F1">
              <w:rPr>
                <w:iCs/>
              </w:rPr>
              <w:t>criptoactive</w:t>
            </w:r>
            <w:proofErr w:type="spellEnd"/>
            <w:r w:rsidRPr="000E14F1">
              <w:rPr>
                <w:iCs/>
              </w:rPr>
              <w:t xml:space="preserve">, emitenților de </w:t>
            </w:r>
            <w:proofErr w:type="spellStart"/>
            <w:r w:rsidRPr="000E14F1">
              <w:rPr>
                <w:iCs/>
              </w:rPr>
              <w:t>criptoactive</w:t>
            </w:r>
            <w:proofErr w:type="spellEnd"/>
            <w:r w:rsidRPr="000E14F1">
              <w:rPr>
                <w:iCs/>
              </w:rPr>
              <w:t xml:space="preserve">, altele decât </w:t>
            </w:r>
            <w:proofErr w:type="spellStart"/>
            <w:r w:rsidRPr="000E14F1">
              <w:rPr>
                <w:iCs/>
              </w:rPr>
              <w:t>tokenurile</w:t>
            </w:r>
            <w:proofErr w:type="spellEnd"/>
            <w:r w:rsidRPr="000E14F1">
              <w:rPr>
                <w:iCs/>
              </w:rPr>
              <w:t xml:space="preserve"> raportate la active și </w:t>
            </w:r>
            <w:proofErr w:type="spellStart"/>
            <w:r w:rsidRPr="000E14F1">
              <w:rPr>
                <w:iCs/>
              </w:rPr>
              <w:t>tokenurile</w:t>
            </w:r>
            <w:proofErr w:type="spellEnd"/>
            <w:r w:rsidRPr="000E14F1">
              <w:rPr>
                <w:iCs/>
              </w:rPr>
              <w:t xml:space="preserve"> de monedă electronică, precum și emitenților de </w:t>
            </w:r>
            <w:proofErr w:type="spellStart"/>
            <w:r w:rsidRPr="000E14F1">
              <w:rPr>
                <w:iCs/>
              </w:rPr>
              <w:t>tokenuri</w:t>
            </w:r>
            <w:proofErr w:type="spellEnd"/>
            <w:r w:rsidRPr="000E14F1">
              <w:rPr>
                <w:iCs/>
              </w:rPr>
              <w:t xml:space="preserve"> raportate la active, în mărime de până la 0,1% din valoarea anuală a venitului din prestarea serviciilor sau a veniturilor înregistrate. Prin urmare, categoriile principale de plăți, subiecții obligați la plată și limita maximă sunt stabilite la nivelul legislației primare, similar mecanismului consacrat de Legea nr. 192/1998. Actele normative ale autorității competente vor detalia doar cuantumul concret, modul de calcul, procedura de percepere, termenele de plată, raportările necesare și alte aspecte tehnice de aplicare, în limitele stabilite de lege. Principiul recuperării costurilor este justificat și corespunde logicii cost </w:t>
            </w:r>
            <w:proofErr w:type="spellStart"/>
            <w:r w:rsidRPr="000E14F1">
              <w:rPr>
                <w:iCs/>
              </w:rPr>
              <w:t>recovery</w:t>
            </w:r>
            <w:proofErr w:type="spellEnd"/>
            <w:r w:rsidRPr="000E14F1">
              <w:rPr>
                <w:iCs/>
              </w:rPr>
              <w:t xml:space="preserve"> din art. 137 din </w:t>
            </w:r>
            <w:proofErr w:type="spellStart"/>
            <w:r w:rsidRPr="000E14F1">
              <w:rPr>
                <w:iCs/>
              </w:rPr>
              <w:t>MiCA</w:t>
            </w:r>
            <w:proofErr w:type="spellEnd"/>
            <w:r w:rsidRPr="000E14F1">
              <w:rPr>
                <w:iCs/>
              </w:rPr>
              <w:t xml:space="preserve"> privind taxele de supraveghere, potrivit căreia nivelul taxelor trebuie să acopere costurile aferente exercitării atribuțiilor de autorizare, reglementare și supraveghere.</w:t>
            </w:r>
          </w:p>
          <w:p w14:paraId="2DC4AE32" w14:textId="73B40B25" w:rsidR="00A06816" w:rsidRPr="000E14F1" w:rsidRDefault="00A06816" w:rsidP="00A06816">
            <w:pPr>
              <w:tabs>
                <w:tab w:val="left" w:pos="1087"/>
              </w:tabs>
              <w:ind w:firstLine="0"/>
              <w:rPr>
                <w:iCs/>
              </w:rPr>
            </w:pPr>
            <w:r w:rsidRPr="000E14F1">
              <w:rPr>
                <w:iCs/>
              </w:rPr>
              <w:t>În ceea ce privește sintagma „sau, după caz, la bugetul de stat”, aceasta nu reflectă o ambiguitate de redactare, ci dualitatea autorităților competente cu regimuri de finanțare. Totuși, aceasta poate fi clarificată pentru a evita interpretările divergente. În cazul Comisiei Naționale, taxele și plățile percepute potrivit prezentului articol constituie venituri ale Comisiei Naționale, în condițiile Legii nr. 192/1998. În cazul Băncii Naționale, dacă vor fi instituite taxe pentru atribuțiile exercitate în temeiul prezentei legi, regimul de achitare și destinația acestora urmează să fie stabilite potrivit Legii nr. 548/1995 cu privire la Banca Națională a Moldovei și actelor normative emise în aplicarea acesteia, fără a afecta regimul veniturilor Comisiei Naționale.</w:t>
            </w:r>
          </w:p>
          <w:p w14:paraId="5A0164C9" w14:textId="3BC7ACA0" w:rsidR="00A06816" w:rsidRPr="000E14F1" w:rsidRDefault="00A06816" w:rsidP="00A06816">
            <w:pPr>
              <w:tabs>
                <w:tab w:val="left" w:pos="1087"/>
              </w:tabs>
              <w:ind w:firstLine="0"/>
              <w:rPr>
                <w:iCs/>
              </w:rPr>
            </w:pPr>
            <w:r w:rsidRPr="000E14F1">
              <w:rPr>
                <w:iCs/>
              </w:rPr>
              <w:t xml:space="preserve">Prin urmare, pentru a face criteriul de alocare obiectiv și previzibil, la art. 103 alin.(5) textul se reformulează pentru a </w:t>
            </w:r>
            <w:r w:rsidRPr="000E14F1">
              <w:rPr>
                <w:iCs/>
              </w:rPr>
              <w:lastRenderedPageBreak/>
              <w:t>reflecta expres corelarea cu Legea nr. 192/1998 și Legea nr.548/1995, după cum urmează:</w:t>
            </w:r>
          </w:p>
          <w:p w14:paraId="3AE16666" w14:textId="6CD49560" w:rsidR="00A06816" w:rsidRPr="000E14F1" w:rsidRDefault="00A06816" w:rsidP="00A06816">
            <w:pPr>
              <w:tabs>
                <w:tab w:val="left" w:pos="1087"/>
              </w:tabs>
              <w:ind w:firstLine="0"/>
              <w:rPr>
                <w:b/>
                <w:bCs/>
                <w:iCs/>
              </w:rPr>
            </w:pPr>
            <w:r w:rsidRPr="000E14F1">
              <w:rPr>
                <w:iCs/>
              </w:rPr>
              <w:t>”</w:t>
            </w:r>
            <w:r w:rsidRPr="000E14F1">
              <w:rPr>
                <w:i/>
              </w:rPr>
              <w:t xml:space="preserve">Taxele sau plățile percepute de Comisia Națională potrivit prezentului articol constituie venituri ale Comisiei Naționale și se achită în condițiile Legii nr. 192/1998, în vederea acoperirii costurilor aferente activităților de reglementare, autorizare, supraveghere și control al pieței </w:t>
            </w:r>
            <w:proofErr w:type="spellStart"/>
            <w:r w:rsidRPr="000E14F1">
              <w:rPr>
                <w:i/>
              </w:rPr>
              <w:t>criptoactivelor</w:t>
            </w:r>
            <w:proofErr w:type="spellEnd"/>
            <w:r w:rsidRPr="000E14F1">
              <w:rPr>
                <w:i/>
              </w:rPr>
              <w:t>. În cazul în care Banca Națională percepe taxe sau plăți potrivit prezentului articol, acestea se achită și se administrează în condițiile Legii nr. 548/1995 și ale actelor normative emise în aplicarea acesteia.”</w:t>
            </w:r>
          </w:p>
        </w:tc>
      </w:tr>
      <w:tr w:rsidR="00A06816" w:rsidRPr="0026420A" w14:paraId="426D7470" w14:textId="77777777" w:rsidTr="001F4857">
        <w:trPr>
          <w:trHeight w:val="615"/>
        </w:trPr>
        <w:tc>
          <w:tcPr>
            <w:tcW w:w="2206" w:type="dxa"/>
            <w:vMerge w:val="restart"/>
            <w:tcMar>
              <w:top w:w="0" w:type="dxa"/>
              <w:left w:w="108" w:type="dxa"/>
              <w:bottom w:w="0" w:type="dxa"/>
              <w:right w:w="108" w:type="dxa"/>
            </w:tcMar>
          </w:tcPr>
          <w:p w14:paraId="678BE482" w14:textId="77777777" w:rsidR="00A06816" w:rsidRDefault="00A06816" w:rsidP="00A06816">
            <w:pPr>
              <w:ind w:firstLine="0"/>
              <w:jc w:val="left"/>
              <w:rPr>
                <w:b/>
                <w:bCs/>
                <w:lang w:val="ro-MD"/>
              </w:rPr>
            </w:pPr>
            <w:r>
              <w:rPr>
                <w:b/>
                <w:bCs/>
              </w:rPr>
              <w:lastRenderedPageBreak/>
              <w:t xml:space="preserve">Ministerul </w:t>
            </w:r>
            <w:proofErr w:type="spellStart"/>
            <w:r>
              <w:rPr>
                <w:b/>
                <w:bCs/>
              </w:rPr>
              <w:t>Justi</w:t>
            </w:r>
            <w:r>
              <w:rPr>
                <w:b/>
                <w:bCs/>
                <w:lang w:val="ro-MD"/>
              </w:rPr>
              <w:t>ției</w:t>
            </w:r>
            <w:proofErr w:type="spellEnd"/>
          </w:p>
          <w:p w14:paraId="7CCA326E" w14:textId="77777777" w:rsidR="00A06816" w:rsidRDefault="00A06816" w:rsidP="00A06816">
            <w:pPr>
              <w:ind w:firstLine="0"/>
              <w:jc w:val="left"/>
              <w:rPr>
                <w:b/>
                <w:bCs/>
                <w:lang w:val="ro-MD"/>
              </w:rPr>
            </w:pPr>
          </w:p>
          <w:p w14:paraId="73FD92AE" w14:textId="77777777" w:rsidR="00A06816" w:rsidRDefault="00A06816" w:rsidP="00A06816">
            <w:pPr>
              <w:ind w:firstLine="0"/>
              <w:jc w:val="left"/>
              <w:rPr>
                <w:i/>
                <w:iCs/>
                <w:lang w:val="ro-MD"/>
              </w:rPr>
            </w:pPr>
            <w:r w:rsidRPr="009B21EE">
              <w:rPr>
                <w:i/>
                <w:iCs/>
                <w:lang w:val="ro-MD"/>
              </w:rPr>
              <w:t>Nr. 04/2-7004</w:t>
            </w:r>
          </w:p>
          <w:p w14:paraId="25D38EC2" w14:textId="61F10CA1" w:rsidR="00A06816" w:rsidRDefault="00A06816" w:rsidP="00A06816">
            <w:pPr>
              <w:ind w:firstLine="0"/>
              <w:jc w:val="left"/>
              <w:rPr>
                <w:b/>
                <w:bCs/>
              </w:rPr>
            </w:pPr>
            <w:r>
              <w:rPr>
                <w:i/>
                <w:iCs/>
                <w:lang w:val="ro-MD"/>
              </w:rPr>
              <w:t xml:space="preserve">din </w:t>
            </w:r>
            <w:r w:rsidRPr="009B21EE">
              <w:rPr>
                <w:i/>
                <w:iCs/>
                <w:lang w:val="ro-MD"/>
              </w:rPr>
              <w:t>23.06.2026</w:t>
            </w:r>
          </w:p>
        </w:tc>
        <w:tc>
          <w:tcPr>
            <w:tcW w:w="579" w:type="dxa"/>
            <w:tcMar>
              <w:top w:w="0" w:type="dxa"/>
              <w:left w:w="108" w:type="dxa"/>
              <w:bottom w:w="0" w:type="dxa"/>
              <w:right w:w="108" w:type="dxa"/>
            </w:tcMar>
          </w:tcPr>
          <w:p w14:paraId="40187E58"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138571D8" w14:textId="77777777" w:rsidR="00A06816" w:rsidRPr="009B4214" w:rsidRDefault="00A06816" w:rsidP="00A06816">
            <w:pPr>
              <w:ind w:firstLine="0"/>
              <w:rPr>
                <w:b/>
                <w:bCs/>
              </w:rPr>
            </w:pPr>
            <w:r w:rsidRPr="009B4214">
              <w:t xml:space="preserve">Cu referire la </w:t>
            </w:r>
            <w:r w:rsidRPr="009B4214">
              <w:rPr>
                <w:b/>
                <w:bCs/>
              </w:rPr>
              <w:t>art. 2 alin. (2) lit. e), f) și i),</w:t>
            </w:r>
            <w:r w:rsidRPr="009B4214">
              <w:t xml:space="preserve"> se propune reexaminarea prevederilor întrucât acestea fac trimitere la instituții, mecanisme și instrumente juridice specifice cadrului normativ al Uniunii Europene, precum </w:t>
            </w:r>
            <w:r w:rsidRPr="009B4214">
              <w:rPr>
                <w:b/>
                <w:bCs/>
              </w:rPr>
              <w:t>Banca Centrală Europeană, Banca Europeană de Investiții, Fondul european de stabilitate financiară, Mecanismul european de stabilitate și produsul paneuropean de pensii personale (PEPP).</w:t>
            </w:r>
          </w:p>
          <w:p w14:paraId="06B3D5F5" w14:textId="016D2A0A" w:rsidR="00A06816" w:rsidRPr="009B4214" w:rsidRDefault="00A06816" w:rsidP="00A06816">
            <w:pPr>
              <w:ind w:firstLine="0"/>
            </w:pPr>
            <w:r w:rsidRPr="009B4214">
              <w:t>În acest context, este necesară o analiză suplimentară privind oportunitatea și temeiul juridic al transpunerii și aplicării acestor dispoziții la etapa actuală, având în vedere că unele dintre entitățile și instrumentele menționate sunt direct legate de statutul de stat membru al Uniunii Europene sau de aplicarea acquis-ului european în condițiile prevăzute de tratatele constitutive ale Uniunii. Prin urmare, se recomandă evaluarea dacă respectivele prevederi pot produce efecte juridice și pot fi puse în aplicare imediat după intrarea în vigoare a legii sau dacă aplicabilitatea acestora urmează să fie stabilită pentru data aderării Republicii Moldova la Uniunea Europeană ori pentru o altă etapă prevăzută de angajamentele de armonizare legislativă asumate (obiecție aplicabilă și pentru prevederile art. 3 alin. (1) pct. 53); art. 17 alin. (5)).</w:t>
            </w:r>
          </w:p>
        </w:tc>
        <w:tc>
          <w:tcPr>
            <w:tcW w:w="5281" w:type="dxa"/>
            <w:tcMar>
              <w:top w:w="0" w:type="dxa"/>
              <w:left w:w="108" w:type="dxa"/>
              <w:bottom w:w="0" w:type="dxa"/>
              <w:right w:w="108" w:type="dxa"/>
            </w:tcMar>
          </w:tcPr>
          <w:p w14:paraId="189A475B" w14:textId="6B4E1834" w:rsidR="00A06816" w:rsidRPr="009B4214" w:rsidRDefault="00A06816" w:rsidP="00A06816">
            <w:pPr>
              <w:ind w:firstLine="0"/>
              <w:jc w:val="left"/>
              <w:rPr>
                <w:b/>
                <w:bCs/>
                <w:iCs/>
              </w:rPr>
            </w:pPr>
            <w:r w:rsidRPr="009B4214">
              <w:rPr>
                <w:b/>
                <w:bCs/>
                <w:iCs/>
              </w:rPr>
              <w:t>Nu se acceptă.</w:t>
            </w:r>
          </w:p>
          <w:p w14:paraId="2AA14FA7" w14:textId="77777777" w:rsidR="00A06816" w:rsidRPr="009B4214" w:rsidRDefault="00A06816" w:rsidP="00A06816">
            <w:pPr>
              <w:ind w:firstLine="0"/>
              <w:rPr>
                <w:iCs/>
              </w:rPr>
            </w:pPr>
            <w:r w:rsidRPr="009B4214">
              <w:rPr>
                <w:iCs/>
              </w:rPr>
              <w:t xml:space="preserve">Cu privire la art. 2 alin. (2) lit. e), f) și i), alineatul stabilește subiecții cărora legea nu li se aplică. Din perspectivă temporală, nu prezintă relevanță că unele dintre entitățile sau instrumentele menționate sunt legate de statutul de stat membru al Uniunii Europene, întrucât norma este una generală, de excludere din domeniul de aplicare: ea nu instituie drepturi ori obligații în legătură cu aceste entități, ci se limitează să prevadă că acestea nu cad sub incidența legii. Eliminarea lor ar crea, în schimb, o divergență față de </w:t>
            </w:r>
            <w:proofErr w:type="spellStart"/>
            <w:r w:rsidRPr="009B4214">
              <w:rPr>
                <w:iCs/>
              </w:rPr>
              <w:t>MiCA</w:t>
            </w:r>
            <w:proofErr w:type="spellEnd"/>
            <w:r w:rsidRPr="009B4214">
              <w:rPr>
                <w:iCs/>
              </w:rPr>
              <w:t>, care ar trebui corectată ulterior, la aderare.</w:t>
            </w:r>
          </w:p>
          <w:p w14:paraId="0C923DC5" w14:textId="77777777" w:rsidR="00A06816" w:rsidRPr="009B4214" w:rsidRDefault="00A06816" w:rsidP="00A06816">
            <w:pPr>
              <w:ind w:firstLine="0"/>
              <w:rPr>
                <w:iCs/>
              </w:rPr>
            </w:pPr>
            <w:r w:rsidRPr="009B4214">
              <w:rPr>
                <w:iCs/>
              </w:rPr>
              <w:t>Cu privire la art. 3 alin. (1) pct. 53), norma definește noțiunea de „alte state”, care nu presupune calitatea de membru al Uniunii Europene, ci reprezintă un criteriu de eligibilitate jurisdicțională întemeiat pe filtre de risc: include statele UE și OCDE, însă exclude jurisdicțiile aflate pe listele FATF ale jurisdicțiilor cu risc sporit și sub monitorizare sporită, pe lista UE a jurisdicțiilor necooperante în scopuri fiscale și pe lista UE a statelor terțe cu deficiențe strategice în materie de prevenire și combatere a spălării banilor și finanțării terorismului. Fiind un standard de integritate financiară aplicabil imediat, definiția trebuie să fie în vigoare odată cu restul legii.</w:t>
            </w:r>
          </w:p>
          <w:p w14:paraId="6A3FA286" w14:textId="77777777" w:rsidR="00A06816" w:rsidRPr="009B4214" w:rsidRDefault="00A06816" w:rsidP="00A06816">
            <w:pPr>
              <w:ind w:firstLine="0"/>
              <w:rPr>
                <w:iCs/>
              </w:rPr>
            </w:pPr>
            <w:r w:rsidRPr="009B4214">
              <w:rPr>
                <w:iCs/>
              </w:rPr>
              <w:t xml:space="preserve">De altfel, termenul este utilizat în dispoziții care trebuie să producă efecte de la intrarea în vigoare. Pe de o parte, condiționează funcționarea Capitolului 2, care, pentru </w:t>
            </w:r>
            <w:proofErr w:type="spellStart"/>
            <w:r w:rsidRPr="009B4214">
              <w:rPr>
                <w:iCs/>
              </w:rPr>
              <w:t>criptoactivele</w:t>
            </w:r>
            <w:proofErr w:type="spellEnd"/>
            <w:r w:rsidRPr="009B4214">
              <w:rPr>
                <w:iCs/>
              </w:rPr>
              <w:t xml:space="preserve"> altele decât </w:t>
            </w:r>
            <w:proofErr w:type="spellStart"/>
            <w:r w:rsidRPr="009B4214">
              <w:rPr>
                <w:iCs/>
              </w:rPr>
              <w:t>tokenurile</w:t>
            </w:r>
            <w:proofErr w:type="spellEnd"/>
            <w:r w:rsidRPr="009B4214">
              <w:rPr>
                <w:iCs/>
              </w:rPr>
              <w:t xml:space="preserve"> raportate la active și </w:t>
            </w:r>
            <w:proofErr w:type="spellStart"/>
            <w:r w:rsidRPr="009B4214">
              <w:rPr>
                <w:iCs/>
              </w:rPr>
              <w:t>tokenurile</w:t>
            </w:r>
            <w:proofErr w:type="spellEnd"/>
            <w:r w:rsidRPr="009B4214">
              <w:rPr>
                <w:iCs/>
              </w:rPr>
              <w:t xml:space="preserve"> de monedă electronică, limitează sfera ofertanților și emitenților la entitățile din statele astfel definite; amânarea definiției ar lipsi de efect întreg regimul ofertelor publice pentru această categorie. Pe de altă parte, art. 93 alin. (1) prevede încheierea, atunci când este necesar, a unor acorduri de cooperare cu autoritățile de supraveghere din alte state pentru schimbul de informații — funcție esențială tocmai în etapa pre-aderare. Condiționarea aplicării definiției de data aderării ar lipsi astfel de efect norme centrale ale legii, ceea ce confirmă </w:t>
            </w:r>
            <w:r w:rsidRPr="009B4214">
              <w:rPr>
                <w:iCs/>
              </w:rPr>
              <w:lastRenderedPageBreak/>
              <w:t>necesitatea menținerii sale în regimul general de intrare în vigoare.</w:t>
            </w:r>
          </w:p>
          <w:p w14:paraId="3C23BF44" w14:textId="028C0070" w:rsidR="00A06816" w:rsidRPr="009B4214" w:rsidRDefault="00A06816" w:rsidP="00A06816">
            <w:pPr>
              <w:ind w:firstLine="0"/>
              <w:rPr>
                <w:iCs/>
              </w:rPr>
            </w:pPr>
            <w:r w:rsidRPr="009B4214">
              <w:rPr>
                <w:iCs/>
              </w:rPr>
              <w:t xml:space="preserve">De asemenea, nu se accepta propunerea nici pentru art. 17 alin. (5). Astfel, reiterăm soluția deja reținută: consultarea BCE sau a băncii centrale a altui stat are caracter facultativ și consultativ, corespunzător statutului de stat terț, fără a depinde de aderare. Așadar, transpunerea completă acum asigură stabilitatea cadrului, nu un viciu de aplicabilitate. Este pus la discreția autorităților competente, și creat să funcționeze în baza unui acord de cooperare cu BCE și băncile centrale. Acest mecanism este valabil de la intrare in vigoare a legii. </w:t>
            </w:r>
          </w:p>
        </w:tc>
      </w:tr>
      <w:tr w:rsidR="00A06816" w:rsidRPr="0026420A" w14:paraId="3BA94992" w14:textId="77777777" w:rsidTr="001F4857">
        <w:trPr>
          <w:trHeight w:val="615"/>
        </w:trPr>
        <w:tc>
          <w:tcPr>
            <w:tcW w:w="2206" w:type="dxa"/>
            <w:vMerge/>
            <w:tcMar>
              <w:top w:w="0" w:type="dxa"/>
              <w:left w:w="108" w:type="dxa"/>
              <w:bottom w:w="0" w:type="dxa"/>
              <w:right w:w="108" w:type="dxa"/>
            </w:tcMar>
          </w:tcPr>
          <w:p w14:paraId="44B197E3" w14:textId="77777777" w:rsidR="00A06816" w:rsidRDefault="00A06816" w:rsidP="00A06816">
            <w:pPr>
              <w:ind w:firstLine="0"/>
              <w:jc w:val="left"/>
              <w:rPr>
                <w:b/>
                <w:bCs/>
              </w:rPr>
            </w:pPr>
          </w:p>
        </w:tc>
        <w:tc>
          <w:tcPr>
            <w:tcW w:w="579" w:type="dxa"/>
            <w:tcMar>
              <w:top w:w="0" w:type="dxa"/>
              <w:left w:w="108" w:type="dxa"/>
              <w:bottom w:w="0" w:type="dxa"/>
              <w:right w:w="108" w:type="dxa"/>
            </w:tcMar>
          </w:tcPr>
          <w:p w14:paraId="6C1CB33B"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2414E17C" w14:textId="0A022409" w:rsidR="00A06816" w:rsidRPr="009B4214" w:rsidRDefault="00A06816" w:rsidP="00A06816">
            <w:pPr>
              <w:ind w:firstLine="0"/>
            </w:pPr>
            <w:r w:rsidRPr="009B4214">
              <w:t xml:space="preserve">Cu referire la </w:t>
            </w:r>
            <w:r w:rsidRPr="009B4214">
              <w:rPr>
                <w:b/>
                <w:bCs/>
              </w:rPr>
              <w:t>art. 3,</w:t>
            </w:r>
            <w:r w:rsidRPr="009B4214">
              <w:t xml:space="preserve"> se constată că noțiunile definite în cuprinsul acestuia nu sunt expuse în ordine alfabetică, contrar uzanțelor de tehnică legislativă și practicii consacrate de redactare a actelor normative. În acest context, se consideră necesară revizuirea art. 3 prin expunerea noțiunilor în ordine alfabetică.</w:t>
            </w:r>
          </w:p>
        </w:tc>
        <w:tc>
          <w:tcPr>
            <w:tcW w:w="5281" w:type="dxa"/>
            <w:tcMar>
              <w:top w:w="0" w:type="dxa"/>
              <w:left w:w="108" w:type="dxa"/>
              <w:bottom w:w="0" w:type="dxa"/>
              <w:right w:w="108" w:type="dxa"/>
            </w:tcMar>
          </w:tcPr>
          <w:p w14:paraId="3130974F" w14:textId="77777777" w:rsidR="00A06816" w:rsidRPr="009B4214" w:rsidRDefault="00A06816" w:rsidP="00A06816">
            <w:pPr>
              <w:ind w:firstLine="0"/>
              <w:rPr>
                <w:b/>
                <w:bCs/>
              </w:rPr>
            </w:pPr>
            <w:r w:rsidRPr="009B4214">
              <w:rPr>
                <w:b/>
                <w:bCs/>
              </w:rPr>
              <w:t>Se acceptă.</w:t>
            </w:r>
          </w:p>
          <w:p w14:paraId="501B200C" w14:textId="243CA261" w:rsidR="00A06816" w:rsidRPr="009B4214" w:rsidRDefault="00A06816" w:rsidP="00A06816">
            <w:pPr>
              <w:ind w:firstLine="0"/>
              <w:jc w:val="left"/>
              <w:rPr>
                <w:b/>
                <w:bCs/>
                <w:iCs/>
              </w:rPr>
            </w:pPr>
            <w:r w:rsidRPr="009B4214">
              <w:t>Se ajustează textul articolului vizat al proiectului de Lege în modul corespunzător.</w:t>
            </w:r>
          </w:p>
        </w:tc>
      </w:tr>
      <w:tr w:rsidR="00A06816" w:rsidRPr="0026420A" w14:paraId="0FBE46EB" w14:textId="77777777" w:rsidTr="001F4857">
        <w:trPr>
          <w:trHeight w:val="615"/>
        </w:trPr>
        <w:tc>
          <w:tcPr>
            <w:tcW w:w="2206" w:type="dxa"/>
            <w:vMerge/>
            <w:tcMar>
              <w:top w:w="0" w:type="dxa"/>
              <w:left w:w="108" w:type="dxa"/>
              <w:bottom w:w="0" w:type="dxa"/>
              <w:right w:w="108" w:type="dxa"/>
            </w:tcMar>
          </w:tcPr>
          <w:p w14:paraId="6F5A820F" w14:textId="77777777" w:rsidR="00A06816" w:rsidRDefault="00A06816" w:rsidP="00A06816">
            <w:pPr>
              <w:ind w:firstLine="0"/>
              <w:jc w:val="left"/>
              <w:rPr>
                <w:b/>
                <w:bCs/>
              </w:rPr>
            </w:pPr>
          </w:p>
        </w:tc>
        <w:tc>
          <w:tcPr>
            <w:tcW w:w="579" w:type="dxa"/>
            <w:tcMar>
              <w:top w:w="0" w:type="dxa"/>
              <w:left w:w="108" w:type="dxa"/>
              <w:bottom w:w="0" w:type="dxa"/>
              <w:right w:w="108" w:type="dxa"/>
            </w:tcMar>
          </w:tcPr>
          <w:p w14:paraId="7E3C5994"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3F036EE5" w14:textId="77777777" w:rsidR="00A06816" w:rsidRPr="009B4214" w:rsidRDefault="00A06816" w:rsidP="00A06816">
            <w:pPr>
              <w:ind w:firstLine="0"/>
            </w:pPr>
            <w:r w:rsidRPr="009B4214">
              <w:t>Totodată, cu referire la pct. 29), se constată utilizarea noțiunii de „instituție de credit”, definită ca întreprindere a cărei activitate constă în atragerea de depozite sau de alte fonduri rambursabile de la public și acordarea de credite în cont propriu, inclusiv banca licențiată de Banca Națională a Moldovei, cu trimitere la Legea nr. 202/2017 privind activitatea băncilor.</w:t>
            </w:r>
          </w:p>
          <w:p w14:paraId="01C22DB3" w14:textId="77777777" w:rsidR="00A06816" w:rsidRPr="009B4214" w:rsidRDefault="00A06816" w:rsidP="00A06816">
            <w:pPr>
              <w:ind w:firstLine="0"/>
            </w:pPr>
            <w:r w:rsidRPr="009B4214">
              <w:t>Se relevă faptul că Legea nr. 202/2017 nu utilizează în mod autonom noțiunea de „instituție de credit”, ci operează preponderent cu termenii de „bancă” și „entitate din sectorul financiar”, în funcție de natura activității reglementate. În aceste condiții, utilizarea noțiunii de „instituție de credit” în proiect, fără o corelare expresă cu terminologia legislației naționale, generează neconcordanțe conceptuale și riscuri de interpretare neunitară. Totodată, lipsa unei delimitări clare a sferei subiecților care intră sub incidența acestei noțiuni poate crea incertitudine juridică în ceea ce privește regimul aplicabil, inclusiv sub aspectul autorizării, supravegherii prudențiale și al încadrării operațiunilor financiare realizate de acești participanți.</w:t>
            </w:r>
          </w:p>
          <w:p w14:paraId="6C4584C4" w14:textId="73BC23E2" w:rsidR="00A06816" w:rsidRPr="009B4214" w:rsidRDefault="00A06816" w:rsidP="00A06816">
            <w:pPr>
              <w:ind w:firstLine="0"/>
            </w:pPr>
            <w:r w:rsidRPr="009B4214">
              <w:t xml:space="preserve">În considerarea celor expuse, se concluzionează necesitatea asigurării unei delimitări clare a sferei subiecților vizați de noțiunea utilizată în proiect, precum și a corelării acesteia cu terminologia și conceptele consacrate de legislația națională, în special Legea nr. 202/2017 privind activitatea băncilor. În acest sens, se recomandă fie definirea expresă și unitară a noțiunii în cuprinsul proiectului, fie fundamentarea detaliată a utilizării acesteia în nota de fundamentare, astfel încât să fie eliminate eventualele neclarități de interpretare și să se asigure </w:t>
            </w:r>
            <w:r w:rsidRPr="009B4214">
              <w:lastRenderedPageBreak/>
              <w:t>aplicarea uniformă a regimului juridic incident, inclusiv sub aspectul autorizării și supravegherii prudențiale.</w:t>
            </w:r>
          </w:p>
        </w:tc>
        <w:tc>
          <w:tcPr>
            <w:tcW w:w="5281" w:type="dxa"/>
            <w:tcMar>
              <w:top w:w="0" w:type="dxa"/>
              <w:left w:w="108" w:type="dxa"/>
              <w:bottom w:w="0" w:type="dxa"/>
              <w:right w:w="108" w:type="dxa"/>
            </w:tcMar>
          </w:tcPr>
          <w:p w14:paraId="4D41F965" w14:textId="77777777" w:rsidR="00A06816" w:rsidRPr="009B4214" w:rsidRDefault="00A06816" w:rsidP="00A06816">
            <w:pPr>
              <w:ind w:firstLine="0"/>
              <w:rPr>
                <w:b/>
                <w:bCs/>
              </w:rPr>
            </w:pPr>
            <w:r w:rsidRPr="009B4214">
              <w:rPr>
                <w:b/>
                <w:bCs/>
              </w:rPr>
              <w:lastRenderedPageBreak/>
              <w:t>Se acceptă parțial.</w:t>
            </w:r>
          </w:p>
          <w:p w14:paraId="7709871B" w14:textId="77777777" w:rsidR="00A06816" w:rsidRPr="009B4214" w:rsidRDefault="00A06816" w:rsidP="00A06816">
            <w:pPr>
              <w:ind w:firstLine="0"/>
            </w:pPr>
            <w:r w:rsidRPr="009B4214">
              <w:t xml:space="preserve">În ceea ce privește noțiunea de „instituție de credit”, se relevă că aceasta este utilizată pentru păstrarea coerenței cu arhitectura Regulamentului </w:t>
            </w:r>
            <w:proofErr w:type="spellStart"/>
            <w:r w:rsidRPr="009B4214">
              <w:t>MiCA</w:t>
            </w:r>
            <w:proofErr w:type="spellEnd"/>
            <w:r w:rsidRPr="009B4214">
              <w:t xml:space="preserve"> și cu terminologia acquis-ului Uniunii Europene în materie bancară. Totuși, având în vedere că Legea nr. 202/2017 privind activitatea băncilor operează în principal cu noțiunea de „bancă”, definiția urmează a fi clarificată prin raportare expresă la cadrul național aplicabil, astfel încât să fie evitate necorelările terminologice la etapa aplicării legii.</w:t>
            </w:r>
          </w:p>
          <w:p w14:paraId="43911AD5" w14:textId="77777777" w:rsidR="00A06816" w:rsidRPr="009B4214" w:rsidRDefault="00A06816" w:rsidP="00A06816">
            <w:pPr>
              <w:ind w:firstLine="0"/>
            </w:pPr>
            <w:r w:rsidRPr="009B4214">
              <w:t xml:space="preserve">Nu se consideră oportună substituirea termenului „instituție de credit” în tot textul proiectului cu termenul „bancă”, deoarece proiectul transpune arhitectura </w:t>
            </w:r>
            <w:proofErr w:type="spellStart"/>
            <w:r w:rsidRPr="009B4214">
              <w:t>MiCA</w:t>
            </w:r>
            <w:proofErr w:type="spellEnd"/>
            <w:r w:rsidRPr="009B4214">
              <w:t>, iar Legea 202/2017 privind activitatea bancara  urmează, la rândul său, să fie aliniată la cadrul UE relevant, inclusiv Regulamentul (UE) nr. 575/2013 și Directiva 2013/36/UE. Menținerea termenului „instituție de credit”, corelat prin definiție cu noțiunea de bancă licențiată de Banca Națională potrivit Legii nr. 202/2017, asigură atât funcționalitatea proiectului în cadrul normativ actual, cât și compatibilitatea cu viitoarea aliniere la acquis-</w:t>
            </w:r>
            <w:proofErr w:type="spellStart"/>
            <w:r w:rsidRPr="009B4214">
              <w:t>ul</w:t>
            </w:r>
            <w:proofErr w:type="spellEnd"/>
            <w:r w:rsidRPr="009B4214">
              <w:t xml:space="preserve"> bancar.</w:t>
            </w:r>
          </w:p>
          <w:p w14:paraId="30BF3951" w14:textId="77777777" w:rsidR="00A06816" w:rsidRPr="009B4214" w:rsidRDefault="00A06816" w:rsidP="00A06816">
            <w:pPr>
              <w:ind w:firstLine="0"/>
            </w:pPr>
            <w:r w:rsidRPr="009B4214">
              <w:t>Prin urmare, definiția poate fi reformulată astfel:</w:t>
            </w:r>
          </w:p>
          <w:p w14:paraId="420332BD" w14:textId="03CF8AE7" w:rsidR="00A06816" w:rsidRPr="009B4214" w:rsidRDefault="00A06816" w:rsidP="00A06816">
            <w:pPr>
              <w:ind w:firstLine="0"/>
            </w:pPr>
            <w:r w:rsidRPr="009B4214">
              <w:t xml:space="preserve">„instituție de credit – bancă sau persoană juridică, astfel cum este definită la art. 3 din Legea nr. 202/2017 privind activitatea băncilor (în continuare – Legea nr. 202/2017) a cărei activitate constă în atragerea de depozite sau de alte fonduri rambursabile de la public și în acordarea de credite în cont propriu, și care </w:t>
            </w:r>
            <w:r w:rsidRPr="009B4214">
              <w:lastRenderedPageBreak/>
              <w:t>dispune de o licență sau autorizație eliberată de Banca Națională, în condițiile stabilite de Legea nr. 202/2017;”.</w:t>
            </w:r>
          </w:p>
        </w:tc>
      </w:tr>
      <w:tr w:rsidR="00A06816" w:rsidRPr="0026420A" w14:paraId="5FE02F80" w14:textId="77777777" w:rsidTr="001F4857">
        <w:trPr>
          <w:trHeight w:val="615"/>
        </w:trPr>
        <w:tc>
          <w:tcPr>
            <w:tcW w:w="2206" w:type="dxa"/>
            <w:vMerge/>
            <w:tcMar>
              <w:top w:w="0" w:type="dxa"/>
              <w:left w:w="108" w:type="dxa"/>
              <w:bottom w:w="0" w:type="dxa"/>
              <w:right w:w="108" w:type="dxa"/>
            </w:tcMar>
          </w:tcPr>
          <w:p w14:paraId="64187BAB" w14:textId="77777777" w:rsidR="00A06816" w:rsidRDefault="00A06816" w:rsidP="00A06816">
            <w:pPr>
              <w:ind w:firstLine="0"/>
              <w:jc w:val="left"/>
              <w:rPr>
                <w:b/>
                <w:bCs/>
              </w:rPr>
            </w:pPr>
          </w:p>
        </w:tc>
        <w:tc>
          <w:tcPr>
            <w:tcW w:w="579" w:type="dxa"/>
            <w:tcMar>
              <w:top w:w="0" w:type="dxa"/>
              <w:left w:w="108" w:type="dxa"/>
              <w:bottom w:w="0" w:type="dxa"/>
              <w:right w:w="108" w:type="dxa"/>
            </w:tcMar>
          </w:tcPr>
          <w:p w14:paraId="1A4D2B96"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25635235" w14:textId="77777777" w:rsidR="00A06816" w:rsidRPr="00A27AAF" w:rsidRDefault="00A06816" w:rsidP="00A06816">
            <w:pPr>
              <w:ind w:firstLine="0"/>
            </w:pPr>
            <w:r w:rsidRPr="00A27AAF">
              <w:t xml:space="preserve">La </w:t>
            </w:r>
            <w:r w:rsidRPr="00A27AAF">
              <w:rPr>
                <w:b/>
                <w:bCs/>
              </w:rPr>
              <w:t>art. 4 alin. (3),</w:t>
            </w:r>
            <w:r w:rsidRPr="00A27AAF">
              <w:t xml:space="preserve"> se observă că după enumerarea prevăzută la lit. a) - d), textul conține două reglementări distincte referitoare la aplicarea excepției prevăzute la lit. a), precum și la obligația de notificare aferentă situației prevăzute la lit. d), fără ca acestea să fie individualizate structural potrivit cerințelor de tehnică legislativă.</w:t>
            </w:r>
          </w:p>
          <w:p w14:paraId="6E557B17" w14:textId="77777777" w:rsidR="00A06816" w:rsidRPr="00A27AAF" w:rsidRDefault="00A06816" w:rsidP="00A06816">
            <w:pPr>
              <w:ind w:firstLine="0"/>
            </w:pPr>
            <w:r w:rsidRPr="00A27AAF">
              <w:t>În acest sens, se reține că art. 51 alin. (5) - (7) din Legea nr. 100/2017 cu privire la actele normative stabilește regulile de structurare a articolului, alineatelor, punctelor și literelor, în vederea asigurării clarității, accesibilității și previzibilității normei juridice. Prin urmare, se recomandă revizuirea structurii art. 4 alin. (3), prin delimitarea și numerotarea corespunzătoare a dispozițiilor care succed literelor a) -d), astfel încât acestea să fie integrate în structura normativă a articolului în conformitate cu prevederile art. 51 din Legea nr. 100/2017.</w:t>
            </w:r>
          </w:p>
          <w:p w14:paraId="1D8DD284" w14:textId="60601844" w:rsidR="00A06816" w:rsidRPr="00A27AAF" w:rsidRDefault="00A06816" w:rsidP="00A06816">
            <w:pPr>
              <w:ind w:firstLine="0"/>
            </w:pPr>
            <w:r w:rsidRPr="00A27AAF">
              <w:t>Totodată, se recomandă examinarea întregului proiect sub aspectul respectării regulilor de tehnică legislativă privind sistematizarea și structurarea normelor juridice și revizuirea corespunzătoare a altor dispoziții similare, după caz.</w:t>
            </w:r>
          </w:p>
        </w:tc>
        <w:tc>
          <w:tcPr>
            <w:tcW w:w="5281" w:type="dxa"/>
            <w:tcMar>
              <w:top w:w="0" w:type="dxa"/>
              <w:left w:w="108" w:type="dxa"/>
              <w:bottom w:w="0" w:type="dxa"/>
              <w:right w:w="108" w:type="dxa"/>
            </w:tcMar>
          </w:tcPr>
          <w:p w14:paraId="602589E8" w14:textId="77777777" w:rsidR="00A06816" w:rsidRPr="00A27AAF" w:rsidRDefault="00A06816" w:rsidP="00A06816">
            <w:pPr>
              <w:ind w:firstLine="0"/>
              <w:rPr>
                <w:b/>
                <w:bCs/>
              </w:rPr>
            </w:pPr>
            <w:r w:rsidRPr="00A27AAF">
              <w:rPr>
                <w:b/>
                <w:bCs/>
              </w:rPr>
              <w:t>Se acceptă.</w:t>
            </w:r>
          </w:p>
          <w:p w14:paraId="2401E76B" w14:textId="050FA4A4" w:rsidR="00A06816" w:rsidRPr="00A27AAF" w:rsidRDefault="00A06816" w:rsidP="00A06816">
            <w:pPr>
              <w:ind w:firstLine="0"/>
              <w:jc w:val="left"/>
            </w:pPr>
            <w:r w:rsidRPr="00A27AAF">
              <w:t>Se ajustează textul prevederii vizate din proiectul de Lege în modul corespunzător.</w:t>
            </w:r>
          </w:p>
          <w:p w14:paraId="7BFE5B94" w14:textId="7C87E090" w:rsidR="00A06816" w:rsidRPr="00A27AAF" w:rsidRDefault="00A06816" w:rsidP="00A06816">
            <w:pPr>
              <w:ind w:firstLine="0"/>
              <w:jc w:val="left"/>
              <w:rPr>
                <w:iCs/>
              </w:rPr>
            </w:pPr>
            <w:r w:rsidRPr="00A27AAF">
              <w:rPr>
                <w:iCs/>
              </w:rPr>
              <w:t xml:space="preserve">Astfel, în scopul delimitării dispozițiilor care succed literele a) -d), ultimele </w:t>
            </w:r>
            <w:r w:rsidRPr="00A27AAF">
              <w:t xml:space="preserve">două reglementări </w:t>
            </w:r>
            <w:r w:rsidRPr="00A27AAF">
              <w:rPr>
                <w:iCs/>
              </w:rPr>
              <w:t>ale articolului 4 au fost numerotate în ordinea corespunzător astfel încât acestea să fie integrate în structura normativă a articolului în conformitate cu prevederile art. 51 din Legea nr. 100/2017, și anume prin numerotarea acestora în două alineate distincte – (4) și (5).</w:t>
            </w:r>
          </w:p>
          <w:p w14:paraId="39CAD990" w14:textId="77777777" w:rsidR="00A06816" w:rsidRPr="00A27AAF" w:rsidRDefault="00A06816" w:rsidP="00A06816">
            <w:pPr>
              <w:ind w:firstLine="0"/>
              <w:jc w:val="left"/>
              <w:rPr>
                <w:iCs/>
              </w:rPr>
            </w:pPr>
          </w:p>
          <w:p w14:paraId="1917C6BC" w14:textId="77777777" w:rsidR="00A06816" w:rsidRPr="00A27AAF" w:rsidRDefault="00A06816" w:rsidP="00A06816">
            <w:pPr>
              <w:ind w:firstLine="0"/>
              <w:jc w:val="left"/>
              <w:rPr>
                <w:iCs/>
              </w:rPr>
            </w:pPr>
          </w:p>
          <w:p w14:paraId="5FB73085" w14:textId="77777777" w:rsidR="00A06816" w:rsidRPr="00A27AAF" w:rsidRDefault="00A06816" w:rsidP="00A06816">
            <w:pPr>
              <w:ind w:firstLine="0"/>
              <w:jc w:val="left"/>
              <w:rPr>
                <w:iCs/>
              </w:rPr>
            </w:pPr>
          </w:p>
          <w:p w14:paraId="0DFAE524" w14:textId="77777777" w:rsidR="00A06816" w:rsidRPr="00A27AAF" w:rsidRDefault="00A06816" w:rsidP="00A06816">
            <w:pPr>
              <w:ind w:firstLine="0"/>
              <w:jc w:val="left"/>
              <w:rPr>
                <w:iCs/>
              </w:rPr>
            </w:pPr>
          </w:p>
          <w:p w14:paraId="33503BDC" w14:textId="77777777" w:rsidR="00A06816" w:rsidRPr="00A27AAF" w:rsidRDefault="00A06816" w:rsidP="00A06816">
            <w:pPr>
              <w:ind w:firstLine="0"/>
              <w:jc w:val="left"/>
              <w:rPr>
                <w:iCs/>
              </w:rPr>
            </w:pPr>
          </w:p>
          <w:p w14:paraId="18A29297" w14:textId="41D0ACC9" w:rsidR="00A06816" w:rsidRPr="00A27AAF" w:rsidRDefault="00A06816" w:rsidP="00A06816">
            <w:pPr>
              <w:ind w:firstLine="0"/>
              <w:jc w:val="left"/>
              <w:rPr>
                <w:iCs/>
              </w:rPr>
            </w:pPr>
            <w:r w:rsidRPr="00A27AAF">
              <w:rPr>
                <w:iCs/>
              </w:rPr>
              <w:t>Totodată, după același principiu au fost adăugate următoarele alineate noi:</w:t>
            </w:r>
          </w:p>
          <w:p w14:paraId="191FA9A9" w14:textId="59E10995" w:rsidR="00A06816" w:rsidRPr="00A27AAF" w:rsidRDefault="00A06816" w:rsidP="00A06816">
            <w:pPr>
              <w:pStyle w:val="Listparagraf"/>
              <w:numPr>
                <w:ilvl w:val="0"/>
                <w:numId w:val="8"/>
              </w:numPr>
              <w:jc w:val="left"/>
              <w:rPr>
                <w:iCs/>
              </w:rPr>
            </w:pPr>
            <w:r w:rsidRPr="00A27AAF">
              <w:rPr>
                <w:iCs/>
              </w:rPr>
              <w:t>(2) și (5) la art. 6;</w:t>
            </w:r>
          </w:p>
          <w:p w14:paraId="55FD5BF6" w14:textId="209CB07C" w:rsidR="00A06816" w:rsidRPr="00A27AAF" w:rsidRDefault="00A06816" w:rsidP="00A06816">
            <w:pPr>
              <w:pStyle w:val="Listparagraf"/>
              <w:numPr>
                <w:ilvl w:val="0"/>
                <w:numId w:val="8"/>
              </w:numPr>
              <w:jc w:val="left"/>
              <w:rPr>
                <w:iCs/>
              </w:rPr>
            </w:pPr>
            <w:r w:rsidRPr="00A27AAF">
              <w:rPr>
                <w:iCs/>
              </w:rPr>
              <w:t>(2) la art. 7;</w:t>
            </w:r>
          </w:p>
          <w:p w14:paraId="0C1ED0E7" w14:textId="37574DFC" w:rsidR="00A06816" w:rsidRPr="00A27AAF" w:rsidRDefault="00A06816" w:rsidP="00A06816">
            <w:pPr>
              <w:pStyle w:val="Listparagraf"/>
              <w:numPr>
                <w:ilvl w:val="0"/>
                <w:numId w:val="8"/>
              </w:numPr>
              <w:jc w:val="left"/>
              <w:rPr>
                <w:iCs/>
              </w:rPr>
            </w:pPr>
            <w:r w:rsidRPr="00A27AAF">
              <w:rPr>
                <w:iCs/>
              </w:rPr>
              <w:t>(6) și (9) la art. 8;</w:t>
            </w:r>
          </w:p>
          <w:p w14:paraId="093240E6" w14:textId="591D320D" w:rsidR="00A06816" w:rsidRPr="00A27AAF" w:rsidRDefault="00A06816" w:rsidP="00A06816">
            <w:pPr>
              <w:pStyle w:val="Listparagraf"/>
              <w:numPr>
                <w:ilvl w:val="0"/>
                <w:numId w:val="8"/>
              </w:numPr>
              <w:jc w:val="left"/>
              <w:rPr>
                <w:iCs/>
              </w:rPr>
            </w:pPr>
            <w:r w:rsidRPr="00A27AAF">
              <w:rPr>
                <w:iCs/>
              </w:rPr>
              <w:t>(2) și (4) la art. 13;</w:t>
            </w:r>
          </w:p>
          <w:p w14:paraId="1A314787" w14:textId="3396EBA4" w:rsidR="00A06816" w:rsidRPr="00A27AAF" w:rsidRDefault="00A06816" w:rsidP="00A06816">
            <w:pPr>
              <w:pStyle w:val="Listparagraf"/>
              <w:numPr>
                <w:ilvl w:val="0"/>
                <w:numId w:val="8"/>
              </w:numPr>
              <w:jc w:val="left"/>
              <w:rPr>
                <w:iCs/>
              </w:rPr>
            </w:pPr>
            <w:r w:rsidRPr="00A27AAF">
              <w:rPr>
                <w:iCs/>
              </w:rPr>
              <w:t>(2) și (4) la art. 16;</w:t>
            </w:r>
          </w:p>
          <w:p w14:paraId="1DB52B59" w14:textId="77777777" w:rsidR="00A06816" w:rsidRPr="00A27AAF" w:rsidRDefault="00A06816" w:rsidP="00A06816">
            <w:pPr>
              <w:pStyle w:val="Listparagraf"/>
              <w:numPr>
                <w:ilvl w:val="0"/>
                <w:numId w:val="8"/>
              </w:numPr>
              <w:jc w:val="left"/>
              <w:rPr>
                <w:iCs/>
              </w:rPr>
            </w:pPr>
            <w:r w:rsidRPr="00A27AAF">
              <w:rPr>
                <w:iCs/>
              </w:rPr>
              <w:t>(2) la art. 19;</w:t>
            </w:r>
          </w:p>
          <w:p w14:paraId="6E992922" w14:textId="77777777" w:rsidR="00A06816" w:rsidRPr="00A27AAF" w:rsidRDefault="00A06816" w:rsidP="00A06816">
            <w:pPr>
              <w:pStyle w:val="Listparagraf"/>
              <w:numPr>
                <w:ilvl w:val="0"/>
                <w:numId w:val="8"/>
              </w:numPr>
              <w:jc w:val="left"/>
              <w:rPr>
                <w:iCs/>
              </w:rPr>
            </w:pPr>
            <w:r w:rsidRPr="00A27AAF">
              <w:rPr>
                <w:iCs/>
              </w:rPr>
              <w:t>(2) și (3) la art. 22;</w:t>
            </w:r>
          </w:p>
          <w:p w14:paraId="656DADA9" w14:textId="77777777" w:rsidR="00A06816" w:rsidRPr="00A27AAF" w:rsidRDefault="00A06816" w:rsidP="00A06816">
            <w:pPr>
              <w:pStyle w:val="Listparagraf"/>
              <w:numPr>
                <w:ilvl w:val="0"/>
                <w:numId w:val="8"/>
              </w:numPr>
              <w:jc w:val="left"/>
              <w:rPr>
                <w:iCs/>
              </w:rPr>
            </w:pPr>
            <w:r w:rsidRPr="00A27AAF">
              <w:rPr>
                <w:iCs/>
              </w:rPr>
              <w:t>(7) la art. 24;</w:t>
            </w:r>
          </w:p>
          <w:p w14:paraId="74061B95" w14:textId="2AE6A781" w:rsidR="00A06816" w:rsidRPr="00A27AAF" w:rsidRDefault="00A06816" w:rsidP="00A06816">
            <w:pPr>
              <w:pStyle w:val="Listparagraf"/>
              <w:numPr>
                <w:ilvl w:val="0"/>
                <w:numId w:val="8"/>
              </w:numPr>
              <w:jc w:val="left"/>
              <w:rPr>
                <w:iCs/>
              </w:rPr>
            </w:pPr>
            <w:r w:rsidRPr="00A27AAF">
              <w:rPr>
                <w:iCs/>
              </w:rPr>
              <w:t>(2), (3), (4), (5), (8), (9) la art. 25;</w:t>
            </w:r>
          </w:p>
          <w:p w14:paraId="6B8EF450" w14:textId="09CA4531" w:rsidR="00A06816" w:rsidRPr="00A27AAF" w:rsidRDefault="00A06816" w:rsidP="00A06816">
            <w:pPr>
              <w:pStyle w:val="Listparagraf"/>
              <w:numPr>
                <w:ilvl w:val="0"/>
                <w:numId w:val="8"/>
              </w:numPr>
              <w:jc w:val="left"/>
              <w:rPr>
                <w:iCs/>
              </w:rPr>
            </w:pPr>
            <w:r w:rsidRPr="00A27AAF">
              <w:rPr>
                <w:iCs/>
              </w:rPr>
              <w:t>(6) și (15) la art. 34;</w:t>
            </w:r>
          </w:p>
          <w:p w14:paraId="64D1CE32" w14:textId="61068D3E" w:rsidR="00A06816" w:rsidRPr="00A27AAF" w:rsidRDefault="00A06816" w:rsidP="00A06816">
            <w:pPr>
              <w:pStyle w:val="Listparagraf"/>
              <w:numPr>
                <w:ilvl w:val="0"/>
                <w:numId w:val="8"/>
              </w:numPr>
              <w:jc w:val="left"/>
              <w:rPr>
                <w:iCs/>
              </w:rPr>
            </w:pPr>
            <w:r w:rsidRPr="00A27AAF">
              <w:rPr>
                <w:iCs/>
              </w:rPr>
              <w:t>(6) la art. 38;</w:t>
            </w:r>
          </w:p>
        </w:tc>
      </w:tr>
      <w:tr w:rsidR="00A06816" w:rsidRPr="0026420A" w14:paraId="55070D1F" w14:textId="77777777" w:rsidTr="001F4857">
        <w:trPr>
          <w:trHeight w:val="615"/>
        </w:trPr>
        <w:tc>
          <w:tcPr>
            <w:tcW w:w="2206" w:type="dxa"/>
            <w:vMerge/>
            <w:tcMar>
              <w:top w:w="0" w:type="dxa"/>
              <w:left w:w="108" w:type="dxa"/>
              <w:bottom w:w="0" w:type="dxa"/>
              <w:right w:w="108" w:type="dxa"/>
            </w:tcMar>
          </w:tcPr>
          <w:p w14:paraId="46FB9697" w14:textId="131E63CA" w:rsidR="00A06816" w:rsidRDefault="00A06816" w:rsidP="00A06816">
            <w:pPr>
              <w:ind w:firstLine="0"/>
              <w:jc w:val="left"/>
              <w:rPr>
                <w:b/>
                <w:bCs/>
              </w:rPr>
            </w:pPr>
          </w:p>
        </w:tc>
        <w:tc>
          <w:tcPr>
            <w:tcW w:w="579" w:type="dxa"/>
            <w:tcMar>
              <w:top w:w="0" w:type="dxa"/>
              <w:left w:w="108" w:type="dxa"/>
              <w:bottom w:w="0" w:type="dxa"/>
              <w:right w:w="108" w:type="dxa"/>
            </w:tcMar>
          </w:tcPr>
          <w:p w14:paraId="3CCCEF1B"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740CB740" w14:textId="77777777" w:rsidR="00A06816" w:rsidRDefault="00A06816" w:rsidP="00A06816">
            <w:pPr>
              <w:ind w:firstLine="0"/>
            </w:pPr>
            <w:r>
              <w:t xml:space="preserve">Cu referire la art. 6 alin. (1), se observă că acesta stabilește că o carte albă pentru </w:t>
            </w:r>
            <w:proofErr w:type="spellStart"/>
            <w:r>
              <w:t>criptoactive</w:t>
            </w:r>
            <w:proofErr w:type="spellEnd"/>
            <w:r>
              <w:t xml:space="preserve"> trebuie să conțină toate informațiile prevăzute la lit. a) - j), „astfel cum se detaliază în Anexa nr. 1”. Totuși, la examinarea conținutului Anexei nr. 1, nu au fost identificate prevederi care să detalieze informațiile menționate la lit. j), referitoare la principalele efecte negative asupra climei și alte efecte negative legate de mediu ale mecanismului de consens utilizat pentru emiterea </w:t>
            </w:r>
            <w:proofErr w:type="spellStart"/>
            <w:r>
              <w:t>criptoactivului</w:t>
            </w:r>
            <w:proofErr w:type="spellEnd"/>
            <w:r>
              <w:t>.</w:t>
            </w:r>
          </w:p>
          <w:p w14:paraId="1CFDA6E4" w14:textId="26DF159A" w:rsidR="00A06816" w:rsidRPr="009B21EE" w:rsidRDefault="00A06816" w:rsidP="00A06816">
            <w:pPr>
              <w:ind w:firstLine="0"/>
            </w:pPr>
            <w:r>
              <w:t xml:space="preserve">În aceste condiții, se creează o necorelare între norma de trimitere din art. 6 alin. (1) și conținutul Anexei nr. 1, fapt ce poate genera dificultăți în aplicarea și interpretarea prevederilor proiectului. Prin urmare, considerăm oportună revizuirea și corelarea dispozițiilor art. 6 alin. (1) </w:t>
            </w:r>
            <w:r>
              <w:lastRenderedPageBreak/>
              <w:t>cu prevederile Anexei nr. 1, inclusiv prin completarea anexei cu informațiile corespunzătoare lit. j) sau, după caz, prin ajustarea textului normativ, astfel încât reglementarea să fie clară, completă și coerentă.</w:t>
            </w:r>
          </w:p>
        </w:tc>
        <w:tc>
          <w:tcPr>
            <w:tcW w:w="5281" w:type="dxa"/>
            <w:tcMar>
              <w:top w:w="0" w:type="dxa"/>
              <w:left w:w="108" w:type="dxa"/>
              <w:bottom w:w="0" w:type="dxa"/>
              <w:right w:w="108" w:type="dxa"/>
            </w:tcMar>
          </w:tcPr>
          <w:p w14:paraId="511D527C" w14:textId="2235DB58" w:rsidR="00A06816" w:rsidRDefault="002D3742" w:rsidP="00A06816">
            <w:pPr>
              <w:ind w:firstLine="0"/>
              <w:jc w:val="left"/>
              <w:rPr>
                <w:b/>
                <w:bCs/>
                <w:iCs/>
              </w:rPr>
            </w:pPr>
            <w:r>
              <w:rPr>
                <w:b/>
                <w:bCs/>
                <w:iCs/>
              </w:rPr>
              <w:lastRenderedPageBreak/>
              <w:t>Se acceptă.</w:t>
            </w:r>
          </w:p>
          <w:p w14:paraId="05B5FAA5" w14:textId="42D7A277" w:rsidR="00A06816" w:rsidRDefault="00A06816" w:rsidP="00A06816">
            <w:pPr>
              <w:ind w:firstLine="0"/>
              <w:rPr>
                <w:iCs/>
              </w:rPr>
            </w:pPr>
            <w:r>
              <w:rPr>
                <w:iCs/>
              </w:rPr>
              <w:t>D</w:t>
            </w:r>
            <w:r w:rsidRPr="0074132C">
              <w:rPr>
                <w:iCs/>
              </w:rPr>
              <w:t xml:space="preserve">ispoziția analizată realizează o transpunere fidelă a cadrului normativ european, stabilind în mod expres structura informațiilor care trebuie incluse în cartea albă pentru </w:t>
            </w:r>
            <w:proofErr w:type="spellStart"/>
            <w:r w:rsidRPr="0074132C">
              <w:rPr>
                <w:iCs/>
              </w:rPr>
              <w:t>criptoactive</w:t>
            </w:r>
            <w:proofErr w:type="spellEnd"/>
            <w:r w:rsidRPr="0074132C">
              <w:rPr>
                <w:iCs/>
              </w:rPr>
              <w:t>, printr-o normă de trimitere la detalierea tehnică prevăzută în Anexa nr. 1.</w:t>
            </w:r>
            <w:r>
              <w:rPr>
                <w:iCs/>
              </w:rPr>
              <w:t xml:space="preserve"> </w:t>
            </w:r>
            <w:r w:rsidRPr="000C04B5">
              <w:rPr>
                <w:iCs/>
              </w:rPr>
              <w:t xml:space="preserve">În acest sens, Anexa nr. 1 nu are </w:t>
            </w:r>
            <w:r>
              <w:rPr>
                <w:iCs/>
              </w:rPr>
              <w:t>scopul</w:t>
            </w:r>
            <w:r w:rsidRPr="000C04B5">
              <w:rPr>
                <w:iCs/>
              </w:rPr>
              <w:t xml:space="preserve"> de a reproduce exhaustiv fiecare literă a alin. (1), ci de a operaționaliza conținutul normativ stabilit în textul principal, în vederea asigurării coerenței și aplicării uniforme a dispozițiilor.</w:t>
            </w:r>
          </w:p>
          <w:p w14:paraId="3F5B268A" w14:textId="77777777" w:rsidR="00A06816" w:rsidRDefault="00A06816" w:rsidP="002D3742">
            <w:pPr>
              <w:ind w:firstLine="0"/>
              <w:rPr>
                <w:iCs/>
              </w:rPr>
            </w:pPr>
            <w:r w:rsidRPr="000C04B5">
              <w:rPr>
                <w:iCs/>
              </w:rPr>
              <w:t>Totodată, în raport cu lit. j), referitoare la efectele asupra climei și mediului ale mecanismului de consens, se constată că acestea sunt acoperit</w:t>
            </w:r>
            <w:r w:rsidR="002D3742">
              <w:rPr>
                <w:iCs/>
              </w:rPr>
              <w:t>e normativ prin art. 6 alin. (14</w:t>
            </w:r>
            <w:r w:rsidRPr="000C04B5">
              <w:rPr>
                <w:iCs/>
              </w:rPr>
              <w:t xml:space="preserve">), care dezvoltă în </w:t>
            </w:r>
            <w:r w:rsidRPr="000C04B5">
              <w:rPr>
                <w:iCs/>
              </w:rPr>
              <w:lastRenderedPageBreak/>
              <w:t xml:space="preserve">mod expres conținutul și modul de prezentare a informațiilor privind impactul asupra mediului. </w:t>
            </w:r>
          </w:p>
          <w:p w14:paraId="49F848A0" w14:textId="0D7FA73D" w:rsidR="002D3742" w:rsidRPr="0074132C" w:rsidRDefault="002D3742" w:rsidP="002D3742">
            <w:pPr>
              <w:ind w:firstLine="0"/>
              <w:rPr>
                <w:iCs/>
              </w:rPr>
            </w:pPr>
            <w:r>
              <w:rPr>
                <w:iCs/>
              </w:rPr>
              <w:t>Totodată, anexa nr.1 a fost completată în modul corespunzător cu un compartiment suplimentar cu referire la acest aspect.</w:t>
            </w:r>
          </w:p>
        </w:tc>
      </w:tr>
      <w:tr w:rsidR="00A06816" w:rsidRPr="0026420A" w14:paraId="4CE1B13C" w14:textId="77777777" w:rsidTr="007A64D1">
        <w:trPr>
          <w:trHeight w:val="3284"/>
        </w:trPr>
        <w:tc>
          <w:tcPr>
            <w:tcW w:w="2206" w:type="dxa"/>
            <w:vMerge/>
            <w:tcMar>
              <w:top w:w="0" w:type="dxa"/>
              <w:left w:w="108" w:type="dxa"/>
              <w:bottom w:w="0" w:type="dxa"/>
              <w:right w:w="108" w:type="dxa"/>
            </w:tcMar>
          </w:tcPr>
          <w:p w14:paraId="4C1C296F" w14:textId="77777777" w:rsidR="00A06816" w:rsidRDefault="00A06816" w:rsidP="00A06816">
            <w:pPr>
              <w:ind w:firstLine="0"/>
              <w:jc w:val="left"/>
              <w:rPr>
                <w:b/>
                <w:bCs/>
              </w:rPr>
            </w:pPr>
          </w:p>
        </w:tc>
        <w:tc>
          <w:tcPr>
            <w:tcW w:w="579" w:type="dxa"/>
            <w:tcMar>
              <w:top w:w="0" w:type="dxa"/>
              <w:left w:w="108" w:type="dxa"/>
              <w:bottom w:w="0" w:type="dxa"/>
              <w:right w:w="108" w:type="dxa"/>
            </w:tcMar>
          </w:tcPr>
          <w:p w14:paraId="6F6E6129"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5D2E02B3" w14:textId="77777777" w:rsidR="00A06816" w:rsidRPr="009B4214" w:rsidRDefault="00A06816" w:rsidP="00A06816">
            <w:pPr>
              <w:ind w:firstLine="0"/>
            </w:pPr>
            <w:r w:rsidRPr="009B4214">
              <w:t xml:space="preserve">La </w:t>
            </w:r>
            <w:r w:rsidRPr="009B4214">
              <w:rPr>
                <w:b/>
                <w:bCs/>
              </w:rPr>
              <w:t>alin. (12),</w:t>
            </w:r>
            <w:r w:rsidRPr="009B4214">
              <w:t xml:space="preserve"> sintagma „</w:t>
            </w:r>
            <w:r w:rsidRPr="009B4214">
              <w:rPr>
                <w:i/>
                <w:iCs/>
              </w:rPr>
              <w:t>de reglementare</w:t>
            </w:r>
            <w:r w:rsidRPr="009B4214">
              <w:t>” din cuvintele „</w:t>
            </w:r>
            <w:r w:rsidRPr="009B4214">
              <w:rPr>
                <w:i/>
                <w:iCs/>
              </w:rPr>
              <w:t xml:space="preserve">acte normative de reglementare” </w:t>
            </w:r>
            <w:r w:rsidRPr="009B4214">
              <w:t xml:space="preserve">se propun a fi excluse ca fiind excedente. În acest sens, potrivit definiției de „act normativ” prevăzută în Legea nr. 100/2017, actul normativ este actul juridic care stabilește, modifică sau abrogă norme juridice și </w:t>
            </w:r>
            <w:r w:rsidRPr="009B4214">
              <w:rPr>
                <w:b/>
                <w:bCs/>
              </w:rPr>
              <w:t>care reglementează nașterea, modificarea sau stingerea raporturilor juridice, fiind aplicabil unui număr nedeterminat de situații identice.</w:t>
            </w:r>
            <w:r w:rsidRPr="009B4214">
              <w:t xml:space="preserve"> Prin urmare, caracterul de reglementare este intrinsec noțiunii de act normativ, fiind deja inclus în conținutul acesteia. În aceste condiții, utilizarea suplimentară a sintagmei „</w:t>
            </w:r>
            <w:r w:rsidRPr="009B4214">
              <w:rPr>
                <w:i/>
                <w:iCs/>
              </w:rPr>
              <w:t>de reglementare</w:t>
            </w:r>
            <w:r w:rsidRPr="009B4214">
              <w:t>” este redundantă și excedentară.</w:t>
            </w:r>
          </w:p>
          <w:p w14:paraId="789259ED" w14:textId="492A7F25" w:rsidR="00A06816" w:rsidRPr="009B4214" w:rsidRDefault="00A06816" w:rsidP="00A06816">
            <w:pPr>
              <w:ind w:firstLine="0"/>
            </w:pPr>
            <w:r w:rsidRPr="009B4214">
              <w:t>Totodată, prezenta obiecție este valabilă și pentru toate situațiile similare din cuprinsul proiectului în care este utilizată sintagma „acte normative de reglementare”.</w:t>
            </w:r>
          </w:p>
        </w:tc>
        <w:tc>
          <w:tcPr>
            <w:tcW w:w="5281" w:type="dxa"/>
            <w:tcMar>
              <w:top w:w="0" w:type="dxa"/>
              <w:left w:w="108" w:type="dxa"/>
              <w:bottom w:w="0" w:type="dxa"/>
              <w:right w:w="108" w:type="dxa"/>
            </w:tcMar>
          </w:tcPr>
          <w:p w14:paraId="7A830A7F" w14:textId="77777777" w:rsidR="00A06816" w:rsidRPr="009B4214" w:rsidRDefault="00A06816" w:rsidP="00A06816">
            <w:pPr>
              <w:ind w:firstLine="0"/>
              <w:rPr>
                <w:b/>
                <w:bCs/>
              </w:rPr>
            </w:pPr>
            <w:r w:rsidRPr="009B4214">
              <w:rPr>
                <w:b/>
                <w:bCs/>
              </w:rPr>
              <w:t>Se acceptă.</w:t>
            </w:r>
          </w:p>
          <w:p w14:paraId="5999454B" w14:textId="5F1E7DEE" w:rsidR="00A06816" w:rsidRPr="009B4214" w:rsidRDefault="00A06816" w:rsidP="00A06816">
            <w:pPr>
              <w:ind w:firstLine="0"/>
              <w:jc w:val="left"/>
              <w:rPr>
                <w:iCs/>
              </w:rPr>
            </w:pPr>
            <w:r w:rsidRPr="009B4214">
              <w:t xml:space="preserve">Se ajustează textul prevederii vizate din proiectul de Lege, prin </w:t>
            </w:r>
            <w:r w:rsidRPr="009B4214">
              <w:rPr>
                <w:iCs/>
              </w:rPr>
              <w:t>înlocuirea cu sintagma „acte normative de punere în aplicare a prezentei legi”, la forma gramaticală corespunzătoare.</w:t>
            </w:r>
          </w:p>
          <w:p w14:paraId="2190D901" w14:textId="1E051B13" w:rsidR="00A06816" w:rsidRPr="009B4214" w:rsidRDefault="00A06816" w:rsidP="00A06816">
            <w:pPr>
              <w:ind w:firstLine="0"/>
              <w:jc w:val="left"/>
              <w:rPr>
                <w:iCs/>
              </w:rPr>
            </w:pPr>
            <w:r w:rsidRPr="009B4214">
              <w:rPr>
                <w:iCs/>
              </w:rPr>
              <w:t xml:space="preserve">Totodată, se ajustează și celelalte prevederi din </w:t>
            </w:r>
            <w:r w:rsidRPr="009B4214">
              <w:t xml:space="preserve">proiectul de Lege, unde similar se fac </w:t>
            </w:r>
            <w:r w:rsidRPr="009B4214">
              <w:rPr>
                <w:iCs/>
              </w:rPr>
              <w:t xml:space="preserve">mențiunile de „acte normative de reglementare” în conținutul textului. </w:t>
            </w:r>
          </w:p>
        </w:tc>
      </w:tr>
      <w:tr w:rsidR="00A06816" w:rsidRPr="0026420A" w14:paraId="3DAF8B47" w14:textId="77777777" w:rsidTr="001F4857">
        <w:trPr>
          <w:trHeight w:val="615"/>
        </w:trPr>
        <w:tc>
          <w:tcPr>
            <w:tcW w:w="2206" w:type="dxa"/>
            <w:vMerge/>
            <w:tcMar>
              <w:top w:w="0" w:type="dxa"/>
              <w:left w:w="108" w:type="dxa"/>
              <w:bottom w:w="0" w:type="dxa"/>
              <w:right w:w="108" w:type="dxa"/>
            </w:tcMar>
          </w:tcPr>
          <w:p w14:paraId="409B130E" w14:textId="77777777" w:rsidR="00A06816" w:rsidRDefault="00A06816" w:rsidP="00A06816">
            <w:pPr>
              <w:ind w:firstLine="0"/>
              <w:jc w:val="left"/>
              <w:rPr>
                <w:b/>
                <w:bCs/>
              </w:rPr>
            </w:pPr>
          </w:p>
        </w:tc>
        <w:tc>
          <w:tcPr>
            <w:tcW w:w="579" w:type="dxa"/>
            <w:tcMar>
              <w:top w:w="0" w:type="dxa"/>
              <w:left w:w="108" w:type="dxa"/>
              <w:bottom w:w="0" w:type="dxa"/>
              <w:right w:w="108" w:type="dxa"/>
            </w:tcMar>
          </w:tcPr>
          <w:p w14:paraId="1836D056"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09E33B54" w14:textId="2C334274" w:rsidR="00A06816" w:rsidRPr="009B4214" w:rsidRDefault="00A06816" w:rsidP="00A06816">
            <w:pPr>
              <w:ind w:firstLine="0"/>
            </w:pPr>
            <w:r w:rsidRPr="009B4214">
              <w:t xml:space="preserve">La </w:t>
            </w:r>
            <w:r w:rsidRPr="009B4214">
              <w:rPr>
                <w:b/>
                <w:bCs/>
              </w:rPr>
              <w:t>art. 13 alin. (1),</w:t>
            </w:r>
            <w:r w:rsidRPr="009B4214">
              <w:t xml:space="preserve"> cuvântul „calendaristice” se va evita la determinarea curgerii și calculării termenilor. Or, aceasta este regula generală de curgere a termenului. În caz contrar, se poate interpreta per a </w:t>
            </w:r>
            <w:proofErr w:type="spellStart"/>
            <w:r w:rsidRPr="009B4214">
              <w:t>contrario</w:t>
            </w:r>
            <w:proofErr w:type="spellEnd"/>
            <w:r w:rsidRPr="009B4214">
              <w:t xml:space="preserve"> că, în celelalte cazuri în care nu s-a specificat că, zilele sunt calendaristice, de fapt se au în vedere zile </w:t>
            </w:r>
            <w:proofErr w:type="spellStart"/>
            <w:r w:rsidRPr="009B4214">
              <w:t>lucrăto</w:t>
            </w:r>
            <w:proofErr w:type="spellEnd"/>
            <w:r w:rsidRPr="009B4214">
              <w:rPr>
                <w:lang w:val="ro-MD"/>
              </w:rPr>
              <w:t>are (obiecție aplicabilă și pentru art. 14 alin. (3) și art. 58 alin. (2) lit. b) și alin. (6)).</w:t>
            </w:r>
          </w:p>
        </w:tc>
        <w:tc>
          <w:tcPr>
            <w:tcW w:w="5281" w:type="dxa"/>
            <w:tcMar>
              <w:top w:w="0" w:type="dxa"/>
              <w:left w:w="108" w:type="dxa"/>
              <w:bottom w:w="0" w:type="dxa"/>
              <w:right w:w="108" w:type="dxa"/>
            </w:tcMar>
          </w:tcPr>
          <w:p w14:paraId="4034E408" w14:textId="77777777" w:rsidR="00A06816" w:rsidRPr="009B4214" w:rsidRDefault="00A06816" w:rsidP="00A06816">
            <w:pPr>
              <w:ind w:firstLine="0"/>
              <w:rPr>
                <w:b/>
                <w:bCs/>
              </w:rPr>
            </w:pPr>
            <w:r w:rsidRPr="009B4214">
              <w:rPr>
                <w:b/>
                <w:bCs/>
              </w:rPr>
              <w:t>Se acceptă.</w:t>
            </w:r>
          </w:p>
          <w:p w14:paraId="456F5E6D" w14:textId="77777777" w:rsidR="00A06816" w:rsidRPr="009B4214" w:rsidRDefault="00A06816" w:rsidP="00A06816">
            <w:pPr>
              <w:ind w:firstLine="0"/>
              <w:jc w:val="left"/>
            </w:pPr>
            <w:r w:rsidRPr="009B4214">
              <w:t>Se ajustează textul prevederii vizate din proiectul de Lege,   prin excluderea  cuvântului „calendaristice”.</w:t>
            </w:r>
          </w:p>
          <w:p w14:paraId="6D67AEF3" w14:textId="67B478E9" w:rsidR="00A06816" w:rsidRPr="009B4214" w:rsidRDefault="00A06816" w:rsidP="00A06816">
            <w:pPr>
              <w:ind w:firstLine="0"/>
              <w:jc w:val="left"/>
              <w:rPr>
                <w:b/>
                <w:bCs/>
                <w:iCs/>
              </w:rPr>
            </w:pPr>
            <w:r w:rsidRPr="009B4214">
              <w:t xml:space="preserve"> Totodată, se ajustează și celelalte prevederi din proiectul de Lege, prin excluderea  cuvântului „calendaristice”, așa cum aceasta se subînțelege prin „zile”, iar unde există necesitatea evidențierii altui sens, a fost utilizată sintagma „zile lucrătoare”.</w:t>
            </w:r>
          </w:p>
        </w:tc>
      </w:tr>
      <w:tr w:rsidR="00A06816" w:rsidRPr="0026420A" w14:paraId="3BF4E6FF" w14:textId="77777777" w:rsidTr="001F4857">
        <w:trPr>
          <w:trHeight w:val="615"/>
        </w:trPr>
        <w:tc>
          <w:tcPr>
            <w:tcW w:w="2206" w:type="dxa"/>
            <w:vMerge/>
            <w:tcMar>
              <w:top w:w="0" w:type="dxa"/>
              <w:left w:w="108" w:type="dxa"/>
              <w:bottom w:w="0" w:type="dxa"/>
              <w:right w:w="108" w:type="dxa"/>
            </w:tcMar>
          </w:tcPr>
          <w:p w14:paraId="0B417F22" w14:textId="77777777" w:rsidR="00A06816" w:rsidRDefault="00A06816" w:rsidP="00A06816">
            <w:pPr>
              <w:ind w:firstLine="0"/>
              <w:jc w:val="left"/>
              <w:rPr>
                <w:b/>
                <w:bCs/>
              </w:rPr>
            </w:pPr>
          </w:p>
        </w:tc>
        <w:tc>
          <w:tcPr>
            <w:tcW w:w="579" w:type="dxa"/>
            <w:tcMar>
              <w:top w:w="0" w:type="dxa"/>
              <w:left w:w="108" w:type="dxa"/>
              <w:bottom w:w="0" w:type="dxa"/>
              <w:right w:w="108" w:type="dxa"/>
            </w:tcMar>
          </w:tcPr>
          <w:p w14:paraId="6AB6FB1D"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7415232D" w14:textId="77777777" w:rsidR="00A06816" w:rsidRPr="009B4214" w:rsidRDefault="00A06816" w:rsidP="00A06816">
            <w:pPr>
              <w:ind w:firstLine="0"/>
              <w:rPr>
                <w:b/>
                <w:bCs/>
              </w:rPr>
            </w:pPr>
            <w:r w:rsidRPr="009B4214">
              <w:t xml:space="preserve">În ceea ce privește </w:t>
            </w:r>
            <w:r w:rsidRPr="009B4214">
              <w:rPr>
                <w:b/>
                <w:bCs/>
              </w:rPr>
              <w:t>art. 17</w:t>
            </w:r>
            <w:r w:rsidRPr="009B4214">
              <w:t xml:space="preserve"> din proiect, se constată că structura normei nu corespunde exigențelor de tehnică legislativă prevăzute de art. 51 alin. (5) - (7) din Legea nr. 100/2017, potrivit cărora articolul poate fi divizat în alineate, constituite, de regulă, dintr-o singură propoziție sau frază, </w:t>
            </w:r>
            <w:r w:rsidRPr="009B4214">
              <w:rPr>
                <w:b/>
                <w:bCs/>
              </w:rPr>
              <w:t>iar în cazul unei structuri complexe a actului normativ, alineatul poate fi divizat mai întâi în puncte însemnate cu numere ordinare, exprimate prin cifre arabe, urmate de o paranteză, iar la rândul lor punctele pot fi divizate în litere, însemnate succesiv cu litere latine mici, urmate de o paranteză.</w:t>
            </w:r>
          </w:p>
          <w:p w14:paraId="69F35D59" w14:textId="77777777" w:rsidR="00A06816" w:rsidRPr="009B4214" w:rsidRDefault="00A06816" w:rsidP="00A06816">
            <w:pPr>
              <w:ind w:firstLine="0"/>
            </w:pPr>
            <w:r w:rsidRPr="009B4214">
              <w:t>Or, structura actuală a art. 17 nu respectă aceste cerințe de sistematizare, ceea ce afectează claritatea și coerența normei și poate genera dificultăți de interpretare și aplicare unitară. În acest context, se impune reexaminarea și restructurarea articolului în conformitate cu rigorile de tehnică legislativă menționate.</w:t>
            </w:r>
          </w:p>
          <w:p w14:paraId="08CC777B" w14:textId="3850FDAB" w:rsidR="00A06816" w:rsidRPr="009B4214" w:rsidRDefault="00A06816" w:rsidP="00A06816">
            <w:pPr>
              <w:ind w:firstLine="0"/>
            </w:pPr>
            <w:r w:rsidRPr="009B4214">
              <w:lastRenderedPageBreak/>
              <w:t>Prezenta obiecție este valabilă, pentru toate cazurile relevante din cuprinsul proiectului.</w:t>
            </w:r>
          </w:p>
        </w:tc>
        <w:tc>
          <w:tcPr>
            <w:tcW w:w="5281" w:type="dxa"/>
            <w:tcMar>
              <w:top w:w="0" w:type="dxa"/>
              <w:left w:w="108" w:type="dxa"/>
              <w:bottom w:w="0" w:type="dxa"/>
              <w:right w:w="108" w:type="dxa"/>
            </w:tcMar>
          </w:tcPr>
          <w:p w14:paraId="1633AC52" w14:textId="77777777" w:rsidR="00A06816" w:rsidRPr="009B4214" w:rsidRDefault="00A06816" w:rsidP="00A06816">
            <w:pPr>
              <w:ind w:firstLine="0"/>
              <w:rPr>
                <w:b/>
                <w:bCs/>
              </w:rPr>
            </w:pPr>
            <w:r w:rsidRPr="009B4214">
              <w:rPr>
                <w:b/>
                <w:bCs/>
              </w:rPr>
              <w:lastRenderedPageBreak/>
              <w:t>Se acceptă.</w:t>
            </w:r>
          </w:p>
          <w:p w14:paraId="57667511" w14:textId="70924B6B" w:rsidR="00A06816" w:rsidRPr="009B4214" w:rsidRDefault="00A06816" w:rsidP="00A06816">
            <w:pPr>
              <w:ind w:firstLine="0"/>
              <w:jc w:val="left"/>
            </w:pPr>
            <w:r w:rsidRPr="009B4214">
              <w:t>Se ajustează textul prevederii vizate din proiectul de Lege, în modul corespunzător.</w:t>
            </w:r>
          </w:p>
          <w:p w14:paraId="27106B66" w14:textId="2FAEF4E6" w:rsidR="00A06816" w:rsidRPr="009B4214" w:rsidRDefault="00A06816" w:rsidP="00A06816">
            <w:pPr>
              <w:ind w:firstLine="0"/>
              <w:jc w:val="left"/>
              <w:rPr>
                <w:iCs/>
              </w:rPr>
            </w:pPr>
            <w:r w:rsidRPr="009B4214">
              <w:rPr>
                <w:iCs/>
              </w:rPr>
              <w:t>Astfel, literele a) și b) de la alin. (1) au fost înlocuite cu puncte însemnate cu numere ordinare – 1) și 2), iar punctul 2) a fost împărțit în litere însemnate succesiv – a) - i).</w:t>
            </w:r>
          </w:p>
        </w:tc>
      </w:tr>
      <w:tr w:rsidR="00A06816" w:rsidRPr="0026420A" w14:paraId="788790A6" w14:textId="77777777" w:rsidTr="001F4857">
        <w:trPr>
          <w:trHeight w:val="615"/>
        </w:trPr>
        <w:tc>
          <w:tcPr>
            <w:tcW w:w="2206" w:type="dxa"/>
            <w:vMerge/>
            <w:tcMar>
              <w:top w:w="0" w:type="dxa"/>
              <w:left w:w="108" w:type="dxa"/>
              <w:bottom w:w="0" w:type="dxa"/>
              <w:right w:w="108" w:type="dxa"/>
            </w:tcMar>
          </w:tcPr>
          <w:p w14:paraId="3F17381A" w14:textId="77777777" w:rsidR="00A06816" w:rsidRDefault="00A06816" w:rsidP="00A06816">
            <w:pPr>
              <w:ind w:firstLine="0"/>
              <w:jc w:val="left"/>
              <w:rPr>
                <w:b/>
                <w:bCs/>
              </w:rPr>
            </w:pPr>
          </w:p>
        </w:tc>
        <w:tc>
          <w:tcPr>
            <w:tcW w:w="579" w:type="dxa"/>
            <w:tcMar>
              <w:top w:w="0" w:type="dxa"/>
              <w:left w:w="108" w:type="dxa"/>
              <w:bottom w:w="0" w:type="dxa"/>
              <w:right w:w="108" w:type="dxa"/>
            </w:tcMar>
          </w:tcPr>
          <w:p w14:paraId="78D02657"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5B269687" w14:textId="77777777" w:rsidR="00A06816" w:rsidRPr="009B4214" w:rsidRDefault="00A06816" w:rsidP="00A06816">
            <w:pPr>
              <w:ind w:firstLine="0"/>
            </w:pPr>
            <w:r w:rsidRPr="009B4214">
              <w:t xml:space="preserve">Cu referire la </w:t>
            </w:r>
            <w:r w:rsidRPr="009B4214">
              <w:rPr>
                <w:b/>
                <w:bCs/>
              </w:rPr>
              <w:t>art. 18 alin. (5) lit. a) și c),</w:t>
            </w:r>
            <w:r w:rsidRPr="009B4214">
              <w:t xml:space="preserve"> se constată că norma instituie obligația demonstrării de către emitentul </w:t>
            </w:r>
            <w:proofErr w:type="spellStart"/>
            <w:r w:rsidRPr="009B4214">
              <w:t>tokenului</w:t>
            </w:r>
            <w:proofErr w:type="spellEnd"/>
            <w:r w:rsidRPr="009B4214">
              <w:t xml:space="preserve"> (solicitantul) absenței sancțiunilor impuse pentru încălcări ale legislației în domeniul comerțului, insolvabilității, pieței financiare, precum și pentru fapte de spălare a banilor, finanțare a terorismului, fraudă sau răspundere profesională, însă nu sunt prevăzute mecanismele juridice și administrative prin care această condiție urmează a fi verificată și certificată în practică de către autoritățile competente.</w:t>
            </w:r>
          </w:p>
          <w:p w14:paraId="645BE332" w14:textId="7269A610" w:rsidR="00A06816" w:rsidRPr="009B4214" w:rsidRDefault="00A06816" w:rsidP="00A06816">
            <w:pPr>
              <w:ind w:firstLine="0"/>
            </w:pPr>
            <w:r w:rsidRPr="009B4214">
              <w:t>În special, spre deosebire de condiția privind lipsa antecedentelor penale, care poate fi dovedită prin cazier judiciar norma nu stabilește autoritatea competentă responsabilă de verificare, sursele oficiale de informații sau registrele aplicabile, natura sancțiunilor vizate, respectiv dacă sunt avute în vedere și nemijlocit perioada de referință a verificării și modalitatea concretă de probare, respectiv prin certificat oficial, declarație pe proprie răspundere sau alt mecanism. În lipsa acestor clarificări, dispoziția riscă să genereze dificultăți serioase de aplicare, incertitudine juridică și practici neunitare în procesul de autorizare și supraveghere, afectând securitatea juridică a normei. În acest context, se recomandă completarea textului proiectului cu prevederi exprese privind mecanismul de verificare și certificare a condițiilor menționate, inclusiv stabilirea autorităților competente și a surselor oficiale de confirmare a informațiilor.</w:t>
            </w:r>
          </w:p>
        </w:tc>
        <w:tc>
          <w:tcPr>
            <w:tcW w:w="5281" w:type="dxa"/>
            <w:tcMar>
              <w:top w:w="0" w:type="dxa"/>
              <w:left w:w="108" w:type="dxa"/>
              <w:bottom w:w="0" w:type="dxa"/>
              <w:right w:w="108" w:type="dxa"/>
            </w:tcMar>
          </w:tcPr>
          <w:p w14:paraId="7F6B34C6" w14:textId="77777777" w:rsidR="00A06816" w:rsidRPr="009B4214" w:rsidRDefault="00A06816" w:rsidP="00A06816">
            <w:pPr>
              <w:ind w:firstLine="0"/>
              <w:jc w:val="left"/>
              <w:rPr>
                <w:b/>
                <w:bCs/>
                <w:iCs/>
              </w:rPr>
            </w:pPr>
            <w:r w:rsidRPr="009B4214">
              <w:rPr>
                <w:b/>
                <w:bCs/>
                <w:iCs/>
              </w:rPr>
              <w:t>Se acceptă parțial.</w:t>
            </w:r>
          </w:p>
          <w:p w14:paraId="13DDD947" w14:textId="2E2F9EDD" w:rsidR="00A06816" w:rsidRPr="009B4214" w:rsidRDefault="00A06816" w:rsidP="00A06816">
            <w:pPr>
              <w:ind w:firstLine="0"/>
              <w:rPr>
                <w:iCs/>
              </w:rPr>
            </w:pPr>
            <w:r w:rsidRPr="009B4214">
              <w:rPr>
                <w:iCs/>
              </w:rPr>
              <w:t xml:space="preserve">Pe fond, cerința transpune fidel standardul </w:t>
            </w:r>
            <w:proofErr w:type="spellStart"/>
            <w:r w:rsidRPr="009B4214">
              <w:rPr>
                <w:iCs/>
              </w:rPr>
              <w:t>MiCA</w:t>
            </w:r>
            <w:proofErr w:type="spellEnd"/>
            <w:r w:rsidRPr="009B4214">
              <w:rPr>
                <w:iCs/>
              </w:rPr>
              <w:t xml:space="preserve"> de bună reputație, iar mecanismul de verificare invocat există deja la nivel sistemic: art. 56 alin. (3) instituie obligația prezentării dovezilor privind absența antecedentelor penale și a sancțiunilor relevante, iar alin. (4) abilitează Comisia Națională să detalieze prin acte normative informațiile necesare evaluării. O enumerare detaliată a tuturor circumstanțelor și surselor de verificare în legea primară nu este necesară, întrucât ar rigidiza nejustificat procesul de evaluare.</w:t>
            </w:r>
          </w:p>
          <w:p w14:paraId="3427DE4A" w14:textId="597DEDD5" w:rsidR="00A06816" w:rsidRPr="009B4214" w:rsidRDefault="00A06816" w:rsidP="00A06816">
            <w:pPr>
              <w:ind w:firstLine="0"/>
              <w:rPr>
                <w:iCs/>
              </w:rPr>
            </w:pPr>
            <w:r w:rsidRPr="009B4214">
              <w:rPr>
                <w:iCs/>
              </w:rPr>
              <w:t>Respectiv, se reține necesitatea corectării redacționale a textului art. 18 alin. (5) lit. a) și c): formularea actuală leagă mijlocul de probă „prin cazier judiciar” doar de antecedentele penale, lăsând neclară modalitatea de dovedire a inexistenței sancțiunilor. Textul se reformulează astfel încât cazierul judiciar să rămână mijlocul de probă pentru antecedentele penale, iar inexistența sancțiunilor să se dovedească prin documente oficiale, declarații pe propria răspundere și alte informații verificabile, fără enumerarea limitativă a surselor.</w:t>
            </w:r>
          </w:p>
        </w:tc>
      </w:tr>
      <w:tr w:rsidR="00A06816" w:rsidRPr="0026420A" w14:paraId="7D0F4763" w14:textId="77777777" w:rsidTr="001F4857">
        <w:trPr>
          <w:trHeight w:val="615"/>
        </w:trPr>
        <w:tc>
          <w:tcPr>
            <w:tcW w:w="2206" w:type="dxa"/>
            <w:vMerge/>
            <w:tcMar>
              <w:top w:w="0" w:type="dxa"/>
              <w:left w:w="108" w:type="dxa"/>
              <w:bottom w:w="0" w:type="dxa"/>
              <w:right w:w="108" w:type="dxa"/>
            </w:tcMar>
          </w:tcPr>
          <w:p w14:paraId="04F6F72F" w14:textId="77777777" w:rsidR="00A06816" w:rsidRDefault="00A06816" w:rsidP="00A06816">
            <w:pPr>
              <w:ind w:firstLine="0"/>
              <w:jc w:val="left"/>
              <w:rPr>
                <w:b/>
                <w:bCs/>
              </w:rPr>
            </w:pPr>
          </w:p>
        </w:tc>
        <w:tc>
          <w:tcPr>
            <w:tcW w:w="579" w:type="dxa"/>
            <w:tcMar>
              <w:top w:w="0" w:type="dxa"/>
              <w:left w:w="108" w:type="dxa"/>
              <w:bottom w:w="0" w:type="dxa"/>
              <w:right w:w="108" w:type="dxa"/>
            </w:tcMar>
          </w:tcPr>
          <w:p w14:paraId="11757522"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7D469DB9" w14:textId="77777777" w:rsidR="00A06816" w:rsidRPr="009B4214" w:rsidRDefault="00A06816" w:rsidP="00A06816">
            <w:pPr>
              <w:ind w:firstLine="0"/>
            </w:pPr>
            <w:r w:rsidRPr="009B4214">
              <w:t xml:space="preserve">Cu referire la </w:t>
            </w:r>
            <w:r w:rsidRPr="009B4214">
              <w:rPr>
                <w:b/>
                <w:bCs/>
              </w:rPr>
              <w:t>art. 24 alin. (4) lit. b),</w:t>
            </w:r>
            <w:r w:rsidRPr="009B4214">
              <w:t xml:space="preserve"> se constată utilizarea sintagmei „legislației naționale cu privire la prevenirea și combaterea spălării banilor și finanțării terorismului”, formulare care este redundantă și poate genera ambiguități de interpretare, în condițiile în care actele normative adoptate la nivel național au ca obiect de reglementare exclusiv cadrul juridic intern, dacă nu se prevede expres altfel.</w:t>
            </w:r>
          </w:p>
          <w:p w14:paraId="621B4F86" w14:textId="21D4C31A" w:rsidR="00A06816" w:rsidRPr="009B4214" w:rsidRDefault="00A06816" w:rsidP="00A06816">
            <w:pPr>
              <w:ind w:firstLine="0"/>
            </w:pPr>
            <w:r w:rsidRPr="009B4214">
              <w:t>Totodată, formularea nu clarifică în mod suficient sfera normelor avute în vedere, respectiv dacă sunt vizate exclusiv dispozițiile legislației interne sau și standardele internaționale aplicabile în materie, ceea ce poate conduce la incertitudine juridică în aplicare. În acest context, se recomandă revizuirea textului prin simplificarea formulării și asigurarea unei redactări clare și unitare, de natură să excludă interpretările divergente (obiecție aplicabilă și pentru art. 54 alin. (7) lit. b) i); art. 56 alin. (2) lit. i); art. 57 alin. (6) lit. b) și e) din proiect).</w:t>
            </w:r>
          </w:p>
        </w:tc>
        <w:tc>
          <w:tcPr>
            <w:tcW w:w="5281" w:type="dxa"/>
            <w:tcMar>
              <w:top w:w="0" w:type="dxa"/>
              <w:left w:w="108" w:type="dxa"/>
              <w:bottom w:w="0" w:type="dxa"/>
              <w:right w:w="108" w:type="dxa"/>
            </w:tcMar>
          </w:tcPr>
          <w:p w14:paraId="7CF532CA" w14:textId="77777777" w:rsidR="00A06816" w:rsidRPr="009B4214" w:rsidRDefault="00A06816" w:rsidP="00A06816">
            <w:pPr>
              <w:ind w:firstLine="0"/>
              <w:rPr>
                <w:b/>
                <w:bCs/>
              </w:rPr>
            </w:pPr>
            <w:r w:rsidRPr="009B4214">
              <w:rPr>
                <w:b/>
                <w:bCs/>
              </w:rPr>
              <w:t>Se acceptă parțial.</w:t>
            </w:r>
          </w:p>
          <w:p w14:paraId="0DDB8792" w14:textId="6EA13C5A" w:rsidR="00A06816" w:rsidRPr="009B4214" w:rsidRDefault="00A06816" w:rsidP="00A06816">
            <w:pPr>
              <w:ind w:firstLine="0"/>
            </w:pPr>
            <w:r w:rsidRPr="009B4214">
              <w:t>Trimiterea se menține sub forma unei referințe la materia reglementată, iar nu la un act normativ determinat, soluție este justificată de faptul că legislația privind prevenirea și combaterea spălării banilor și finanțării terorismului urmează să suporte modificări esențiale ca urmare a alinierii la aquis-</w:t>
            </w:r>
            <w:proofErr w:type="spellStart"/>
            <w:r w:rsidRPr="009B4214">
              <w:t>ul</w:t>
            </w:r>
            <w:proofErr w:type="spellEnd"/>
            <w:r w:rsidRPr="009B4214">
              <w:t xml:space="preserve"> comunitar; o trimitere nominală în proiectul de Lege ar deveni caducă, în timp ce trimiterea dinamică asigură aplicarea uniformă a normei indiferent de evoluția acestui cadru. Soluția dată este temporară până la adoptarea legii speciale menționată.</w:t>
            </w:r>
          </w:p>
          <w:p w14:paraId="4CC6AE08" w14:textId="455C2F75" w:rsidR="00A06816" w:rsidRPr="009B4214" w:rsidRDefault="00A06816" w:rsidP="00A06816">
            <w:pPr>
              <w:ind w:firstLine="0"/>
              <w:rPr>
                <w:b/>
                <w:bCs/>
              </w:rPr>
            </w:pPr>
            <w:r w:rsidRPr="009B4214">
              <w:t xml:space="preserve">Respectiv, pentru a înlătura redundanța și eventualele ambiguități semnalate, se ajustează textul proiectului de Lege în mod corespunzător, cu simplificarea formulării prin eliminarea cuvântului „naționale”, respectiv sintagma „legislația națională cu privire la prevenirea și combaterea spălării banilor și finanțării terorismului” a fost înlocuită, pe tot parcursul proiectului, cu „legislația privind prevenirea și combaterea </w:t>
            </w:r>
            <w:r w:rsidRPr="009B4214">
              <w:lastRenderedPageBreak/>
              <w:t>spălării banilor și finanțării terorismului”, la forma gramaticală corespunzătoare și care se referă exclusiv la dispozițiile legislației interne.</w:t>
            </w:r>
          </w:p>
        </w:tc>
      </w:tr>
      <w:tr w:rsidR="00A06816" w:rsidRPr="0026420A" w14:paraId="2091D841" w14:textId="77777777" w:rsidTr="001F4857">
        <w:trPr>
          <w:trHeight w:val="615"/>
        </w:trPr>
        <w:tc>
          <w:tcPr>
            <w:tcW w:w="2206" w:type="dxa"/>
            <w:vMerge/>
            <w:tcMar>
              <w:top w:w="0" w:type="dxa"/>
              <w:left w:w="108" w:type="dxa"/>
              <w:bottom w:w="0" w:type="dxa"/>
              <w:right w:w="108" w:type="dxa"/>
            </w:tcMar>
          </w:tcPr>
          <w:p w14:paraId="5A4E3BD5" w14:textId="77777777" w:rsidR="00A06816" w:rsidRDefault="00A06816" w:rsidP="00A06816">
            <w:pPr>
              <w:ind w:firstLine="0"/>
              <w:jc w:val="left"/>
              <w:rPr>
                <w:b/>
                <w:bCs/>
              </w:rPr>
            </w:pPr>
          </w:p>
        </w:tc>
        <w:tc>
          <w:tcPr>
            <w:tcW w:w="579" w:type="dxa"/>
            <w:tcMar>
              <w:top w:w="0" w:type="dxa"/>
              <w:left w:w="108" w:type="dxa"/>
              <w:bottom w:w="0" w:type="dxa"/>
              <w:right w:w="108" w:type="dxa"/>
            </w:tcMar>
          </w:tcPr>
          <w:p w14:paraId="065A48C1"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0F1696DC" w14:textId="77777777" w:rsidR="00A06816" w:rsidRPr="009B4214" w:rsidRDefault="00A06816" w:rsidP="00A06816">
            <w:pPr>
              <w:ind w:firstLine="0"/>
            </w:pPr>
            <w:r w:rsidRPr="009B4214">
              <w:t xml:space="preserve">Cu referire la </w:t>
            </w:r>
            <w:r w:rsidRPr="009B4214">
              <w:rPr>
                <w:b/>
                <w:bCs/>
              </w:rPr>
              <w:t>art. 38 alin. (5) lit. d) punctul ii),</w:t>
            </w:r>
            <w:r w:rsidRPr="009B4214">
              <w:t xml:space="preserve"> se constată că formularea „același grup, astfel cum este definit la articolul 3 alin. (1) pct. 50)”, se constată o necorelare terminologică în raport cu structura definițiilor din proiect. Din analiza dispozițiilor art. 3 alin. (1), noțiunea de „grup” este definită la pct. 49), în timp ce pct. 50) vizează noțiunea de „întreprindere-mamă”.</w:t>
            </w:r>
          </w:p>
          <w:p w14:paraId="50A5B694" w14:textId="70A63502" w:rsidR="00A06816" w:rsidRPr="00911355" w:rsidRDefault="00A06816" w:rsidP="00A06816">
            <w:pPr>
              <w:ind w:firstLine="0"/>
              <w:rPr>
                <w:highlight w:val="green"/>
              </w:rPr>
            </w:pPr>
            <w:r w:rsidRPr="009B4214">
              <w:t>În aceste condiții, trimiterea normativă la pct. 50) este improprie, întrucât nu reflectă conceptul juridic avut în vedere de autor, respectiv relația de grup între entități, ci doar un element structural al acestuia. În consecință, se impune corectarea textului prin raportare la definiția de „grup” prevăzută la art. 3 alin. (1) pct. 49), în vederea asigurării coerenței terminologice și a aplicării unitare a normei.</w:t>
            </w:r>
          </w:p>
        </w:tc>
        <w:tc>
          <w:tcPr>
            <w:tcW w:w="5281" w:type="dxa"/>
            <w:tcMar>
              <w:top w:w="0" w:type="dxa"/>
              <w:left w:w="108" w:type="dxa"/>
              <w:bottom w:w="0" w:type="dxa"/>
              <w:right w:w="108" w:type="dxa"/>
            </w:tcMar>
          </w:tcPr>
          <w:p w14:paraId="6F040222" w14:textId="77777777" w:rsidR="00A06816" w:rsidRPr="0026420A" w:rsidRDefault="00A06816" w:rsidP="00A06816">
            <w:pPr>
              <w:ind w:firstLine="0"/>
              <w:rPr>
                <w:b/>
                <w:bCs/>
              </w:rPr>
            </w:pPr>
            <w:r w:rsidRPr="0026420A">
              <w:rPr>
                <w:b/>
                <w:bCs/>
              </w:rPr>
              <w:t>Se acceptă.</w:t>
            </w:r>
          </w:p>
          <w:p w14:paraId="005A3AE3" w14:textId="08BA8288" w:rsidR="00A06816" w:rsidRPr="00271839" w:rsidRDefault="00A06816" w:rsidP="00A06816">
            <w:pPr>
              <w:ind w:firstLine="0"/>
            </w:pPr>
            <w:r w:rsidRPr="0026420A">
              <w:t xml:space="preserve">Se ajustează textul proiectului de Lege </w:t>
            </w:r>
            <w:r>
              <w:t xml:space="preserve">în modul </w:t>
            </w:r>
            <w:r w:rsidRPr="0026420A">
              <w:t>corespunzător</w:t>
            </w:r>
            <w:r>
              <w:t>, prin corectarea textului trimiterii cu „pct. 24)”, și anume la definiția noțiunii de „grup” conform ultimei versiuni ale proiectului de lege (modificare apărută după aranjarea alfabetică a definițiilor de la art. 3 alin. (1)).</w:t>
            </w:r>
          </w:p>
        </w:tc>
      </w:tr>
      <w:tr w:rsidR="00A06816" w:rsidRPr="0026420A" w14:paraId="77194D05" w14:textId="77777777" w:rsidTr="001F4857">
        <w:trPr>
          <w:trHeight w:val="615"/>
        </w:trPr>
        <w:tc>
          <w:tcPr>
            <w:tcW w:w="2206" w:type="dxa"/>
            <w:vMerge/>
            <w:tcMar>
              <w:top w:w="0" w:type="dxa"/>
              <w:left w:w="108" w:type="dxa"/>
              <w:bottom w:w="0" w:type="dxa"/>
              <w:right w:w="108" w:type="dxa"/>
            </w:tcMar>
          </w:tcPr>
          <w:p w14:paraId="4F525F38" w14:textId="77777777" w:rsidR="00A06816" w:rsidRDefault="00A06816" w:rsidP="00A06816">
            <w:pPr>
              <w:ind w:firstLine="0"/>
              <w:jc w:val="left"/>
              <w:rPr>
                <w:b/>
                <w:bCs/>
              </w:rPr>
            </w:pPr>
          </w:p>
        </w:tc>
        <w:tc>
          <w:tcPr>
            <w:tcW w:w="579" w:type="dxa"/>
            <w:tcMar>
              <w:top w:w="0" w:type="dxa"/>
              <w:left w:w="108" w:type="dxa"/>
              <w:bottom w:w="0" w:type="dxa"/>
              <w:right w:w="108" w:type="dxa"/>
            </w:tcMar>
          </w:tcPr>
          <w:p w14:paraId="261BD437"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11DCFDD8" w14:textId="77777777" w:rsidR="00A06816" w:rsidRPr="009B4214" w:rsidRDefault="00A06816" w:rsidP="00A06816">
            <w:pPr>
              <w:ind w:firstLine="0"/>
            </w:pPr>
            <w:r w:rsidRPr="009B4214">
              <w:t xml:space="preserve">Cu referire la </w:t>
            </w:r>
            <w:r w:rsidRPr="009B4214">
              <w:rPr>
                <w:b/>
                <w:bCs/>
              </w:rPr>
              <w:t>art. 66 alin. (5),</w:t>
            </w:r>
            <w:r w:rsidRPr="009B4214">
              <w:t xml:space="preserve"> se constată că norma utilizează sintagma „cerințelor reglementate prin norme legislative speciale”, fără a indica în mod expres actele normative avute în vedere și fără a delimita sfera acestora de aplicare. O asemenea formulare are un caracter general și imprecis, fiind de natură să genereze incertitudine juridică în ceea ce privește determinarea regimului normativ incident furnizorilor de servicii de </w:t>
            </w:r>
            <w:proofErr w:type="spellStart"/>
            <w:r w:rsidRPr="009B4214">
              <w:t>criptoactive</w:t>
            </w:r>
            <w:proofErr w:type="spellEnd"/>
            <w:r w:rsidRPr="009B4214">
              <w:t xml:space="preserve"> prevăzuți la art. 53 alin. (1) lit. b).</w:t>
            </w:r>
          </w:p>
          <w:p w14:paraId="14A918E6" w14:textId="6602FAA5" w:rsidR="00A06816" w:rsidRPr="009B4214" w:rsidRDefault="00A06816" w:rsidP="00A06816">
            <w:pPr>
              <w:ind w:firstLine="0"/>
            </w:pPr>
            <w:r w:rsidRPr="009B4214">
              <w:t>În lipsa unei trimiteri exprese la actele normative relevante sau a unei definiri clare a noțiunii de „norme legislative speciale”, nu este clar în ce măsură și în raport cu ce categorii de cerințe dispozițiile prezentului articol pot fi aplicate „corespunzător” sau pot fi excluse în caz de conflict normativ. În acest context, se impune revizuirea textului prin precizarea expresă a actelor normative vizate sau prin reformularea dispoziției într-un mod care să asigure determinabilitatea normei, claritatea raportului dintre reglementarea generală și cea specială, precum și evitarea unor interpretări divergente în aplicare.</w:t>
            </w:r>
          </w:p>
        </w:tc>
        <w:tc>
          <w:tcPr>
            <w:tcW w:w="5281" w:type="dxa"/>
            <w:tcMar>
              <w:top w:w="0" w:type="dxa"/>
              <w:left w:w="108" w:type="dxa"/>
              <w:bottom w:w="0" w:type="dxa"/>
              <w:right w:w="108" w:type="dxa"/>
            </w:tcMar>
          </w:tcPr>
          <w:p w14:paraId="3714576C" w14:textId="77777777" w:rsidR="00A06816" w:rsidRPr="009B4214" w:rsidRDefault="00A06816" w:rsidP="00A06816">
            <w:pPr>
              <w:ind w:firstLine="0"/>
              <w:jc w:val="left"/>
              <w:rPr>
                <w:b/>
                <w:bCs/>
                <w:iCs/>
              </w:rPr>
            </w:pPr>
            <w:r w:rsidRPr="009B4214">
              <w:rPr>
                <w:b/>
                <w:bCs/>
                <w:iCs/>
              </w:rPr>
              <w:t>Se acceptă parțial.</w:t>
            </w:r>
          </w:p>
          <w:p w14:paraId="226A9F48" w14:textId="1E5CFA93" w:rsidR="00A06816" w:rsidRPr="009B4214" w:rsidRDefault="00A06816" w:rsidP="00A06816">
            <w:pPr>
              <w:ind w:firstLine="0"/>
              <w:rPr>
                <w:iCs/>
              </w:rPr>
            </w:pPr>
            <w:r w:rsidRPr="009B4214">
              <w:rPr>
                <w:iCs/>
              </w:rPr>
              <w:t xml:space="preserve">Alineatul (5) este o normă de coordonare proprie cadrului național, fără corespondent în art. 73 din </w:t>
            </w:r>
            <w:proofErr w:type="spellStart"/>
            <w:r w:rsidRPr="009B4214">
              <w:rPr>
                <w:iCs/>
              </w:rPr>
              <w:t>MiCA</w:t>
            </w:r>
            <w:proofErr w:type="spellEnd"/>
            <w:r w:rsidRPr="009B4214">
              <w:rPr>
                <w:iCs/>
              </w:rPr>
              <w:t>, prin care regimul general de externalizare se aplică suplimentar furnizorilor prevăzuți la art. 53 alin. (1) lit. b) — entități deja reglementate sectorial (instituții de credit, prestatori de servicii de plată și emitenți de monedă electronică, firme de investiții) —, în măsura în care nu contravine normelor speciale ce le guvernează activitatea de bază, precum art. 82 din Legea nr. 202/2017 sau art. 28 din Legea nr. 114/2012. Scopul clauzei este evitarea atât a vidului, cât și a conflictului de cerințe pentru aceste entități financiare.</w:t>
            </w:r>
          </w:p>
          <w:p w14:paraId="362CFE01" w14:textId="244A0A14" w:rsidR="00A06816" w:rsidRPr="009B4214" w:rsidRDefault="00A06816" w:rsidP="00A06816">
            <w:pPr>
              <w:ind w:firstLine="0"/>
              <w:rPr>
                <w:iCs/>
              </w:rPr>
            </w:pPr>
            <w:r w:rsidRPr="009B4214">
              <w:rPr>
                <w:iCs/>
              </w:rPr>
              <w:t xml:space="preserve">Pentru a </w:t>
            </w:r>
            <w:r w:rsidRPr="009B4214">
              <w:t>evitarea unor interpretări divergente în aplicare</w:t>
            </w:r>
            <w:r w:rsidRPr="009B4214">
              <w:rPr>
                <w:iCs/>
              </w:rPr>
              <w:t>, fără o enumerare limitativă inevitabil incompletă (normele speciale diferind în funcție de tipul furnizorului), textul se reformulează prin raportare la regimul special aplicabil fiecărei categorii, de exemplu: „prevederile prezentului articol se aplică în mod corespunzător și suplimentar, în măsura în care nu contravin cerințelor privind externalizarea prevăzute de legislația specială în temeiul căreia acești furnizori își desfășoară activitatea de bază”.</w:t>
            </w:r>
          </w:p>
        </w:tc>
      </w:tr>
      <w:tr w:rsidR="00A06816" w:rsidRPr="0026420A" w14:paraId="0EB94E0E" w14:textId="77777777" w:rsidTr="001F4857">
        <w:trPr>
          <w:trHeight w:val="615"/>
        </w:trPr>
        <w:tc>
          <w:tcPr>
            <w:tcW w:w="2206" w:type="dxa"/>
            <w:vMerge/>
            <w:tcMar>
              <w:top w:w="0" w:type="dxa"/>
              <w:left w:w="108" w:type="dxa"/>
              <w:bottom w:w="0" w:type="dxa"/>
              <w:right w:w="108" w:type="dxa"/>
            </w:tcMar>
          </w:tcPr>
          <w:p w14:paraId="157B79F4" w14:textId="77777777" w:rsidR="00A06816" w:rsidRDefault="00A06816" w:rsidP="00A06816">
            <w:pPr>
              <w:ind w:firstLine="0"/>
              <w:jc w:val="left"/>
              <w:rPr>
                <w:b/>
                <w:bCs/>
              </w:rPr>
            </w:pPr>
          </w:p>
        </w:tc>
        <w:tc>
          <w:tcPr>
            <w:tcW w:w="579" w:type="dxa"/>
            <w:tcMar>
              <w:top w:w="0" w:type="dxa"/>
              <w:left w:w="108" w:type="dxa"/>
              <w:bottom w:w="0" w:type="dxa"/>
              <w:right w:w="108" w:type="dxa"/>
            </w:tcMar>
          </w:tcPr>
          <w:p w14:paraId="3D023AEA"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2A0D7A18" w14:textId="77777777" w:rsidR="00A06816" w:rsidRPr="009B4214" w:rsidRDefault="00A06816" w:rsidP="00A06816">
            <w:pPr>
              <w:ind w:firstLine="0"/>
            </w:pPr>
            <w:r w:rsidRPr="009B4214">
              <w:t xml:space="preserve">Cu referire </w:t>
            </w:r>
            <w:r w:rsidRPr="009B4214">
              <w:rPr>
                <w:b/>
                <w:bCs/>
              </w:rPr>
              <w:t>art. 69 alin. (1) și (2),</w:t>
            </w:r>
            <w:r w:rsidRPr="009B4214">
              <w:t xml:space="preserve"> comunicăm că utilizarea textului „literele (a) - (d)” în cuprinsul proiectului, nu este conformă exigențelor de tehnică legislativă prevăzute de art. 51 din Legea nr. 100/2017 cu privire la actele normative, potrivit cărora diviziunile alineatelor în litere se realizează prin însemnarea succesivă cu litere </w:t>
            </w:r>
            <w:r w:rsidRPr="009B4214">
              <w:lastRenderedPageBreak/>
              <w:t>latine mici urmate de paranteză, respectiv „a)”, „b)”, „c)”, „d)”. În acest context, se impune uniformizarea redacțională a textului proiectului prin corectarea tuturor trimiterilor de acest tip, în vederea utilizării formei corecte „a)–d)”, conform regulilor de tehnică legislativă.</w:t>
            </w:r>
          </w:p>
          <w:p w14:paraId="199B0278" w14:textId="6211B5CC" w:rsidR="00A06816" w:rsidRPr="00911355" w:rsidRDefault="00A06816" w:rsidP="00A06816">
            <w:pPr>
              <w:ind w:firstLine="0"/>
              <w:rPr>
                <w:highlight w:val="green"/>
              </w:rPr>
            </w:pPr>
            <w:r w:rsidRPr="009B4214">
              <w:t>Prezenta obiecție este aplicabilă, mutatis mutandis, tuturor situațiilor similare din cuprinsul proiectului.</w:t>
            </w:r>
          </w:p>
        </w:tc>
        <w:tc>
          <w:tcPr>
            <w:tcW w:w="5281" w:type="dxa"/>
            <w:tcMar>
              <w:top w:w="0" w:type="dxa"/>
              <w:left w:w="108" w:type="dxa"/>
              <w:bottom w:w="0" w:type="dxa"/>
              <w:right w:w="108" w:type="dxa"/>
            </w:tcMar>
          </w:tcPr>
          <w:p w14:paraId="58578D1F" w14:textId="77777777" w:rsidR="00A06816" w:rsidRPr="009F5E9D" w:rsidRDefault="00A06816" w:rsidP="00A06816">
            <w:pPr>
              <w:ind w:firstLine="0"/>
              <w:rPr>
                <w:b/>
                <w:bCs/>
              </w:rPr>
            </w:pPr>
            <w:r w:rsidRPr="009F5E9D">
              <w:rPr>
                <w:b/>
                <w:bCs/>
              </w:rPr>
              <w:lastRenderedPageBreak/>
              <w:t>Se acceptă.</w:t>
            </w:r>
          </w:p>
          <w:p w14:paraId="6ABA78CD" w14:textId="4249748B" w:rsidR="00A06816" w:rsidRPr="00911355" w:rsidRDefault="00A06816" w:rsidP="00A06816">
            <w:pPr>
              <w:ind w:firstLine="0"/>
              <w:jc w:val="left"/>
              <w:rPr>
                <w:b/>
                <w:bCs/>
                <w:iCs/>
                <w:highlight w:val="green"/>
              </w:rPr>
            </w:pPr>
            <w:r w:rsidRPr="009F5E9D">
              <w:t>Se ajustează textul prevederii vizate din proiectul de Lege în modul corespunzător.</w:t>
            </w:r>
          </w:p>
        </w:tc>
      </w:tr>
      <w:tr w:rsidR="00A06816" w:rsidRPr="0026420A" w14:paraId="59AFF859" w14:textId="77777777" w:rsidTr="001F4857">
        <w:trPr>
          <w:trHeight w:val="615"/>
        </w:trPr>
        <w:tc>
          <w:tcPr>
            <w:tcW w:w="2206" w:type="dxa"/>
            <w:vMerge/>
            <w:tcMar>
              <w:top w:w="0" w:type="dxa"/>
              <w:left w:w="108" w:type="dxa"/>
              <w:bottom w:w="0" w:type="dxa"/>
              <w:right w:w="108" w:type="dxa"/>
            </w:tcMar>
          </w:tcPr>
          <w:p w14:paraId="72AA4200" w14:textId="77777777" w:rsidR="00A06816" w:rsidRDefault="00A06816" w:rsidP="00A06816">
            <w:pPr>
              <w:ind w:firstLine="0"/>
              <w:jc w:val="left"/>
              <w:rPr>
                <w:b/>
                <w:bCs/>
              </w:rPr>
            </w:pPr>
          </w:p>
        </w:tc>
        <w:tc>
          <w:tcPr>
            <w:tcW w:w="579" w:type="dxa"/>
            <w:tcMar>
              <w:top w:w="0" w:type="dxa"/>
              <w:left w:w="108" w:type="dxa"/>
              <w:bottom w:w="0" w:type="dxa"/>
              <w:right w:w="108" w:type="dxa"/>
            </w:tcMar>
          </w:tcPr>
          <w:p w14:paraId="08B2EFA5"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574579E1" w14:textId="2C5DD551" w:rsidR="00A06816" w:rsidRPr="00C629BE" w:rsidRDefault="00A06816" w:rsidP="00A06816">
            <w:pPr>
              <w:ind w:firstLine="0"/>
            </w:pPr>
            <w:r w:rsidRPr="00C629BE">
              <w:t xml:space="preserve">Cu referire la </w:t>
            </w:r>
            <w:r w:rsidRPr="00C629BE">
              <w:rPr>
                <w:b/>
                <w:bCs/>
              </w:rPr>
              <w:t>art. 78 alin. (4),</w:t>
            </w:r>
            <w:r w:rsidRPr="00C629BE">
              <w:t xml:space="preserve"> se constată că norma prevede atragerea răspunderii contravenționale sau penale pentru încălcarea dispozițiilor art. 80 – 83 din proiect, cu trimitere la Codul contravențional și Codul penal al Republicii Moldova, însă proiectul nu face referire la dispoziții exprese privind asigurarea corelării cadrului sancționator existent cu noile reglementări instituite.</w:t>
            </w:r>
          </w:p>
          <w:p w14:paraId="1F619C62" w14:textId="77777777" w:rsidR="00A06816" w:rsidRPr="00C629BE" w:rsidRDefault="00A06816" w:rsidP="00A06816">
            <w:pPr>
              <w:ind w:firstLine="0"/>
            </w:pPr>
            <w:r w:rsidRPr="00C629BE">
              <w:t>În lipsa unor prevederi tranzitorii și de implementare corespunzătoare, nu rezultă în mod clar modalitatea de punere în aplicare a normei sancționatoare, inclusiv ajustarea cadrului contravențional și penal existent, astfel încât să fie asigurată aplicabilitatea efectivă a dispozițiilor propuse la intrarea în vigoare a acestora.</w:t>
            </w:r>
          </w:p>
          <w:p w14:paraId="7EB927CD" w14:textId="77777777" w:rsidR="00A06816" w:rsidRPr="00C629BE" w:rsidRDefault="00A06816" w:rsidP="00A06816">
            <w:pPr>
              <w:ind w:firstLine="0"/>
            </w:pPr>
            <w:r w:rsidRPr="00C629BE">
              <w:t>În acest context, se impune ca în cuprinsul art. 104 „Dispoziții finale” să fie completat cu un alineat nou, astfel încât „la data intrării în vigoare a prezentei legi, Guvernul va prezenta Parlamentului propuneri pentru aducerea legislației în conformitate cu prezenta lege”.</w:t>
            </w:r>
          </w:p>
          <w:p w14:paraId="53A037E0" w14:textId="2038D943" w:rsidR="00A06816" w:rsidRPr="00C629BE" w:rsidRDefault="00A06816" w:rsidP="00A06816">
            <w:pPr>
              <w:ind w:firstLine="0"/>
            </w:pPr>
            <w:r w:rsidRPr="00C629BE">
              <w:t>Adițional, cuvintele „dispozițiilor și interdicțiilor” este redundantă, întrucât interdicțiile reprezintă o categorie a dispozițiilor normative. În acest context, se recomandă simplificarea textului prin eliminarea termenului „interdicțiilor”, în vederea asigurării clarității și coerenței normei.</w:t>
            </w:r>
          </w:p>
        </w:tc>
        <w:tc>
          <w:tcPr>
            <w:tcW w:w="5281" w:type="dxa"/>
            <w:tcMar>
              <w:top w:w="0" w:type="dxa"/>
              <w:left w:w="108" w:type="dxa"/>
              <w:bottom w:w="0" w:type="dxa"/>
              <w:right w:w="108" w:type="dxa"/>
            </w:tcMar>
          </w:tcPr>
          <w:p w14:paraId="7FDE3868" w14:textId="77777777" w:rsidR="00A06816" w:rsidRPr="00C629BE" w:rsidRDefault="00A06816" w:rsidP="00A06816">
            <w:pPr>
              <w:ind w:firstLine="0"/>
              <w:jc w:val="left"/>
              <w:rPr>
                <w:b/>
                <w:bCs/>
                <w:iCs/>
              </w:rPr>
            </w:pPr>
            <w:r w:rsidRPr="00C629BE">
              <w:rPr>
                <w:b/>
                <w:bCs/>
                <w:iCs/>
              </w:rPr>
              <w:t>Se acceptă parțial.</w:t>
            </w:r>
          </w:p>
          <w:p w14:paraId="6A243E35" w14:textId="77777777" w:rsidR="00A06816" w:rsidRPr="00C629BE" w:rsidRDefault="00A06816" w:rsidP="00A06816">
            <w:pPr>
              <w:ind w:firstLine="0"/>
              <w:rPr>
                <w:iCs/>
              </w:rPr>
            </w:pPr>
            <w:r w:rsidRPr="00C629BE">
              <w:rPr>
                <w:iCs/>
              </w:rPr>
              <w:t>Preocuparea privind corelarea cadrului sancționator este valorificată prin reorganizarea proiectului: fostul art. 78 alin. (4) a fost eliminat, iar conținutul său a fost preluat și consolidat la art. 97 alin. (18), potrivit căruia răspunderea contravențională sau penală intervine numai în măsura în care fapta, prin valoarea prejudiciului cauzat, a beneficiului obținut ori a pierderii evitate sau prin alte elemente prevăzute de lege, întrunește elementele constitutive ale unei contravenții sau infracțiuni, în condițiile Codului contravențional sau ale Codului penal. Soluția respectă principiul legalității incriminării și subsidiaritatea dreptului penal și înlătură suprapunerea anterioară dintre norme.</w:t>
            </w:r>
          </w:p>
          <w:p w14:paraId="0B7360E8" w14:textId="77777777" w:rsidR="00A06816" w:rsidRPr="00C629BE" w:rsidRDefault="00A06816" w:rsidP="00A06816">
            <w:pPr>
              <w:ind w:firstLine="0"/>
              <w:rPr>
                <w:iCs/>
              </w:rPr>
            </w:pPr>
            <w:r w:rsidRPr="00C629BE">
              <w:rPr>
                <w:iCs/>
              </w:rPr>
              <w:t>Nu se acceptă completarea art. 104 cu un alineat nou, întrucât aspectul evidențiat este deja reglementat la art. 104 alin. (4), care obligă Guvernul ca, în termen de 6 luni de la publicare, să prezinte Parlamentului propuneri de aducere a legislației în concordanță cu prezenta lege și să își adapteze actele normative; o completare suplimentară ar dubla o dispoziție existentă.</w:t>
            </w:r>
          </w:p>
          <w:p w14:paraId="448C6949" w14:textId="06063F23" w:rsidR="00A06816" w:rsidRPr="00C629BE" w:rsidRDefault="00A06816" w:rsidP="00A06816">
            <w:pPr>
              <w:ind w:firstLine="0"/>
              <w:rPr>
                <w:iCs/>
              </w:rPr>
            </w:pPr>
            <w:r w:rsidRPr="00C629BE">
              <w:rPr>
                <w:iCs/>
              </w:rPr>
              <w:t>Nu se acceptă nici eliminarea cuvintelor „dispozițiilor și interdicțiilor”, distincția fiind intenționată: încălcarea dispozițiilor atrage măsurile și sancțiunile prevăzute de prezenta lege, în timp ce încălcarea interdicțiilor prevăzute la art. 81-83 atrage, în condițiile menționate, răspunderea contravențională sau penală. Cele două noțiuni delimitează planuri de răspundere distincte, iar menținerea ambelor asigură claritatea acestei delimitări.</w:t>
            </w:r>
          </w:p>
        </w:tc>
      </w:tr>
      <w:tr w:rsidR="00A06816" w:rsidRPr="0026420A" w14:paraId="717A7CA6" w14:textId="77777777" w:rsidTr="001F4857">
        <w:trPr>
          <w:trHeight w:val="615"/>
        </w:trPr>
        <w:tc>
          <w:tcPr>
            <w:tcW w:w="2206" w:type="dxa"/>
            <w:vMerge/>
            <w:tcMar>
              <w:top w:w="0" w:type="dxa"/>
              <w:left w:w="108" w:type="dxa"/>
              <w:bottom w:w="0" w:type="dxa"/>
              <w:right w:w="108" w:type="dxa"/>
            </w:tcMar>
          </w:tcPr>
          <w:p w14:paraId="0B59F8C8" w14:textId="77777777" w:rsidR="00A06816" w:rsidRDefault="00A06816" w:rsidP="00A06816">
            <w:pPr>
              <w:ind w:firstLine="0"/>
              <w:jc w:val="left"/>
              <w:rPr>
                <w:b/>
                <w:bCs/>
              </w:rPr>
            </w:pPr>
          </w:p>
        </w:tc>
        <w:tc>
          <w:tcPr>
            <w:tcW w:w="579" w:type="dxa"/>
            <w:tcMar>
              <w:top w:w="0" w:type="dxa"/>
              <w:left w:w="108" w:type="dxa"/>
              <w:bottom w:w="0" w:type="dxa"/>
              <w:right w:w="108" w:type="dxa"/>
            </w:tcMar>
          </w:tcPr>
          <w:p w14:paraId="15A9CEA0"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4ED4328B" w14:textId="77777777" w:rsidR="00A06816" w:rsidRDefault="00A06816" w:rsidP="00A06816">
            <w:pPr>
              <w:ind w:firstLine="0"/>
            </w:pPr>
            <w:r>
              <w:t xml:space="preserve">Cu referire la </w:t>
            </w:r>
            <w:r w:rsidRPr="007C6687">
              <w:rPr>
                <w:b/>
                <w:bCs/>
              </w:rPr>
              <w:t>art. 94 alin. (1),</w:t>
            </w:r>
            <w:r>
              <w:t xml:space="preserve"> se constată că norma reglementează exclusiv aspecte formale privind depunerea plângerilor, respectiv forma scrisă și limba română, fără a stabili cerințe minime privind conținutul acestora sau condițiile de admisibilitate.</w:t>
            </w:r>
          </w:p>
          <w:p w14:paraId="2E688BEB" w14:textId="3DA3DB55" w:rsidR="00A06816" w:rsidRPr="009B21EE" w:rsidRDefault="00A06816" w:rsidP="00A06816">
            <w:pPr>
              <w:ind w:firstLine="0"/>
            </w:pPr>
            <w:r>
              <w:t xml:space="preserve">Atenționăm că, în lipsa unor prevederi care să indice elementele obligatorii ale plângerii (precum identificarea consumatorului, descrierea faptelor invocate și, după caz, indicarea probelor sau a circumstanțelor relevante, semnătura), există riscul depunerii unor </w:t>
            </w:r>
            <w:r>
              <w:lastRenderedPageBreak/>
              <w:t>sesizări incomplete, neclare sau dificil de examinat, ceea ce poate afecta eficiența mecanismului de protecție a consumatorilor și activitatea autorității competente. În acest context, se recomandă completarea normei cu prevederi care să stabilească cerințe minime de conținut al plângerilor, în vederea asigurării clarității, eficienței procedurale și a unei aplicări uniforme a dispozițiilor legale.</w:t>
            </w:r>
          </w:p>
        </w:tc>
        <w:tc>
          <w:tcPr>
            <w:tcW w:w="5281" w:type="dxa"/>
            <w:tcMar>
              <w:top w:w="0" w:type="dxa"/>
              <w:left w:w="108" w:type="dxa"/>
              <w:bottom w:w="0" w:type="dxa"/>
              <w:right w:w="108" w:type="dxa"/>
            </w:tcMar>
          </w:tcPr>
          <w:p w14:paraId="2E613570" w14:textId="77777777" w:rsidR="00A06816" w:rsidRDefault="00A06816" w:rsidP="00A06816">
            <w:pPr>
              <w:ind w:firstLine="0"/>
              <w:jc w:val="left"/>
              <w:rPr>
                <w:b/>
                <w:bCs/>
                <w:iCs/>
              </w:rPr>
            </w:pPr>
            <w:r w:rsidRPr="000C1400">
              <w:rPr>
                <w:b/>
                <w:bCs/>
                <w:iCs/>
              </w:rPr>
              <w:lastRenderedPageBreak/>
              <w:t>Se acceptă</w:t>
            </w:r>
            <w:r>
              <w:rPr>
                <w:b/>
                <w:bCs/>
                <w:iCs/>
              </w:rPr>
              <w:t>.</w:t>
            </w:r>
          </w:p>
          <w:p w14:paraId="7BCC8E42" w14:textId="4E2FBDA8" w:rsidR="00A06816" w:rsidRPr="005C5AED" w:rsidRDefault="00A06816" w:rsidP="00A06816">
            <w:pPr>
              <w:ind w:firstLine="0"/>
              <w:rPr>
                <w:iCs/>
              </w:rPr>
            </w:pPr>
            <w:r w:rsidRPr="005C5AED">
              <w:rPr>
                <w:iCs/>
              </w:rPr>
              <w:t xml:space="preserve">În </w:t>
            </w:r>
            <w:r>
              <w:rPr>
                <w:iCs/>
              </w:rPr>
              <w:t xml:space="preserve">scopul reglementării tuturor elementelor unei plângeri complete și în scopul alinierii la lexicul juridic național, termenul „plângere” din prevederile articolelor 94 și 102 se înlocuiește cu noțiunea de „petiție” în conformitatea cu legislația administrativă națională. În așa mod se uniformizează reglementările la nivel național, precum și se asigură claritate </w:t>
            </w:r>
            <w:r>
              <w:rPr>
                <w:iCs/>
              </w:rPr>
              <w:lastRenderedPageBreak/>
              <w:t>privind cerințele minime de conținut, eficiență procedurală și aplicare uniformă a dispozițiilor legale.</w:t>
            </w:r>
          </w:p>
        </w:tc>
      </w:tr>
      <w:tr w:rsidR="00A06816" w:rsidRPr="0026420A" w14:paraId="14B6AE32" w14:textId="77777777" w:rsidTr="001F4857">
        <w:trPr>
          <w:trHeight w:val="615"/>
        </w:trPr>
        <w:tc>
          <w:tcPr>
            <w:tcW w:w="2206" w:type="dxa"/>
            <w:vMerge/>
            <w:tcMar>
              <w:top w:w="0" w:type="dxa"/>
              <w:left w:w="108" w:type="dxa"/>
              <w:bottom w:w="0" w:type="dxa"/>
              <w:right w:w="108" w:type="dxa"/>
            </w:tcMar>
          </w:tcPr>
          <w:p w14:paraId="385BE45B" w14:textId="77777777" w:rsidR="00A06816" w:rsidRDefault="00A06816" w:rsidP="00A06816">
            <w:pPr>
              <w:ind w:firstLine="0"/>
              <w:jc w:val="left"/>
              <w:rPr>
                <w:b/>
                <w:bCs/>
              </w:rPr>
            </w:pPr>
          </w:p>
        </w:tc>
        <w:tc>
          <w:tcPr>
            <w:tcW w:w="579" w:type="dxa"/>
            <w:tcMar>
              <w:top w:w="0" w:type="dxa"/>
              <w:left w:w="108" w:type="dxa"/>
              <w:bottom w:w="0" w:type="dxa"/>
              <w:right w:w="108" w:type="dxa"/>
            </w:tcMar>
          </w:tcPr>
          <w:p w14:paraId="3854388C"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1292EE3A" w14:textId="77777777" w:rsidR="00A06816" w:rsidRDefault="00A06816" w:rsidP="00A06816">
            <w:pPr>
              <w:ind w:firstLine="0"/>
            </w:pPr>
            <w:r>
              <w:t>Cu referire la art</w:t>
            </w:r>
            <w:r w:rsidRPr="006F2746">
              <w:rPr>
                <w:b/>
                <w:bCs/>
              </w:rPr>
              <w:t>. 97 alin. (16),</w:t>
            </w:r>
            <w:r>
              <w:t xml:space="preserve"> se constată că norma are un caracter general și declarativ, stabilind că încălcarea dispozițiilor și interdicțiilor prevăzute de prezenta lege atrage răspunderea contravențională sau penală, fără a indica în mod concret faptele sau categoriile de încălcări susceptibile de a genera o asemenea răspundere.</w:t>
            </w:r>
          </w:p>
          <w:p w14:paraId="120A2343" w14:textId="29C9ED6E" w:rsidR="00A06816" w:rsidRPr="009B21EE" w:rsidRDefault="00A06816" w:rsidP="00A06816">
            <w:pPr>
              <w:ind w:firstLine="0"/>
            </w:pPr>
            <w:r>
              <w:t>În aceste condiții, formularea este excesiv de vagă și nu asigură previzibilitatea normei sancționatoare, întrucât nu rezultă cu suficientă claritate care dispoziții ale legii pot constitui contravenții sau infracțiuni, în condițiile în care art. 78 alin. (4) al proiectului instituie deja un regim sancționator mai concret și determinat. Prin urmare, considerăm oportună excluderea alin. (16) ca fiind redundant și lipsit de valoare normativă proprie, în vederea asigurării coerenței regimului sancționator și evitării dublării sau suprapunerii normelor.</w:t>
            </w:r>
          </w:p>
        </w:tc>
        <w:tc>
          <w:tcPr>
            <w:tcW w:w="5281" w:type="dxa"/>
            <w:tcMar>
              <w:top w:w="0" w:type="dxa"/>
              <w:left w:w="108" w:type="dxa"/>
              <w:bottom w:w="0" w:type="dxa"/>
              <w:right w:w="108" w:type="dxa"/>
            </w:tcMar>
          </w:tcPr>
          <w:p w14:paraId="300B40E7" w14:textId="77777777" w:rsidR="00A06816" w:rsidRDefault="00A06816" w:rsidP="00A06816">
            <w:pPr>
              <w:ind w:firstLine="0"/>
              <w:jc w:val="left"/>
              <w:rPr>
                <w:b/>
                <w:bCs/>
                <w:iCs/>
              </w:rPr>
            </w:pPr>
            <w:r>
              <w:rPr>
                <w:b/>
                <w:bCs/>
                <w:iCs/>
              </w:rPr>
              <w:t>Se acceptă parțial.</w:t>
            </w:r>
          </w:p>
          <w:p w14:paraId="29F770FF" w14:textId="6BBD5841" w:rsidR="00A06816" w:rsidRPr="007C6687" w:rsidRDefault="00A06816" w:rsidP="00A06816">
            <w:pPr>
              <w:ind w:firstLine="0"/>
              <w:rPr>
                <w:iCs/>
              </w:rPr>
            </w:pPr>
            <w:r>
              <w:rPr>
                <w:iCs/>
              </w:rPr>
              <w:t>Luând în considerare că art. 78 alin. (4) a fost exclus din proiectul legii și alipit la art. 97 alin. (18) cu indicarea clarificărilor privind dispozițiile legii care pot constitui contravenții sau infracțiuni: „</w:t>
            </w:r>
            <w:r w:rsidRPr="007C6687">
              <w:rPr>
                <w:iCs/>
              </w:rPr>
              <w:t>Încălcarea dispozițiilor și interdicțiilor prevăzute la art. 81 - 83 constituie încălcare a prezentei legi și atrage aplicarea măsurilor și sancțiunilor prevăzute de art. 97, în măsura în care fapta, prin valoarea prejudiciului cauzat, valoarea beneficiului obținut sau a pierderii evitate ori prin alte elemente prevăzute de lege, întrunește elementele constitutive ale unei contravenții ori ale unei infracțiuni, aceasta atrage răspunderea contravențională sau penală, după caz, în condițiile Codului contravențional al Republici Moldova sau ale Codului penal al Republici Moldova.</w:t>
            </w:r>
            <w:r>
              <w:rPr>
                <w:iCs/>
              </w:rPr>
              <w:t>”. Acest alineat vine ca o continuare la prevederile actualului art. 97 alin. (17) (alin. (16) menționat în expertiză) prin care se prevedere posibilitatea, după caz, a atragerii răspunderi contravenționale și penale în cazul încălcărilor dispozițiilor prevăzute de proiectul de lege, cu detalierea ulterioară în alin. (18).</w:t>
            </w:r>
          </w:p>
        </w:tc>
      </w:tr>
      <w:tr w:rsidR="00A06816" w:rsidRPr="0026420A" w14:paraId="34D272D7" w14:textId="77777777" w:rsidTr="001F4857">
        <w:trPr>
          <w:trHeight w:val="615"/>
        </w:trPr>
        <w:tc>
          <w:tcPr>
            <w:tcW w:w="2206" w:type="dxa"/>
            <w:vMerge/>
            <w:tcMar>
              <w:top w:w="0" w:type="dxa"/>
              <w:left w:w="108" w:type="dxa"/>
              <w:bottom w:w="0" w:type="dxa"/>
              <w:right w:w="108" w:type="dxa"/>
            </w:tcMar>
          </w:tcPr>
          <w:p w14:paraId="258BF50A" w14:textId="77777777" w:rsidR="00A06816" w:rsidRDefault="00A06816" w:rsidP="00A06816">
            <w:pPr>
              <w:ind w:firstLine="0"/>
              <w:jc w:val="left"/>
              <w:rPr>
                <w:b/>
                <w:bCs/>
              </w:rPr>
            </w:pPr>
          </w:p>
        </w:tc>
        <w:tc>
          <w:tcPr>
            <w:tcW w:w="579" w:type="dxa"/>
            <w:tcMar>
              <w:top w:w="0" w:type="dxa"/>
              <w:left w:w="108" w:type="dxa"/>
              <w:bottom w:w="0" w:type="dxa"/>
              <w:right w:w="108" w:type="dxa"/>
            </w:tcMar>
          </w:tcPr>
          <w:p w14:paraId="054446D8"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39F552F6" w14:textId="77777777" w:rsidR="00A06816" w:rsidRPr="00726AA3" w:rsidRDefault="00A06816" w:rsidP="00A06816">
            <w:pPr>
              <w:ind w:firstLine="0"/>
              <w:rPr>
                <w:lang w:val="ro-MD"/>
              </w:rPr>
            </w:pPr>
            <w:r w:rsidRPr="00726AA3">
              <w:rPr>
                <w:lang w:val="ro-MD"/>
              </w:rPr>
              <w:t xml:space="preserve">Cu referire la </w:t>
            </w:r>
            <w:r w:rsidRPr="00726AA3">
              <w:rPr>
                <w:b/>
                <w:bCs/>
                <w:lang w:val="ro-MD"/>
              </w:rPr>
              <w:t>art. 102 alin. (1)</w:t>
            </w:r>
            <w:r w:rsidRPr="00726AA3">
              <w:rPr>
                <w:lang w:val="ro-MD"/>
              </w:rPr>
              <w:t xml:space="preserve">, se constată că norma prevede elaborarea și publicarea unui raport anual privind aplicarea legii și evoluțiile pieței de </w:t>
            </w:r>
            <w:proofErr w:type="spellStart"/>
            <w:r w:rsidRPr="00726AA3">
              <w:rPr>
                <w:lang w:val="ro-MD"/>
              </w:rPr>
              <w:t>criptoactive</w:t>
            </w:r>
            <w:proofErr w:type="spellEnd"/>
            <w:r w:rsidRPr="00726AA3">
              <w:rPr>
                <w:lang w:val="ro-MD"/>
              </w:rPr>
              <w:t xml:space="preserve">, însă nu stabilește în mod expres modalitatea de publicare și de transmitere a acestuia, respectiv instituția sau platforma oficială pe care raportul urmează a fi făcut public. </w:t>
            </w:r>
          </w:p>
          <w:p w14:paraId="27482487" w14:textId="3A351B54" w:rsidR="00A06816" w:rsidRPr="00726AA3" w:rsidRDefault="00A06816" w:rsidP="00A06816">
            <w:pPr>
              <w:ind w:firstLine="0"/>
              <w:rPr>
                <w:lang w:val="ro-MD"/>
              </w:rPr>
            </w:pPr>
            <w:r w:rsidRPr="00726AA3">
              <w:rPr>
                <w:lang w:val="ro-MD"/>
              </w:rPr>
              <w:t xml:space="preserve">În lipsa unor precizări clare privind destinatarul instituțional (Parlamentul, Comisia Națională a Pieței Financiare, Banca Națională a Moldovei) și a modalității de publicare (pagina web a autorităților competente sau alt canal oficial), norma este incompletă sub aspectul asigurării transparenței și al accesului public la informație. </w:t>
            </w:r>
          </w:p>
          <w:p w14:paraId="275E8784" w14:textId="15AE116F" w:rsidR="00A06816" w:rsidRPr="00726AA3" w:rsidRDefault="00A06816" w:rsidP="00A06816">
            <w:pPr>
              <w:ind w:firstLine="0"/>
            </w:pPr>
            <w:r w:rsidRPr="00726AA3">
              <w:rPr>
                <w:lang w:val="ro-MD"/>
              </w:rPr>
              <w:t>În acest context, se recomandă completarea textului prin indicarea expresă a instituției căreia îi este prezentat raportul și a modalității de publicare oficială, în vederea asigurării clarității, previzibilității și aplicării unitare a dispoziției.</w:t>
            </w:r>
          </w:p>
        </w:tc>
        <w:tc>
          <w:tcPr>
            <w:tcW w:w="5281" w:type="dxa"/>
            <w:tcMar>
              <w:top w:w="0" w:type="dxa"/>
              <w:left w:w="108" w:type="dxa"/>
              <w:bottom w:w="0" w:type="dxa"/>
              <w:right w:w="108" w:type="dxa"/>
            </w:tcMar>
          </w:tcPr>
          <w:p w14:paraId="67C5DD26" w14:textId="77777777" w:rsidR="00A06816" w:rsidRPr="00726AA3" w:rsidRDefault="00A06816" w:rsidP="00A06816">
            <w:pPr>
              <w:ind w:firstLine="0"/>
              <w:jc w:val="left"/>
              <w:rPr>
                <w:b/>
                <w:bCs/>
                <w:iCs/>
              </w:rPr>
            </w:pPr>
            <w:r w:rsidRPr="00726AA3">
              <w:rPr>
                <w:b/>
                <w:bCs/>
                <w:iCs/>
              </w:rPr>
              <w:t>Se acceptă parțial.</w:t>
            </w:r>
          </w:p>
          <w:p w14:paraId="70818B85" w14:textId="14ED1EDE" w:rsidR="00A06816" w:rsidRPr="00726AA3" w:rsidRDefault="00A06816" w:rsidP="00A06816">
            <w:pPr>
              <w:ind w:firstLine="0"/>
              <w:rPr>
                <w:iCs/>
              </w:rPr>
            </w:pPr>
            <w:r w:rsidRPr="00726AA3">
              <w:rPr>
                <w:iCs/>
              </w:rPr>
              <w:t>Raportul anual al Comisiei Naționale privind evoluțiile pieței are ca destinatar publicul, fiind un instrument de transparență și informare, iar nu un raport adresat unei anumite autorități; din acest motiv nu se indică un destinatar instituțional. Pentru a asigura accesul public, art. 102 alin. (1) se completează în sensul că raportul se aduce la cunoștința publicului prin publicare pe site-ul web oficial al Comisiei Naționale.</w:t>
            </w:r>
          </w:p>
        </w:tc>
      </w:tr>
      <w:tr w:rsidR="00A06816" w:rsidRPr="0026420A" w14:paraId="020B47F9" w14:textId="77777777" w:rsidTr="001F4857">
        <w:trPr>
          <w:trHeight w:val="615"/>
        </w:trPr>
        <w:tc>
          <w:tcPr>
            <w:tcW w:w="2206" w:type="dxa"/>
            <w:vMerge/>
            <w:tcMar>
              <w:top w:w="0" w:type="dxa"/>
              <w:left w:w="108" w:type="dxa"/>
              <w:bottom w:w="0" w:type="dxa"/>
              <w:right w:w="108" w:type="dxa"/>
            </w:tcMar>
          </w:tcPr>
          <w:p w14:paraId="239D423B" w14:textId="77777777" w:rsidR="00A06816" w:rsidRDefault="00A06816" w:rsidP="00A06816">
            <w:pPr>
              <w:ind w:firstLine="0"/>
              <w:jc w:val="left"/>
              <w:rPr>
                <w:b/>
                <w:bCs/>
              </w:rPr>
            </w:pPr>
          </w:p>
        </w:tc>
        <w:tc>
          <w:tcPr>
            <w:tcW w:w="579" w:type="dxa"/>
            <w:tcMar>
              <w:top w:w="0" w:type="dxa"/>
              <w:left w:w="108" w:type="dxa"/>
              <w:bottom w:w="0" w:type="dxa"/>
              <w:right w:w="108" w:type="dxa"/>
            </w:tcMar>
          </w:tcPr>
          <w:p w14:paraId="63029B03"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2F891632" w14:textId="77777777" w:rsidR="00A06816" w:rsidRDefault="00A06816" w:rsidP="00A06816">
            <w:pPr>
              <w:ind w:firstLine="0"/>
            </w:pPr>
            <w:r>
              <w:t xml:space="preserve">Cu referire la </w:t>
            </w:r>
            <w:r w:rsidRPr="00294D8E">
              <w:rPr>
                <w:b/>
                <w:bCs/>
              </w:rPr>
              <w:t>art. 103</w:t>
            </w:r>
            <w:r>
              <w:t>, se constată existența unor neclarități și inconsecvențe de reglementare care afectează previzibilitatea normei și aplicarea sa unitară.</w:t>
            </w:r>
          </w:p>
          <w:p w14:paraId="39254033" w14:textId="77777777" w:rsidR="00A06816" w:rsidRDefault="00A06816" w:rsidP="00A06816">
            <w:pPr>
              <w:ind w:firstLine="0"/>
            </w:pPr>
            <w:r>
              <w:t>În primul rând, la alin. (1) se utilizează formularea „autoritatea competentă poate percepe taxe”, în timp ce la alin. (2) se prevede stabilirea categoriilor și procedurii de percepere a taxelor, iar din ansamblul reglementării nu rezultă cu claritate dacă perceperea taxelor are caracter obligatoriu sau facultativ, ceea ce generează incertitudine juridică în aplicare.</w:t>
            </w:r>
          </w:p>
          <w:p w14:paraId="651CBBAB" w14:textId="77777777" w:rsidR="00A06816" w:rsidRDefault="00A06816" w:rsidP="00A06816">
            <w:pPr>
              <w:ind w:firstLine="0"/>
            </w:pPr>
            <w:r>
              <w:t>În al doilea rând, norma nu este suficient de clară nici sub aspectul fluxului bugetar al sumelor încasate. Astfel, la alin. (5) se prevede că taxele se achită fie la bugetul autorității competente, fie la bugetul de stat, fără a fi stabilite criterii clare de determinare a destinației sumelor, ceea ce poate conduce la interpretări divergente și practici neunitare între autorități.</w:t>
            </w:r>
          </w:p>
          <w:p w14:paraId="7601AA2A" w14:textId="1A58727B" w:rsidR="00A06816" w:rsidRDefault="00A06816" w:rsidP="00A06816">
            <w:pPr>
              <w:ind w:firstLine="0"/>
            </w:pPr>
            <w:r>
              <w:t>În acest context, este necesară reformularea dispozițiilor pentru a asigura coerența reglementării privind caracterul obligatoriu al taxelor, precum și stabilirea expresă și determinabilă a regimului de colectare și a destinației sumelor încasate, în vederea asigurării securității juridice și a aplicării uniforme a normei.</w:t>
            </w:r>
          </w:p>
        </w:tc>
        <w:tc>
          <w:tcPr>
            <w:tcW w:w="5281" w:type="dxa"/>
            <w:tcMar>
              <w:top w:w="0" w:type="dxa"/>
              <w:left w:w="108" w:type="dxa"/>
              <w:bottom w:w="0" w:type="dxa"/>
              <w:right w:w="108" w:type="dxa"/>
            </w:tcMar>
          </w:tcPr>
          <w:p w14:paraId="5FE3CD12" w14:textId="183AA911" w:rsidR="00A06816" w:rsidRDefault="00A06816" w:rsidP="00A06816">
            <w:pPr>
              <w:ind w:firstLine="0"/>
              <w:jc w:val="left"/>
              <w:rPr>
                <w:b/>
                <w:bCs/>
                <w:iCs/>
              </w:rPr>
            </w:pPr>
            <w:r>
              <w:rPr>
                <w:b/>
                <w:bCs/>
                <w:iCs/>
              </w:rPr>
              <w:t>Se acceptă parțial.</w:t>
            </w:r>
          </w:p>
          <w:p w14:paraId="37400902" w14:textId="489BAE6F" w:rsidR="00A06816" w:rsidRDefault="00A06816" w:rsidP="00A06816">
            <w:pPr>
              <w:ind w:firstLine="0"/>
              <w:rPr>
                <w:iCs/>
              </w:rPr>
            </w:pPr>
            <w:r w:rsidRPr="009B4214">
              <w:rPr>
                <w:iCs/>
              </w:rPr>
              <w:t xml:space="preserve">Cu privire la caracterul taxelor, formularea „pot percepe” de la alin. (1) exprimă dreptul autorităților competente de a institui taxe, iar nu un caracter facultativ al plății pentru debitor. Caracterul permisiv al normei reflectă dualitatea celor două autorități: Comisia Națională percepe taxele în temeiul prezentei legi și al Legii nr. 192/1998, în timp ce, în cazul Băncii Naționale, perceperea se va stabili ulterior prin  Legea nr. 548/1995 </w:t>
            </w:r>
            <w:r>
              <w:rPr>
                <w:iCs/>
              </w:rPr>
              <w:t>ș</w:t>
            </w:r>
            <w:r w:rsidRPr="009B4214">
              <w:rPr>
                <w:iCs/>
              </w:rPr>
              <w:t>i propriul cadru normativ, dac</w:t>
            </w:r>
            <w:r>
              <w:rPr>
                <w:iCs/>
              </w:rPr>
              <w:t>ă</w:t>
            </w:r>
            <w:r w:rsidRPr="009B4214">
              <w:rPr>
                <w:iCs/>
              </w:rPr>
              <w:t xml:space="preserve"> se va decide </w:t>
            </w:r>
            <w:r>
              <w:rPr>
                <w:iCs/>
              </w:rPr>
              <w:t>î</w:t>
            </w:r>
            <w:r w:rsidRPr="009B4214">
              <w:rPr>
                <w:iCs/>
              </w:rPr>
              <w:t>n acest sens. Odată instituite prin actele normative de punere în aplicare, taxele sunt obligatorii pentru categoriile de subiecți vizați. Caracterul determinabil al regimului este asigurat de ansamblul articolului — principiul recuperării costurilor (alin. (3)), stabilitatea și publicitatea prealabilă a cuantumului (alin. (4)) —, precum și de stabilirea, la nivel de lege primară, a limitei maxime, a categoriilor principale de plăți și a subiecților obligați, prin completarea art. 6 din Legea nr. 192/1998; actele subsecvente detaliază doar cuantumul concret, modul de calcul, procedura, termenele și raportările, în limitele legii.</w:t>
            </w:r>
          </w:p>
          <w:p w14:paraId="40A5DCE1" w14:textId="7FBB4D40" w:rsidR="00A06816" w:rsidRPr="009B4214" w:rsidRDefault="00A06816" w:rsidP="00A06816">
            <w:pPr>
              <w:ind w:firstLine="0"/>
              <w:rPr>
                <w:iCs/>
              </w:rPr>
            </w:pPr>
            <w:r>
              <w:rPr>
                <w:iCs/>
              </w:rPr>
              <w:t>Pentru claritate, art. 103 alin. (2) se completează după cum urmează: „</w:t>
            </w:r>
            <w:r w:rsidRPr="00E80B6E">
              <w:rPr>
                <w:iCs/>
              </w:rPr>
              <w:t>În cazul perceperii taxelor sau plăților prevăzute la alin. (1), cuantumul și procedura de percepere, precum și categoriile de persoane sau entități obligate la plata taxelor sau plăților se stabilesc de către autoritățile competente prin actele lor normative de punere în aplicare a prezentei legi.</w:t>
            </w:r>
            <w:r>
              <w:rPr>
                <w:iCs/>
              </w:rPr>
              <w:t>”</w:t>
            </w:r>
          </w:p>
          <w:p w14:paraId="38E9F290" w14:textId="2EA66AE5" w:rsidR="00A06816" w:rsidRPr="00A20768" w:rsidRDefault="00A06816" w:rsidP="00A06816">
            <w:pPr>
              <w:ind w:firstLine="0"/>
              <w:rPr>
                <w:iCs/>
              </w:rPr>
            </w:pPr>
            <w:r w:rsidRPr="009B4214">
              <w:rPr>
                <w:iCs/>
              </w:rPr>
              <w:t>Cu privire la fluxul bugetar, observația a fost deja valorificată prin reformularea alin. (5), care nu mai conține alternativa imprecisă „fie la bugetul autorității competente, fie la bugetul de stat”. Textul actual delimitează expres două regimuri, în funcție de autoritatea competentă: taxele percepute de Comisia Națională constituie venituri proprii și se achită în condițiile Legii nr. 192/1998, iar cele percepute, după caz, de Banca Națională se achită și se administrează în condițiile Legii nr. 548/1995. Criteriul de determinare a destinației sumelor este astfel obiectiv și previzibil, înlăturând riscul aplicării neunitare.</w:t>
            </w:r>
          </w:p>
        </w:tc>
      </w:tr>
      <w:tr w:rsidR="00A06816" w:rsidRPr="0026420A" w14:paraId="66F7B5EC" w14:textId="77777777" w:rsidTr="001F4857">
        <w:trPr>
          <w:trHeight w:val="615"/>
        </w:trPr>
        <w:tc>
          <w:tcPr>
            <w:tcW w:w="2206" w:type="dxa"/>
            <w:vMerge/>
            <w:tcMar>
              <w:top w:w="0" w:type="dxa"/>
              <w:left w:w="108" w:type="dxa"/>
              <w:bottom w:w="0" w:type="dxa"/>
              <w:right w:w="108" w:type="dxa"/>
            </w:tcMar>
          </w:tcPr>
          <w:p w14:paraId="44CD9463" w14:textId="77777777" w:rsidR="00A06816" w:rsidRDefault="00A06816" w:rsidP="00A06816">
            <w:pPr>
              <w:ind w:firstLine="0"/>
              <w:jc w:val="left"/>
              <w:rPr>
                <w:b/>
                <w:bCs/>
              </w:rPr>
            </w:pPr>
          </w:p>
        </w:tc>
        <w:tc>
          <w:tcPr>
            <w:tcW w:w="579" w:type="dxa"/>
            <w:tcMar>
              <w:top w:w="0" w:type="dxa"/>
              <w:left w:w="108" w:type="dxa"/>
              <w:bottom w:w="0" w:type="dxa"/>
              <w:right w:w="108" w:type="dxa"/>
            </w:tcMar>
          </w:tcPr>
          <w:p w14:paraId="1DC27681"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5A8739DD" w14:textId="77777777" w:rsidR="00A06816" w:rsidRPr="00726AA3" w:rsidRDefault="00A06816" w:rsidP="00A06816">
            <w:pPr>
              <w:ind w:firstLine="0"/>
            </w:pPr>
            <w:r w:rsidRPr="00726AA3">
              <w:t xml:space="preserve">La </w:t>
            </w:r>
            <w:r w:rsidRPr="00726AA3">
              <w:rPr>
                <w:b/>
                <w:bCs/>
              </w:rPr>
              <w:t>art. 104 alin. (3)</w:t>
            </w:r>
            <w:r w:rsidRPr="00726AA3">
              <w:t xml:space="preserve"> se atrage atenția că prevederile expuse sunt concepute să producă efecte juridice la data intrării în vigoare a Tratatului de aderare a Republicii Moldova la Uniunea Europeană, moment care este incert din punct de vedere temporal și dependent de finalizarea unui proces internațional complex de negociere și ratificare.</w:t>
            </w:r>
          </w:p>
          <w:p w14:paraId="10C3AB54" w14:textId="77777777" w:rsidR="00A06816" w:rsidRPr="00726AA3" w:rsidRDefault="00A06816" w:rsidP="00A06816">
            <w:pPr>
              <w:ind w:firstLine="0"/>
            </w:pPr>
            <w:r w:rsidRPr="00726AA3">
              <w:lastRenderedPageBreak/>
              <w:t>În acest context, există un risc juridic și normativ ca până la realizarea efectivă a aderării, cadrul legislativ național (precum și prezenta lege) și al Uniunii Europene la care se face trimitere (inclusiv Regulamentul (UE) 2023/1114 și actele conexe) să fie modificat, completat sau înlocuit prin acte ulterioare. De asemenea, structura instituțională și terminologia utilizată în legislația UE pot suferi ajustări, inclusiv în ceea ce privește numerotarea articolelor sau conținutul titlurilor și capitolelor invocate.</w:t>
            </w:r>
          </w:p>
          <w:p w14:paraId="4848F2DA" w14:textId="3D907967" w:rsidR="00A06816" w:rsidRPr="00726AA3" w:rsidRDefault="00A06816" w:rsidP="00A06816">
            <w:pPr>
              <w:ind w:firstLine="0"/>
            </w:pPr>
            <w:r w:rsidRPr="00726AA3">
              <w:t xml:space="preserve">Prin urmare, formularea unor modificări legislative cu aplicare condiționată de un eveniment viitor și incert poate conduce la situația în care, la momentul intrării în vigoare a Tratatului de aderare, referințele normative din această lege să nu mai corespundă exact cadrului juridic european în vigoare, necesitând intervenții legislative suplimentare de actualizare. </w:t>
            </w:r>
            <w:r w:rsidRPr="00726AA3">
              <w:rPr>
                <w:b/>
                <w:bCs/>
              </w:rPr>
              <w:t>În consecință, propunem excluderea acestor prevederi.</w:t>
            </w:r>
          </w:p>
        </w:tc>
        <w:tc>
          <w:tcPr>
            <w:tcW w:w="5281" w:type="dxa"/>
            <w:tcMar>
              <w:top w:w="0" w:type="dxa"/>
              <w:left w:w="108" w:type="dxa"/>
              <w:bottom w:w="0" w:type="dxa"/>
              <w:right w:w="108" w:type="dxa"/>
            </w:tcMar>
          </w:tcPr>
          <w:p w14:paraId="7F03F443" w14:textId="77777777" w:rsidR="00A06816" w:rsidRPr="00726AA3" w:rsidRDefault="00A06816" w:rsidP="00A06816">
            <w:pPr>
              <w:ind w:firstLine="0"/>
              <w:jc w:val="left"/>
              <w:rPr>
                <w:b/>
                <w:bCs/>
                <w:iCs/>
              </w:rPr>
            </w:pPr>
            <w:r w:rsidRPr="00726AA3">
              <w:rPr>
                <w:b/>
                <w:bCs/>
                <w:iCs/>
              </w:rPr>
              <w:lastRenderedPageBreak/>
              <w:t>Nu se acceptă.</w:t>
            </w:r>
          </w:p>
          <w:p w14:paraId="55BEBB5B" w14:textId="6C5AA2C4" w:rsidR="00A06816" w:rsidRPr="00726AA3" w:rsidRDefault="00A06816" w:rsidP="00A06816">
            <w:pPr>
              <w:ind w:firstLine="0"/>
              <w:rPr>
                <w:iCs/>
              </w:rPr>
            </w:pPr>
            <w:r w:rsidRPr="00726AA3">
              <w:rPr>
                <w:iCs/>
              </w:rPr>
              <w:t xml:space="preserve">Autorul a analizat dispozițiile care nu vor mai fi actuale sau care vor necesita modificare la data aderării Republicii Moldova la Uniunea Europeană și a optat, în mod deliberat, ca aceste modificări să opereze automat, la momentul aderării, iar nu printr-o lege ulterioară de modificare — soluție menită tocmai </w:t>
            </w:r>
            <w:r w:rsidRPr="00726AA3">
              <w:rPr>
                <w:iCs/>
              </w:rPr>
              <w:lastRenderedPageBreak/>
              <w:t>să evite un proces legislativ de durată și să asigure aplicarea fără sincope a noului cadru.</w:t>
            </w:r>
          </w:p>
          <w:p w14:paraId="319973AE" w14:textId="11266635" w:rsidR="00A06816" w:rsidRPr="00726AA3" w:rsidRDefault="00A06816" w:rsidP="00A06816">
            <w:pPr>
              <w:ind w:firstLine="0"/>
              <w:rPr>
                <w:iCs/>
              </w:rPr>
            </w:pPr>
            <w:r w:rsidRPr="00726AA3">
              <w:rPr>
                <w:iCs/>
              </w:rPr>
              <w:t>Păstrarea normei servește și previzibilității destinatarilor, care cunosc din timp modul în care se va modifica cadrul aplicabil la aderare. Cât privește caracterul pretins incert al acestui moment, aderarea la Uniunea Europeană constituie, potrivit Constituției Republicii Moldova, un obiectiv strategic, iar dezideratul național este realizarea ei cât mai curând; ea este, totodată, jalonată prin Programul național de aderare pentru perioada 2025-2029. Eventualele modificări ulterioare ale cadrului european pot fi acomodate punctual, printr-un proiect de modificare acolo unde va fi necesar, fără a justifica renunțarea la transpunere. Excluderea acestor dispoziții ar fragmenta cadrul și ar impune re-legiferarea la aderare, contrar tocmai obiectivului de previzibilitate și continuitate urmărit.</w:t>
            </w:r>
          </w:p>
        </w:tc>
      </w:tr>
      <w:tr w:rsidR="00A06816" w:rsidRPr="0026420A" w14:paraId="5BF23999" w14:textId="77777777" w:rsidTr="000A671F">
        <w:trPr>
          <w:trHeight w:val="4140"/>
        </w:trPr>
        <w:tc>
          <w:tcPr>
            <w:tcW w:w="2206" w:type="dxa"/>
            <w:vMerge/>
            <w:tcMar>
              <w:top w:w="0" w:type="dxa"/>
              <w:left w:w="108" w:type="dxa"/>
              <w:bottom w:w="0" w:type="dxa"/>
              <w:right w:w="108" w:type="dxa"/>
            </w:tcMar>
          </w:tcPr>
          <w:p w14:paraId="7A9C8796" w14:textId="77777777" w:rsidR="00A06816" w:rsidRDefault="00A06816" w:rsidP="00A06816">
            <w:pPr>
              <w:ind w:firstLine="0"/>
              <w:jc w:val="left"/>
              <w:rPr>
                <w:b/>
                <w:bCs/>
              </w:rPr>
            </w:pPr>
          </w:p>
        </w:tc>
        <w:tc>
          <w:tcPr>
            <w:tcW w:w="579" w:type="dxa"/>
            <w:tcMar>
              <w:top w:w="0" w:type="dxa"/>
              <w:left w:w="108" w:type="dxa"/>
              <w:bottom w:w="0" w:type="dxa"/>
              <w:right w:w="108" w:type="dxa"/>
            </w:tcMar>
          </w:tcPr>
          <w:p w14:paraId="620A70DD"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07CBF778" w14:textId="77777777" w:rsidR="00A06816" w:rsidRDefault="00A06816" w:rsidP="00A06816">
            <w:pPr>
              <w:ind w:firstLine="0"/>
            </w:pPr>
            <w:r>
              <w:t>Adițional, se constată că autorul proiectului prezintă o anexă la lege, care include o listă de modificări la unele acte normative. În acest sens, se propune completarea art. 104 cu un nou alineat, potrivit căruia: „La data intrării în vigoare a legii, se modifică unele acte normative conform anexei nr. ___”.</w:t>
            </w:r>
          </w:p>
          <w:p w14:paraId="2AFF9509" w14:textId="77777777" w:rsidR="00A06816" w:rsidRDefault="00A06816" w:rsidP="00A06816">
            <w:pPr>
              <w:ind w:firstLine="0"/>
            </w:pPr>
            <w:r>
              <w:t>La fel, anexa va fi expusă la finalul legii (după cele 4 anexe) și va fi numerotată „Anexa nr. 5”.</w:t>
            </w:r>
          </w:p>
          <w:p w14:paraId="4598B35D" w14:textId="2A05486C" w:rsidR="00A06816" w:rsidRDefault="00A06816" w:rsidP="00A06816">
            <w:pPr>
              <w:ind w:firstLine="0"/>
            </w:pPr>
            <w:r w:rsidRPr="00D33493">
              <w:t>Totodată, se reține că, potrivit art. 49 alin. (6) din Legea nr. 100/2017, reglementările din anexe se numerotează cu cifre arabe urmate de punct, prin adăugarea consecutivă a cifrelor arabe, până la gradul de detaliere necesar. Prin urmare, modalitatea de numerotare propusă și, după caz, structura anexei nu corespund exigențelor de tehnică legislativă stabilite de cadrul normativ incident, întrucât nu respectă regula de sistematizare și numerotare a dispozițiilor din anexe. În consecință, se consideră necesară revizuirea anexei în vederea asigurării conformității acesteia cu prevederile art. 49 alin. (6) din Legea nr. 100/2017, precum și a corelării tehnice cu structura actului normativ (obiecție valabilă și pentru Anexele 1- 4 din proiect).</w:t>
            </w:r>
          </w:p>
        </w:tc>
        <w:tc>
          <w:tcPr>
            <w:tcW w:w="5281" w:type="dxa"/>
            <w:tcMar>
              <w:top w:w="0" w:type="dxa"/>
              <w:left w:w="108" w:type="dxa"/>
              <w:bottom w:w="0" w:type="dxa"/>
              <w:right w:w="108" w:type="dxa"/>
            </w:tcMar>
          </w:tcPr>
          <w:p w14:paraId="030407A1" w14:textId="0296BAEA" w:rsidR="00A06816" w:rsidRDefault="00A06816" w:rsidP="00A06816">
            <w:pPr>
              <w:ind w:firstLine="0"/>
              <w:jc w:val="left"/>
              <w:rPr>
                <w:b/>
                <w:bCs/>
                <w:iCs/>
              </w:rPr>
            </w:pPr>
            <w:r>
              <w:rPr>
                <w:b/>
                <w:bCs/>
                <w:iCs/>
              </w:rPr>
              <w:t>S</w:t>
            </w:r>
            <w:r w:rsidRPr="00182003">
              <w:rPr>
                <w:b/>
                <w:bCs/>
                <w:iCs/>
              </w:rPr>
              <w:t>e acceptă</w:t>
            </w:r>
            <w:r>
              <w:rPr>
                <w:b/>
                <w:bCs/>
                <w:iCs/>
              </w:rPr>
              <w:t xml:space="preserve"> parțial</w:t>
            </w:r>
            <w:r w:rsidRPr="00182003">
              <w:rPr>
                <w:b/>
                <w:bCs/>
                <w:iCs/>
              </w:rPr>
              <w:t>.</w:t>
            </w:r>
          </w:p>
          <w:p w14:paraId="1D096F47" w14:textId="77777777" w:rsidR="00A06816" w:rsidRDefault="00A06816" w:rsidP="00A06816">
            <w:pPr>
              <w:ind w:firstLine="0"/>
              <w:rPr>
                <w:iCs/>
              </w:rPr>
            </w:pPr>
            <w:r>
              <w:rPr>
                <w:iCs/>
              </w:rPr>
              <w:t>Se menționează că art. 104 conține deja un alineat cu prevederile: „</w:t>
            </w:r>
            <w:r>
              <w:t>La data intrării în vigoare a legii, se modifică unele acte normative conform anexei.”, și anume la alin.</w:t>
            </w:r>
            <w:r>
              <w:rPr>
                <w:iCs/>
              </w:rPr>
              <w:t xml:space="preserve"> (6).</w:t>
            </w:r>
          </w:p>
          <w:p w14:paraId="604B52D7" w14:textId="492BC9F0" w:rsidR="00A06816" w:rsidRDefault="00A06816" w:rsidP="00A06816">
            <w:pPr>
              <w:ind w:firstLine="0"/>
            </w:pPr>
            <w:r w:rsidRPr="0026420A">
              <w:t>Se ajustează</w:t>
            </w:r>
            <w:r>
              <w:t xml:space="preserve"> </w:t>
            </w:r>
            <w:r w:rsidRPr="0026420A">
              <w:t>textul proiectului de Lege corespunzător</w:t>
            </w:r>
            <w:r>
              <w:t xml:space="preserve"> la Anexa nr.5.</w:t>
            </w:r>
          </w:p>
          <w:p w14:paraId="0E25D1E7" w14:textId="0559BAB2" w:rsidR="00A06816" w:rsidRPr="000D76F0" w:rsidRDefault="00A06816" w:rsidP="00A06816">
            <w:pPr>
              <w:ind w:firstLine="0"/>
              <w:rPr>
                <w:iCs/>
              </w:rPr>
            </w:pPr>
            <w:r w:rsidRPr="009F5E9D">
              <w:t xml:space="preserve">Se ajustează </w:t>
            </w:r>
            <w:r>
              <w:t>prevederile anexelor</w:t>
            </w:r>
            <w:r w:rsidRPr="009F5E9D">
              <w:t xml:space="preserve"> în modul</w:t>
            </w:r>
            <w:r>
              <w:t xml:space="preserve"> </w:t>
            </w:r>
            <w:r w:rsidRPr="009F5E9D">
              <w:t>corespunzător.</w:t>
            </w:r>
          </w:p>
        </w:tc>
      </w:tr>
      <w:tr w:rsidR="00A06816" w:rsidRPr="0026420A" w14:paraId="380EE21F" w14:textId="77777777" w:rsidTr="000A671F">
        <w:trPr>
          <w:trHeight w:val="8969"/>
        </w:trPr>
        <w:tc>
          <w:tcPr>
            <w:tcW w:w="2206" w:type="dxa"/>
            <w:vMerge/>
            <w:tcMar>
              <w:top w:w="0" w:type="dxa"/>
              <w:left w:w="108" w:type="dxa"/>
              <w:bottom w:w="0" w:type="dxa"/>
              <w:right w:w="108" w:type="dxa"/>
            </w:tcMar>
          </w:tcPr>
          <w:p w14:paraId="7C4AE76A" w14:textId="77777777" w:rsidR="00A06816" w:rsidRDefault="00A06816" w:rsidP="00A06816">
            <w:pPr>
              <w:ind w:firstLine="0"/>
              <w:jc w:val="left"/>
              <w:rPr>
                <w:b/>
                <w:bCs/>
              </w:rPr>
            </w:pPr>
          </w:p>
        </w:tc>
        <w:tc>
          <w:tcPr>
            <w:tcW w:w="579" w:type="dxa"/>
            <w:tcMar>
              <w:top w:w="0" w:type="dxa"/>
              <w:left w:w="108" w:type="dxa"/>
              <w:bottom w:w="0" w:type="dxa"/>
              <w:right w:w="108" w:type="dxa"/>
            </w:tcMar>
          </w:tcPr>
          <w:p w14:paraId="609CC4DE"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74F6D274" w14:textId="77777777" w:rsidR="00A06816" w:rsidRDefault="00A06816" w:rsidP="00A06816">
            <w:pPr>
              <w:ind w:firstLine="0"/>
            </w:pPr>
            <w:r>
              <w:t>În altă ordine de idei, potrivit pct. 1) din proiect, prin care se propun modificări la Legea nr. 548/1995 cu privire la Banca Națională a Moldovei, la art. 75</w:t>
            </w:r>
            <w:r w:rsidRPr="00A923EB">
              <w:rPr>
                <w:vertAlign w:val="superscript"/>
              </w:rPr>
              <w:t>2</w:t>
            </w:r>
            <w:r>
              <w:t xml:space="preserve"> se introduce un nou alineat (23), potrivit căruia măsurile și sancțiunile prevăzute la art. 97 alin. (2) lit. a) și b) din legislația privind piața </w:t>
            </w:r>
            <w:proofErr w:type="spellStart"/>
            <w:r>
              <w:t>criptoactivelor</w:t>
            </w:r>
            <w:proofErr w:type="spellEnd"/>
            <w:r>
              <w:t xml:space="preserve"> ar putea fi aplicate de către guvernatorul, prim-viceguvernatorul sau viceguvernatorii Băncii Naționale, această soluție normativă fiind necorelată cu regimul juridic instituit de proiect.</w:t>
            </w:r>
          </w:p>
          <w:p w14:paraId="285B5E39" w14:textId="77777777" w:rsidR="00A06816" w:rsidRDefault="00A06816" w:rsidP="00A06816">
            <w:pPr>
              <w:ind w:firstLine="0"/>
            </w:pPr>
            <w:r>
              <w:t>În acest sens, se atenționează că art. 97 alin. (2) nu instituie competențe pentru Banca Națională a Moldovei, atribuțiile de constatare și aplicare a măsurilor și sancțiunilor fiind expres conferite Comisiei Naționale a Pieței Financiare, ceea ce face ca extinderea acestor competențe asupra BNM să nu fie susținută de cadrul normativ propus.</w:t>
            </w:r>
          </w:p>
          <w:p w14:paraId="543A8740" w14:textId="77777777" w:rsidR="00A06816" w:rsidRDefault="00A06816" w:rsidP="00A06816">
            <w:pPr>
              <w:ind w:firstLine="0"/>
            </w:pPr>
            <w:r>
              <w:t>În concluzie, se constată existența unei necorelări între norma propusă de completare a art. 75</w:t>
            </w:r>
            <w:r w:rsidRPr="00A923EB">
              <w:rPr>
                <w:vertAlign w:val="superscript"/>
              </w:rPr>
              <w:t>2</w:t>
            </w:r>
            <w:r>
              <w:t xml:space="preserve"> alin. (2</w:t>
            </w:r>
            <w:r w:rsidRPr="00786DA9">
              <w:rPr>
                <w:vertAlign w:val="superscript"/>
              </w:rPr>
              <w:t>3</w:t>
            </w:r>
            <w:r>
              <w:t>) din Legea nr. 548/1995 și regimul stabilit prin art. 97 alin. (2) din proiect, în condițiile în care atribuțiile de constatare și aplicare a măsurilor și sancțiunilor sunt expres conferite Comisiei Naționale a Pieței Financiare.</w:t>
            </w:r>
          </w:p>
          <w:p w14:paraId="73FB233C" w14:textId="77777777" w:rsidR="00A06816" w:rsidRDefault="00A06816" w:rsidP="00A06816">
            <w:pPr>
              <w:ind w:firstLine="0"/>
            </w:pPr>
            <w:r>
              <w:t>În aceste circumstanțe, extinderea competențelor respective asupra Băncii Naționale a Moldovei nu este susținută de cadrul normativ incident și este de natură să genereze incertitudine juridică și suprapuneri instituționale.</w:t>
            </w:r>
          </w:p>
          <w:p w14:paraId="0483B9B9" w14:textId="77777777" w:rsidR="00A06816" w:rsidRDefault="00A06816" w:rsidP="00A06816">
            <w:pPr>
              <w:ind w:firstLine="0"/>
            </w:pPr>
            <w:r>
              <w:t xml:space="preserve">Totodată, se constată că, pe parcursul anexei, este utilizată formularea „legislația privind piața </w:t>
            </w:r>
            <w:proofErr w:type="spellStart"/>
            <w:r>
              <w:t>criptoactivelor</w:t>
            </w:r>
            <w:proofErr w:type="spellEnd"/>
            <w:r>
              <w:t>” pentru a desemna actul normativ de referință.</w:t>
            </w:r>
          </w:p>
          <w:p w14:paraId="446CA23E" w14:textId="77777777" w:rsidR="00A06816" w:rsidRDefault="00A06816" w:rsidP="00A06816">
            <w:pPr>
              <w:ind w:firstLine="0"/>
            </w:pPr>
            <w:r>
              <w:t xml:space="preserve">În acest context, se atenționează că utilizarea unei denumiri generice, fără identificarea expresă a actului normativ prin număr și dată de adoptare, nu asigură suficientă claritate și precizie normativă. Astfel, din considerente de tehnică legislativă și pentru evitarea oricăror dificultăți de interpretare, se impune revizuirea acestei formulări, cu indicarea expresă a actului normativ vizat, respectiv „Legea nr. ___/___ privind piața </w:t>
            </w:r>
            <w:proofErr w:type="spellStart"/>
            <w:r>
              <w:t>criptoactivelor</w:t>
            </w:r>
            <w:proofErr w:type="spellEnd"/>
            <w:r>
              <w:t>”.</w:t>
            </w:r>
          </w:p>
          <w:p w14:paraId="7939601F" w14:textId="16990F99" w:rsidR="00A06816" w:rsidRDefault="00A06816" w:rsidP="00A06816">
            <w:pPr>
              <w:ind w:firstLine="0"/>
            </w:pPr>
            <w:r w:rsidRPr="00763425">
              <w:t>Adițional, relevăm că din punct de vedere al tehnicii legislative, la schimbarea unor cuvinte din conținutul textului unui act normativ, pentru exprimarea corectă, se menționează despre substituirea „cuvintelor” respective, iar la schimbarea unor cifre/semne și cuvinte din conținutul textului unui act normativ, pentru exprimarea corectă, se menționează despre substituirea „textului”. În acest sens, urmează a fi revizuită această anexă.</w:t>
            </w:r>
          </w:p>
        </w:tc>
        <w:tc>
          <w:tcPr>
            <w:tcW w:w="5281" w:type="dxa"/>
            <w:tcMar>
              <w:top w:w="0" w:type="dxa"/>
              <w:left w:w="108" w:type="dxa"/>
              <w:bottom w:w="0" w:type="dxa"/>
              <w:right w:w="108" w:type="dxa"/>
            </w:tcMar>
          </w:tcPr>
          <w:p w14:paraId="4D752E50" w14:textId="010F3398" w:rsidR="00A06816" w:rsidRPr="00D341D3" w:rsidRDefault="00A06816" w:rsidP="00A06816">
            <w:pPr>
              <w:ind w:firstLine="0"/>
              <w:jc w:val="left"/>
              <w:rPr>
                <w:b/>
                <w:bCs/>
                <w:iCs/>
              </w:rPr>
            </w:pPr>
            <w:r w:rsidRPr="00D341D3">
              <w:rPr>
                <w:b/>
                <w:bCs/>
                <w:iCs/>
              </w:rPr>
              <w:t>Se acceptă parțial.</w:t>
            </w:r>
          </w:p>
          <w:p w14:paraId="4C79C2DA" w14:textId="1129863B" w:rsidR="00A06816" w:rsidRPr="00D341D3" w:rsidRDefault="00A06816" w:rsidP="00A06816">
            <w:pPr>
              <w:ind w:firstLine="0"/>
              <w:rPr>
                <w:iCs/>
              </w:rPr>
            </w:pPr>
            <w:r w:rsidRPr="00D341D3">
              <w:rPr>
                <w:iCs/>
              </w:rPr>
              <w:t>Referința la art. 97 a fost corectată, iar termenul „legislația” a fost substituit cu „Legea”.</w:t>
            </w:r>
          </w:p>
          <w:p w14:paraId="6B0623FB" w14:textId="1E7F3539" w:rsidR="00A06816" w:rsidRPr="00D341D3" w:rsidRDefault="00A06816" w:rsidP="00A06816">
            <w:pPr>
              <w:ind w:firstLine="0"/>
              <w:rPr>
                <w:iCs/>
              </w:rPr>
            </w:pPr>
            <w:r w:rsidRPr="00D341D3">
              <w:rPr>
                <w:iCs/>
              </w:rPr>
              <w:t>Cu privire la propunerea de indicare a numărului și anului adoptării legii, acest lucru este imposibil la etapa actuală, or este avut în vedere tocmai prezentul proiect de lege care urmează a fi adoptat.</w:t>
            </w:r>
          </w:p>
          <w:p w14:paraId="659F4998" w14:textId="7C20CE5A" w:rsidR="00A06816" w:rsidRPr="00D341D3" w:rsidRDefault="00A06816" w:rsidP="00A06816">
            <w:pPr>
              <w:ind w:firstLine="0"/>
              <w:rPr>
                <w:iCs/>
              </w:rPr>
            </w:pPr>
            <w:r w:rsidRPr="00D341D3">
              <w:rPr>
                <w:iCs/>
              </w:rPr>
              <w:t xml:space="preserve">Norma în redacție nouă </w:t>
            </w:r>
            <w:r w:rsidR="00D65B36">
              <w:rPr>
                <w:iCs/>
              </w:rPr>
              <w:t>a fost</w:t>
            </w:r>
            <w:r w:rsidRPr="00D341D3">
              <w:rPr>
                <w:iCs/>
              </w:rPr>
              <w:t xml:space="preserve"> expusă astfel:</w:t>
            </w:r>
          </w:p>
          <w:p w14:paraId="4719EA0D" w14:textId="3A002C7F" w:rsidR="00A06816" w:rsidRDefault="00A06816" w:rsidP="00A06816">
            <w:pPr>
              <w:ind w:firstLine="0"/>
              <w:rPr>
                <w:iCs/>
              </w:rPr>
            </w:pPr>
            <w:r w:rsidRPr="00D341D3">
              <w:rPr>
                <w:iCs/>
              </w:rPr>
              <w:t xml:space="preserve">„ </w:t>
            </w:r>
            <w:r w:rsidRPr="001D6065">
              <w:rPr>
                <w:i/>
              </w:rPr>
              <w:t>(2</w:t>
            </w:r>
            <w:r w:rsidRPr="001D6065">
              <w:rPr>
                <w:i/>
                <w:vertAlign w:val="superscript"/>
              </w:rPr>
              <w:t>3</w:t>
            </w:r>
            <w:r w:rsidRPr="001D6065">
              <w:rPr>
                <w:i/>
              </w:rPr>
              <w:t xml:space="preserve">) Sancțiunile și măsurile care pot fi aplicate de Banca </w:t>
            </w:r>
            <w:proofErr w:type="spellStart"/>
            <w:r w:rsidRPr="001D6065">
              <w:rPr>
                <w:i/>
              </w:rPr>
              <w:t>Naţională</w:t>
            </w:r>
            <w:proofErr w:type="spellEnd"/>
            <w:r w:rsidRPr="001D6065">
              <w:rPr>
                <w:i/>
              </w:rPr>
              <w:t xml:space="preserve"> </w:t>
            </w:r>
            <w:proofErr w:type="spellStart"/>
            <w:r w:rsidRPr="001D6065">
              <w:rPr>
                <w:i/>
              </w:rPr>
              <w:t>faţă</w:t>
            </w:r>
            <w:proofErr w:type="spellEnd"/>
            <w:r w:rsidRPr="001D6065">
              <w:rPr>
                <w:i/>
              </w:rPr>
              <w:t xml:space="preserve"> de persoanele sau entitățile care desfășoară activități prevăzute la art. 85 alin. (3) din legislația privind piața </w:t>
            </w:r>
            <w:proofErr w:type="spellStart"/>
            <w:r w:rsidRPr="001D6065">
              <w:rPr>
                <w:i/>
              </w:rPr>
              <w:t>criptoactivelor</w:t>
            </w:r>
            <w:proofErr w:type="spellEnd"/>
            <w:r w:rsidRPr="001D6065">
              <w:rPr>
                <w:i/>
              </w:rPr>
              <w:t xml:space="preserve">, se aplică de către Comitetului executiv. Măsurile </w:t>
            </w:r>
            <w:proofErr w:type="spellStart"/>
            <w:r w:rsidRPr="001D6065">
              <w:rPr>
                <w:i/>
              </w:rPr>
              <w:t>şi</w:t>
            </w:r>
            <w:proofErr w:type="spellEnd"/>
            <w:r w:rsidRPr="001D6065">
              <w:rPr>
                <w:i/>
              </w:rPr>
              <w:t xml:space="preserve"> sancțiunile prevăzute la art.86 alin.(2) și art.97 </w:t>
            </w:r>
            <w:r w:rsidRPr="00CC29F6">
              <w:rPr>
                <w:b/>
                <w:bCs/>
                <w:i/>
              </w:rPr>
              <w:t xml:space="preserve">alin.(9) pct.1) </w:t>
            </w:r>
            <w:proofErr w:type="spellStart"/>
            <w:r w:rsidRPr="00CC29F6">
              <w:rPr>
                <w:b/>
                <w:bCs/>
                <w:i/>
              </w:rPr>
              <w:t>şi</w:t>
            </w:r>
            <w:proofErr w:type="spellEnd"/>
            <w:r w:rsidRPr="00CC29F6">
              <w:rPr>
                <w:b/>
                <w:bCs/>
                <w:i/>
              </w:rPr>
              <w:t xml:space="preserve"> 2)</w:t>
            </w:r>
            <w:r w:rsidRPr="001D6065">
              <w:rPr>
                <w:i/>
              </w:rPr>
              <w:t xml:space="preserve"> din </w:t>
            </w:r>
            <w:r w:rsidRPr="001D6065">
              <w:rPr>
                <w:b/>
                <w:bCs/>
                <w:i/>
              </w:rPr>
              <w:t>Legea</w:t>
            </w:r>
            <w:r w:rsidRPr="001D6065">
              <w:rPr>
                <w:i/>
              </w:rPr>
              <w:t xml:space="preserve"> privind piața </w:t>
            </w:r>
            <w:proofErr w:type="spellStart"/>
            <w:r w:rsidRPr="001D6065">
              <w:rPr>
                <w:i/>
              </w:rPr>
              <w:t>criptoactivelor</w:t>
            </w:r>
            <w:proofErr w:type="spellEnd"/>
            <w:r w:rsidRPr="001D6065">
              <w:rPr>
                <w:i/>
              </w:rPr>
              <w:t xml:space="preserve"> pot fi aplicate de către guvernatorul, prim-viceguvernatorul sau viceguvernatorii Băncii </w:t>
            </w:r>
            <w:proofErr w:type="spellStart"/>
            <w:r w:rsidRPr="001D6065">
              <w:rPr>
                <w:i/>
              </w:rPr>
              <w:t>Naţionale</w:t>
            </w:r>
            <w:proofErr w:type="spellEnd"/>
            <w:r>
              <w:rPr>
                <w:iCs/>
              </w:rPr>
              <w:t>.</w:t>
            </w:r>
            <w:r w:rsidRPr="00D341D3">
              <w:rPr>
                <w:iCs/>
              </w:rPr>
              <w:t>”</w:t>
            </w:r>
          </w:p>
          <w:p w14:paraId="29297F8C" w14:textId="4686318F" w:rsidR="00A06816" w:rsidRPr="00763425" w:rsidRDefault="00A06816" w:rsidP="00A06816">
            <w:pPr>
              <w:ind w:firstLine="0"/>
              <w:jc w:val="left"/>
              <w:rPr>
                <w:iCs/>
              </w:rPr>
            </w:pPr>
            <w:r>
              <w:rPr>
                <w:iCs/>
              </w:rPr>
              <w:t>Cu referire la substituirea unor cuvinte” sau a „</w:t>
            </w:r>
            <w:proofErr w:type="spellStart"/>
            <w:r>
              <w:rPr>
                <w:iCs/>
              </w:rPr>
              <w:t>textui</w:t>
            </w:r>
            <w:proofErr w:type="spellEnd"/>
            <w:r>
              <w:rPr>
                <w:iCs/>
              </w:rPr>
              <w:t xml:space="preserve">”, menționăm că propunerile de modificare </w:t>
            </w:r>
            <w:proofErr w:type="spellStart"/>
            <w:r>
              <w:rPr>
                <w:iCs/>
              </w:rPr>
              <w:t>curpinse</w:t>
            </w:r>
            <w:proofErr w:type="spellEnd"/>
            <w:r>
              <w:rPr>
                <w:iCs/>
              </w:rPr>
              <w:t xml:space="preserve"> în Anexa nr.5 nu conține propuneri de substituire ci doar de completare.</w:t>
            </w:r>
          </w:p>
        </w:tc>
      </w:tr>
      <w:tr w:rsidR="00A06816" w:rsidRPr="0026420A" w14:paraId="563A27F9" w14:textId="77777777" w:rsidTr="001F4857">
        <w:trPr>
          <w:trHeight w:val="615"/>
        </w:trPr>
        <w:tc>
          <w:tcPr>
            <w:tcW w:w="2206" w:type="dxa"/>
            <w:vMerge/>
            <w:tcMar>
              <w:top w:w="0" w:type="dxa"/>
              <w:left w:w="108" w:type="dxa"/>
              <w:bottom w:w="0" w:type="dxa"/>
              <w:right w:w="108" w:type="dxa"/>
            </w:tcMar>
          </w:tcPr>
          <w:p w14:paraId="722EC530" w14:textId="77777777" w:rsidR="00A06816" w:rsidRDefault="00A06816" w:rsidP="00A06816">
            <w:pPr>
              <w:ind w:firstLine="0"/>
              <w:jc w:val="left"/>
              <w:rPr>
                <w:b/>
                <w:bCs/>
              </w:rPr>
            </w:pPr>
          </w:p>
        </w:tc>
        <w:tc>
          <w:tcPr>
            <w:tcW w:w="579" w:type="dxa"/>
            <w:tcMar>
              <w:top w:w="0" w:type="dxa"/>
              <w:left w:w="108" w:type="dxa"/>
              <w:bottom w:w="0" w:type="dxa"/>
              <w:right w:w="108" w:type="dxa"/>
            </w:tcMar>
          </w:tcPr>
          <w:p w14:paraId="074FBC6D"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15DA8E6A" w14:textId="77777777" w:rsidR="00A06816" w:rsidRDefault="00A06816" w:rsidP="00A06816">
            <w:pPr>
              <w:ind w:firstLine="0"/>
            </w:pPr>
            <w:r>
              <w:t xml:space="preserve">La pct. 4), ce include modificări la Legea nr. 202/2017 privind activitatea băncilor, se constată că în cuprinsul modificărilor propuse </w:t>
            </w:r>
            <w:r>
              <w:lastRenderedPageBreak/>
              <w:t>la art. 14 alin. (1), litera o) este redată fără respectarea rigorilor de tehnică legislativă privind numerotarea și marcarea literelor din textul normativ.</w:t>
            </w:r>
          </w:p>
          <w:p w14:paraId="18FC49FD" w14:textId="7C963A71" w:rsidR="00A06816" w:rsidRDefault="00A06816" w:rsidP="00A06816">
            <w:pPr>
              <w:ind w:firstLine="0"/>
            </w:pPr>
            <w:r>
              <w:t>Potrivit regulilor de tehnică legislativă, literele sunt urmate de o paranteză rotundă (ex.: „o)”), inclusiv în cazul introducerii unor noi litere/subdiviziuni, pentru a asigura coerența și uniformitatea structurii actului normativ. În acest sens, urmează a fi prezentată asemenea formulare „literele o1), o2) și o3)” pe parcursul alineatului.</w:t>
            </w:r>
          </w:p>
        </w:tc>
        <w:tc>
          <w:tcPr>
            <w:tcW w:w="5281" w:type="dxa"/>
            <w:tcMar>
              <w:top w:w="0" w:type="dxa"/>
              <w:left w:w="108" w:type="dxa"/>
              <w:bottom w:w="0" w:type="dxa"/>
              <w:right w:w="108" w:type="dxa"/>
            </w:tcMar>
          </w:tcPr>
          <w:p w14:paraId="6F0918A4" w14:textId="77777777" w:rsidR="00A06816" w:rsidRPr="0026420A" w:rsidRDefault="00A06816" w:rsidP="00A06816">
            <w:pPr>
              <w:ind w:firstLine="0"/>
              <w:rPr>
                <w:b/>
                <w:bCs/>
              </w:rPr>
            </w:pPr>
            <w:r w:rsidRPr="0026420A">
              <w:rPr>
                <w:b/>
                <w:bCs/>
              </w:rPr>
              <w:lastRenderedPageBreak/>
              <w:t>Se acceptă.</w:t>
            </w:r>
          </w:p>
          <w:p w14:paraId="21AF1EB7" w14:textId="4B033AB2" w:rsidR="00A06816" w:rsidRDefault="00A06816" w:rsidP="00A06816">
            <w:pPr>
              <w:ind w:firstLine="0"/>
              <w:jc w:val="left"/>
              <w:rPr>
                <w:b/>
                <w:bCs/>
                <w:iCs/>
              </w:rPr>
            </w:pPr>
            <w:r w:rsidRPr="0026420A">
              <w:t>Se ajustează</w:t>
            </w:r>
            <w:r>
              <w:t xml:space="preserve"> </w:t>
            </w:r>
            <w:r w:rsidRPr="0026420A">
              <w:t>textul proiectului de Lege corespunzător</w:t>
            </w:r>
            <w:r>
              <w:t>.</w:t>
            </w:r>
          </w:p>
        </w:tc>
      </w:tr>
      <w:tr w:rsidR="00A06816" w:rsidRPr="0026420A" w14:paraId="1C7C5679" w14:textId="77777777" w:rsidTr="001F4857">
        <w:trPr>
          <w:trHeight w:val="615"/>
        </w:trPr>
        <w:tc>
          <w:tcPr>
            <w:tcW w:w="2206" w:type="dxa"/>
            <w:vMerge/>
            <w:tcMar>
              <w:top w:w="0" w:type="dxa"/>
              <w:left w:w="108" w:type="dxa"/>
              <w:bottom w:w="0" w:type="dxa"/>
              <w:right w:w="108" w:type="dxa"/>
            </w:tcMar>
          </w:tcPr>
          <w:p w14:paraId="6F7E383C" w14:textId="77777777" w:rsidR="00A06816" w:rsidRDefault="00A06816" w:rsidP="00A06816">
            <w:pPr>
              <w:ind w:firstLine="0"/>
              <w:jc w:val="left"/>
              <w:rPr>
                <w:b/>
                <w:bCs/>
              </w:rPr>
            </w:pPr>
          </w:p>
        </w:tc>
        <w:tc>
          <w:tcPr>
            <w:tcW w:w="579" w:type="dxa"/>
            <w:tcMar>
              <w:top w:w="0" w:type="dxa"/>
              <w:left w:w="108" w:type="dxa"/>
              <w:bottom w:w="0" w:type="dxa"/>
              <w:right w:w="108" w:type="dxa"/>
            </w:tcMar>
          </w:tcPr>
          <w:p w14:paraId="58404D88" w14:textId="77777777" w:rsidR="00A06816" w:rsidRPr="0026420A" w:rsidRDefault="00A06816" w:rsidP="00A06816">
            <w:pPr>
              <w:pStyle w:val="Listparagraf"/>
              <w:numPr>
                <w:ilvl w:val="0"/>
                <w:numId w:val="1"/>
              </w:numPr>
              <w:pBdr>
                <w:top w:val="none" w:sz="4" w:space="0" w:color="000000"/>
                <w:left w:val="none" w:sz="4" w:space="0" w:color="000000"/>
                <w:bottom w:val="none" w:sz="4" w:space="0" w:color="000000"/>
                <w:right w:val="none" w:sz="4" w:space="0" w:color="000000"/>
              </w:pBdr>
              <w:ind w:left="0" w:right="5" w:firstLine="0"/>
              <w:contextualSpacing w:val="0"/>
            </w:pPr>
          </w:p>
        </w:tc>
        <w:tc>
          <w:tcPr>
            <w:tcW w:w="5821" w:type="dxa"/>
            <w:tcMar>
              <w:top w:w="0" w:type="dxa"/>
              <w:left w:w="108" w:type="dxa"/>
              <w:bottom w:w="0" w:type="dxa"/>
              <w:right w:w="108" w:type="dxa"/>
            </w:tcMar>
          </w:tcPr>
          <w:p w14:paraId="6E7254D9" w14:textId="77777777" w:rsidR="00A06816" w:rsidRDefault="00A06816" w:rsidP="00A06816">
            <w:pPr>
              <w:ind w:firstLine="0"/>
            </w:pPr>
            <w:r>
              <w:t>În altă ordine de idei, atenționăm că în cuprinsul proiectului, anexele sunt prezentate fără indicarea expresă</w:t>
            </w:r>
            <w:r w:rsidRPr="00981669">
              <w:t>, în parafa de aprobare, a</w:t>
            </w:r>
            <w:r>
              <w:t xml:space="preserve"> actului normativ la care acestea se referă.</w:t>
            </w:r>
          </w:p>
          <w:p w14:paraId="35EB3E70" w14:textId="332DF75A" w:rsidR="00A06816" w:rsidRDefault="00A06816" w:rsidP="00A06816">
            <w:pPr>
              <w:ind w:firstLine="0"/>
            </w:pPr>
            <w:r>
              <w:t xml:space="preserve">În acest sens, se atenționează că, potrivit exigențelor de tehnică legislativă, anexele constituie parte integrantă a actului normativ și trebuie să conțină în mod clar referința la legea din care fac parte, inclusiv prin indicarea denumirii complete a acesteia în formula de identificare (ex.: „Anexa nr. 1 </w:t>
            </w:r>
            <w:bookmarkStart w:id="2" w:name="_Hlk233226968"/>
            <w:r>
              <w:t xml:space="preserve">la Legea nr. ___/____ privind piața </w:t>
            </w:r>
            <w:proofErr w:type="spellStart"/>
            <w:r>
              <w:t>criptoactivelor</w:t>
            </w:r>
            <w:bookmarkEnd w:id="2"/>
            <w:proofErr w:type="spellEnd"/>
            <w:r>
              <w:t>”). Lipsa acestei mențiuni poate genera incertitudine cu privire la apartenența anexelor și la corecta lor raportare la actul normativ de bază.</w:t>
            </w:r>
          </w:p>
        </w:tc>
        <w:tc>
          <w:tcPr>
            <w:tcW w:w="5281" w:type="dxa"/>
            <w:tcMar>
              <w:top w:w="0" w:type="dxa"/>
              <w:left w:w="108" w:type="dxa"/>
              <w:bottom w:w="0" w:type="dxa"/>
              <w:right w:w="108" w:type="dxa"/>
            </w:tcMar>
          </w:tcPr>
          <w:p w14:paraId="3D0C349F" w14:textId="77777777" w:rsidR="00A06816" w:rsidRPr="0026420A" w:rsidRDefault="00A06816" w:rsidP="00A06816">
            <w:pPr>
              <w:ind w:firstLine="0"/>
              <w:rPr>
                <w:b/>
                <w:bCs/>
              </w:rPr>
            </w:pPr>
            <w:r w:rsidRPr="0026420A">
              <w:rPr>
                <w:b/>
                <w:bCs/>
              </w:rPr>
              <w:t>Se acceptă.</w:t>
            </w:r>
          </w:p>
          <w:p w14:paraId="1CC714F9" w14:textId="184B8BD6" w:rsidR="00A06816" w:rsidRDefault="00A06816" w:rsidP="00A06816">
            <w:pPr>
              <w:ind w:firstLine="0"/>
              <w:jc w:val="left"/>
              <w:rPr>
                <w:b/>
                <w:bCs/>
                <w:iCs/>
              </w:rPr>
            </w:pPr>
            <w:r w:rsidRPr="0026420A">
              <w:t>Se ajustează</w:t>
            </w:r>
            <w:r>
              <w:t xml:space="preserve"> </w:t>
            </w:r>
            <w:r w:rsidRPr="0026420A">
              <w:t>textul proiectului de Lege corespunzător</w:t>
            </w:r>
            <w:r>
              <w:t>.</w:t>
            </w:r>
          </w:p>
        </w:tc>
      </w:tr>
    </w:tbl>
    <w:p w14:paraId="3D691815" w14:textId="02723165" w:rsidR="00680CC9" w:rsidRPr="0026420A" w:rsidRDefault="00680CC9" w:rsidP="00680CC9">
      <w:pPr>
        <w:tabs>
          <w:tab w:val="left" w:pos="8844"/>
        </w:tabs>
      </w:pPr>
    </w:p>
    <w:sectPr w:rsidR="00680CC9" w:rsidRPr="0026420A" w:rsidSect="00443101">
      <w:headerReference w:type="default" r:id="rId11"/>
      <w:footerReference w:type="default" r:id="rId12"/>
      <w:headerReference w:type="first" r:id="rId13"/>
      <w:footerReference w:type="first" r:id="rId14"/>
      <w:pgSz w:w="16840" w:h="11907" w:orient="landscape"/>
      <w:pgMar w:top="810" w:right="1360" w:bottom="573"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D2575" w14:textId="77777777" w:rsidR="00915D25" w:rsidRPr="00514290" w:rsidRDefault="00915D25">
      <w:r w:rsidRPr="00514290">
        <w:separator/>
      </w:r>
    </w:p>
  </w:endnote>
  <w:endnote w:type="continuationSeparator" w:id="0">
    <w:p w14:paraId="13B52117" w14:textId="77777777" w:rsidR="00915D25" w:rsidRPr="00514290" w:rsidRDefault="00915D25">
      <w:r w:rsidRPr="00514290">
        <w:continuationSeparator/>
      </w:r>
    </w:p>
  </w:endnote>
  <w:endnote w:type="continuationNotice" w:id="1">
    <w:p w14:paraId="2943FE39" w14:textId="77777777" w:rsidR="00915D25" w:rsidRPr="00514290" w:rsidRDefault="00915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080634" w:rsidRPr="00514290" w14:paraId="6779E8EF" w14:textId="77777777" w:rsidTr="3DD2A7CB">
      <w:trPr>
        <w:trHeight w:val="300"/>
      </w:trPr>
      <w:tc>
        <w:tcPr>
          <w:tcW w:w="3115" w:type="dxa"/>
        </w:tcPr>
        <w:p w14:paraId="6C282475" w14:textId="320767C8" w:rsidR="00080634" w:rsidRPr="00514290" w:rsidRDefault="00080634" w:rsidP="4CC30ECF">
          <w:pPr>
            <w:pStyle w:val="Antet"/>
            <w:ind w:left="-115"/>
            <w:jc w:val="left"/>
          </w:pPr>
        </w:p>
      </w:tc>
      <w:tc>
        <w:tcPr>
          <w:tcW w:w="3115" w:type="dxa"/>
        </w:tcPr>
        <w:p w14:paraId="16A5A57A" w14:textId="0E1BE6F3" w:rsidR="00080634" w:rsidRPr="00514290" w:rsidRDefault="00080634" w:rsidP="4CC30ECF">
          <w:pPr>
            <w:pStyle w:val="Antet"/>
            <w:jc w:val="center"/>
          </w:pPr>
        </w:p>
      </w:tc>
      <w:tc>
        <w:tcPr>
          <w:tcW w:w="3115" w:type="dxa"/>
        </w:tcPr>
        <w:p w14:paraId="07D85533" w14:textId="470B30A0" w:rsidR="00080634" w:rsidRPr="00514290" w:rsidRDefault="00080634" w:rsidP="4CC30ECF">
          <w:pPr>
            <w:pStyle w:val="Antet"/>
            <w:ind w:right="-115"/>
            <w:jc w:val="right"/>
          </w:pPr>
        </w:p>
      </w:tc>
    </w:tr>
  </w:tbl>
  <w:p w14:paraId="791EEA25" w14:textId="08ABBEBB" w:rsidR="00080634" w:rsidRPr="00514290" w:rsidRDefault="00080634" w:rsidP="4CC30ECF">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080634" w:rsidRPr="00514290" w14:paraId="112EF3B3" w14:textId="77777777" w:rsidTr="3DD2A7CB">
      <w:trPr>
        <w:trHeight w:val="300"/>
      </w:trPr>
      <w:tc>
        <w:tcPr>
          <w:tcW w:w="3115" w:type="dxa"/>
        </w:tcPr>
        <w:p w14:paraId="413B3322" w14:textId="39594DB8" w:rsidR="00080634" w:rsidRPr="00514290" w:rsidRDefault="00080634" w:rsidP="4CC30ECF">
          <w:pPr>
            <w:pStyle w:val="Antet"/>
            <w:ind w:left="-115"/>
            <w:jc w:val="left"/>
          </w:pPr>
        </w:p>
      </w:tc>
      <w:tc>
        <w:tcPr>
          <w:tcW w:w="3115" w:type="dxa"/>
        </w:tcPr>
        <w:p w14:paraId="608810C0" w14:textId="148E4CF0" w:rsidR="00080634" w:rsidRPr="00514290" w:rsidRDefault="00080634" w:rsidP="4CC30ECF">
          <w:pPr>
            <w:pStyle w:val="Antet"/>
            <w:jc w:val="center"/>
          </w:pPr>
        </w:p>
      </w:tc>
      <w:tc>
        <w:tcPr>
          <w:tcW w:w="3115" w:type="dxa"/>
        </w:tcPr>
        <w:p w14:paraId="157E1D97" w14:textId="090159AE" w:rsidR="00080634" w:rsidRPr="00514290" w:rsidRDefault="00080634" w:rsidP="4CC30ECF">
          <w:pPr>
            <w:pStyle w:val="Antet"/>
            <w:ind w:right="-115"/>
            <w:jc w:val="right"/>
          </w:pPr>
        </w:p>
      </w:tc>
    </w:tr>
  </w:tbl>
  <w:p w14:paraId="035A0A14" w14:textId="777A96EF" w:rsidR="00080634" w:rsidRPr="00514290" w:rsidRDefault="00080634" w:rsidP="4CC30EC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E55EB" w14:textId="77777777" w:rsidR="00915D25" w:rsidRPr="00514290" w:rsidRDefault="00915D25">
      <w:r w:rsidRPr="00514290">
        <w:separator/>
      </w:r>
    </w:p>
  </w:footnote>
  <w:footnote w:type="continuationSeparator" w:id="0">
    <w:p w14:paraId="0B7117B1" w14:textId="77777777" w:rsidR="00915D25" w:rsidRPr="00514290" w:rsidRDefault="00915D25">
      <w:r w:rsidRPr="00514290">
        <w:continuationSeparator/>
      </w:r>
    </w:p>
  </w:footnote>
  <w:footnote w:type="continuationNotice" w:id="1">
    <w:p w14:paraId="6B9596C1" w14:textId="77777777" w:rsidR="00915D25" w:rsidRPr="00514290" w:rsidRDefault="00915D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4114DD73" w:rsidR="00080634" w:rsidRPr="00514290" w:rsidRDefault="00080634" w:rsidP="009D4C0F">
    <w:pPr>
      <w:pStyle w:val="Antet"/>
      <w:ind w:firstLine="0"/>
      <w:jc w:val="center"/>
      <w:rPr>
        <w:sz w:val="28"/>
        <w:szCs w:val="28"/>
      </w:rPr>
    </w:pPr>
    <w:r w:rsidRPr="00514290">
      <w:rPr>
        <w:sz w:val="28"/>
        <w:szCs w:val="28"/>
      </w:rPr>
      <w:fldChar w:fldCharType="begin"/>
    </w:r>
    <w:r w:rsidRPr="00514290">
      <w:rPr>
        <w:sz w:val="28"/>
        <w:szCs w:val="28"/>
      </w:rPr>
      <w:instrText>PAGE   \* MERGEFORMAT</w:instrText>
    </w:r>
    <w:r w:rsidRPr="00514290">
      <w:rPr>
        <w:sz w:val="28"/>
        <w:szCs w:val="28"/>
      </w:rPr>
      <w:fldChar w:fldCharType="separate"/>
    </w:r>
    <w:r w:rsidR="00D65135">
      <w:rPr>
        <w:noProof/>
        <w:sz w:val="28"/>
        <w:szCs w:val="28"/>
      </w:rPr>
      <w:t>95</w:t>
    </w:r>
    <w:r w:rsidRPr="00514290">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4AB3390C" w:rsidR="00080634" w:rsidRPr="00514290" w:rsidRDefault="00080634">
    <w:pPr>
      <w:pStyle w:val="Antet"/>
      <w:ind w:firstLine="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4D07"/>
    <w:multiLevelType w:val="hybridMultilevel"/>
    <w:tmpl w:val="BBCAD70E"/>
    <w:lvl w:ilvl="0" w:tplc="E4867994">
      <w:start w:val="12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3755F"/>
    <w:multiLevelType w:val="multilevel"/>
    <w:tmpl w:val="2E3638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B0A6C"/>
    <w:multiLevelType w:val="multilevel"/>
    <w:tmpl w:val="E0A009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ED1C9C"/>
    <w:multiLevelType w:val="hybridMultilevel"/>
    <w:tmpl w:val="1C621F04"/>
    <w:lvl w:ilvl="0" w:tplc="98EE5D1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D467E"/>
    <w:multiLevelType w:val="hybridMultilevel"/>
    <w:tmpl w:val="FA18F6FE"/>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1391684C"/>
    <w:multiLevelType w:val="multilevel"/>
    <w:tmpl w:val="11B0E07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B737E"/>
    <w:multiLevelType w:val="hybridMultilevel"/>
    <w:tmpl w:val="F0F20612"/>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1BEB32DA"/>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FEF3A6B"/>
    <w:multiLevelType w:val="multilevel"/>
    <w:tmpl w:val="C4B02D9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101948"/>
    <w:multiLevelType w:val="multilevel"/>
    <w:tmpl w:val="1702F9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00104C"/>
    <w:multiLevelType w:val="multilevel"/>
    <w:tmpl w:val="C6A09D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F266B7"/>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0FC1181"/>
    <w:multiLevelType w:val="multilevel"/>
    <w:tmpl w:val="69124B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6E56E1"/>
    <w:multiLevelType w:val="multilevel"/>
    <w:tmpl w:val="7F2E823E"/>
    <w:lvl w:ilvl="0">
      <w:start w:val="1"/>
      <w:numFmt w:val="decimal"/>
      <w:lvlText w:val="(%1)"/>
      <w:lvlJc w:val="left"/>
      <w:pPr>
        <w:ind w:left="1429" w:hanging="1429"/>
      </w:pPr>
      <w:rPr>
        <w:rFonts w:hint="default"/>
      </w:rPr>
    </w:lvl>
    <w:lvl w:ilvl="1">
      <w:start w:val="1"/>
      <w:numFmt w:val="decimal"/>
      <w:lvlText w:val="(%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D3B7782"/>
    <w:multiLevelType w:val="multilevel"/>
    <w:tmpl w:val="FF82D1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733ECC"/>
    <w:multiLevelType w:val="multilevel"/>
    <w:tmpl w:val="7F2E823E"/>
    <w:lvl w:ilvl="0">
      <w:start w:val="1"/>
      <w:numFmt w:val="decimal"/>
      <w:lvlText w:val="(%1)"/>
      <w:lvlJc w:val="left"/>
      <w:pPr>
        <w:ind w:left="1429" w:hanging="1429"/>
      </w:pPr>
    </w:lvl>
    <w:lvl w:ilvl="1">
      <w:start w:val="1"/>
      <w:numFmt w:val="decimal"/>
      <w:lvlText w:val="(%2)"/>
      <w:lvlJc w:val="left"/>
      <w:pPr>
        <w:ind w:left="454" w:hanging="454"/>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3933CD9"/>
    <w:multiLevelType w:val="hybridMultilevel"/>
    <w:tmpl w:val="C33ED156"/>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0E5BF9"/>
    <w:multiLevelType w:val="multilevel"/>
    <w:tmpl w:val="6A94437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3B4B90"/>
    <w:multiLevelType w:val="hybridMultilevel"/>
    <w:tmpl w:val="CD16699A"/>
    <w:lvl w:ilvl="0" w:tplc="9BB2A7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5339483">
    <w:abstractNumId w:val="16"/>
  </w:num>
  <w:num w:numId="2" w16cid:durableId="2391006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5067583">
    <w:abstractNumId w:val="0"/>
  </w:num>
  <w:num w:numId="4" w16cid:durableId="126363847">
    <w:abstractNumId w:val="3"/>
  </w:num>
  <w:num w:numId="5" w16cid:durableId="2056461281">
    <w:abstractNumId w:val="11"/>
  </w:num>
  <w:num w:numId="6" w16cid:durableId="1999990400">
    <w:abstractNumId w:val="7"/>
  </w:num>
  <w:num w:numId="7" w16cid:durableId="1071663030">
    <w:abstractNumId w:val="13"/>
  </w:num>
  <w:num w:numId="8" w16cid:durableId="640817391">
    <w:abstractNumId w:val="18"/>
  </w:num>
  <w:num w:numId="9" w16cid:durableId="466627495">
    <w:abstractNumId w:val="14"/>
  </w:num>
  <w:num w:numId="10" w16cid:durableId="108554173">
    <w:abstractNumId w:val="1"/>
  </w:num>
  <w:num w:numId="11" w16cid:durableId="954991764">
    <w:abstractNumId w:val="9"/>
  </w:num>
  <w:num w:numId="12" w16cid:durableId="1627733505">
    <w:abstractNumId w:val="12"/>
  </w:num>
  <w:num w:numId="13" w16cid:durableId="902257576">
    <w:abstractNumId w:val="5"/>
  </w:num>
  <w:num w:numId="14" w16cid:durableId="60176446">
    <w:abstractNumId w:val="8"/>
  </w:num>
  <w:num w:numId="15" w16cid:durableId="730929194">
    <w:abstractNumId w:val="17"/>
  </w:num>
  <w:num w:numId="16" w16cid:durableId="1021319548">
    <w:abstractNumId w:val="10"/>
  </w:num>
  <w:num w:numId="17" w16cid:durableId="596444162">
    <w:abstractNumId w:val="2"/>
  </w:num>
  <w:num w:numId="18" w16cid:durableId="1693140333">
    <w:abstractNumId w:val="4"/>
  </w:num>
  <w:num w:numId="19" w16cid:durableId="197220487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2B57"/>
    <w:rsid w:val="00005329"/>
    <w:rsid w:val="00005F25"/>
    <w:rsid w:val="00006FE5"/>
    <w:rsid w:val="00010B2D"/>
    <w:rsid w:val="00012509"/>
    <w:rsid w:val="00013460"/>
    <w:rsid w:val="00013804"/>
    <w:rsid w:val="00013A82"/>
    <w:rsid w:val="00013AC9"/>
    <w:rsid w:val="00013C3E"/>
    <w:rsid w:val="0001456C"/>
    <w:rsid w:val="00016F99"/>
    <w:rsid w:val="0001747F"/>
    <w:rsid w:val="00021FF6"/>
    <w:rsid w:val="0002435C"/>
    <w:rsid w:val="00024715"/>
    <w:rsid w:val="000253E5"/>
    <w:rsid w:val="000267DF"/>
    <w:rsid w:val="00032B46"/>
    <w:rsid w:val="0003324D"/>
    <w:rsid w:val="000338C7"/>
    <w:rsid w:val="00033E4B"/>
    <w:rsid w:val="00036346"/>
    <w:rsid w:val="0003764F"/>
    <w:rsid w:val="000401DA"/>
    <w:rsid w:val="0004207E"/>
    <w:rsid w:val="0004289C"/>
    <w:rsid w:val="000430B6"/>
    <w:rsid w:val="000436FB"/>
    <w:rsid w:val="00043AC7"/>
    <w:rsid w:val="00044D19"/>
    <w:rsid w:val="00044E51"/>
    <w:rsid w:val="00045183"/>
    <w:rsid w:val="000454C8"/>
    <w:rsid w:val="00047335"/>
    <w:rsid w:val="00050946"/>
    <w:rsid w:val="00051570"/>
    <w:rsid w:val="00052045"/>
    <w:rsid w:val="00054810"/>
    <w:rsid w:val="000553FD"/>
    <w:rsid w:val="000574AD"/>
    <w:rsid w:val="0006038E"/>
    <w:rsid w:val="00060BAA"/>
    <w:rsid w:val="00060F56"/>
    <w:rsid w:val="000618E8"/>
    <w:rsid w:val="00062B00"/>
    <w:rsid w:val="00062F82"/>
    <w:rsid w:val="000653A8"/>
    <w:rsid w:val="0006551F"/>
    <w:rsid w:val="0006572A"/>
    <w:rsid w:val="0006699E"/>
    <w:rsid w:val="0007077D"/>
    <w:rsid w:val="00070791"/>
    <w:rsid w:val="00070B0C"/>
    <w:rsid w:val="0007117B"/>
    <w:rsid w:val="000713DA"/>
    <w:rsid w:val="00071EAA"/>
    <w:rsid w:val="0007236F"/>
    <w:rsid w:val="00072EA8"/>
    <w:rsid w:val="000751BE"/>
    <w:rsid w:val="00075A5F"/>
    <w:rsid w:val="00075D03"/>
    <w:rsid w:val="00077B20"/>
    <w:rsid w:val="00077C4A"/>
    <w:rsid w:val="00080634"/>
    <w:rsid w:val="00081267"/>
    <w:rsid w:val="000826E6"/>
    <w:rsid w:val="000828AE"/>
    <w:rsid w:val="00082A31"/>
    <w:rsid w:val="00083764"/>
    <w:rsid w:val="00084182"/>
    <w:rsid w:val="00085029"/>
    <w:rsid w:val="00085AEA"/>
    <w:rsid w:val="00090182"/>
    <w:rsid w:val="00091AE1"/>
    <w:rsid w:val="0009298F"/>
    <w:rsid w:val="000931FF"/>
    <w:rsid w:val="000952AD"/>
    <w:rsid w:val="00096FA0"/>
    <w:rsid w:val="000971F0"/>
    <w:rsid w:val="000A1335"/>
    <w:rsid w:val="000A3905"/>
    <w:rsid w:val="000A567A"/>
    <w:rsid w:val="000A61C9"/>
    <w:rsid w:val="000A671F"/>
    <w:rsid w:val="000A6BA5"/>
    <w:rsid w:val="000A72E7"/>
    <w:rsid w:val="000A733C"/>
    <w:rsid w:val="000B3072"/>
    <w:rsid w:val="000B3CAE"/>
    <w:rsid w:val="000B3D87"/>
    <w:rsid w:val="000B3E4C"/>
    <w:rsid w:val="000B3EAF"/>
    <w:rsid w:val="000B4016"/>
    <w:rsid w:val="000B4610"/>
    <w:rsid w:val="000B50EE"/>
    <w:rsid w:val="000C041B"/>
    <w:rsid w:val="000C04B5"/>
    <w:rsid w:val="000C1400"/>
    <w:rsid w:val="000C2AB4"/>
    <w:rsid w:val="000C304F"/>
    <w:rsid w:val="000C30E8"/>
    <w:rsid w:val="000C34B3"/>
    <w:rsid w:val="000C46AB"/>
    <w:rsid w:val="000C46B6"/>
    <w:rsid w:val="000C5631"/>
    <w:rsid w:val="000C679A"/>
    <w:rsid w:val="000C7135"/>
    <w:rsid w:val="000C755C"/>
    <w:rsid w:val="000D04A7"/>
    <w:rsid w:val="000D1265"/>
    <w:rsid w:val="000D3775"/>
    <w:rsid w:val="000D51FE"/>
    <w:rsid w:val="000D5C74"/>
    <w:rsid w:val="000D5D0F"/>
    <w:rsid w:val="000D5F31"/>
    <w:rsid w:val="000D76F0"/>
    <w:rsid w:val="000E0089"/>
    <w:rsid w:val="000E14F1"/>
    <w:rsid w:val="000E19CA"/>
    <w:rsid w:val="000E1D40"/>
    <w:rsid w:val="000E2469"/>
    <w:rsid w:val="000E2800"/>
    <w:rsid w:val="000E2B46"/>
    <w:rsid w:val="000E543A"/>
    <w:rsid w:val="000F011D"/>
    <w:rsid w:val="000F3472"/>
    <w:rsid w:val="000F3B37"/>
    <w:rsid w:val="000F3C0C"/>
    <w:rsid w:val="000F3E32"/>
    <w:rsid w:val="000F497A"/>
    <w:rsid w:val="000F57CF"/>
    <w:rsid w:val="000F5C96"/>
    <w:rsid w:val="000F6615"/>
    <w:rsid w:val="000F66EE"/>
    <w:rsid w:val="000F691A"/>
    <w:rsid w:val="000F6F6A"/>
    <w:rsid w:val="00102AD8"/>
    <w:rsid w:val="001040BD"/>
    <w:rsid w:val="00104471"/>
    <w:rsid w:val="0010506D"/>
    <w:rsid w:val="00105752"/>
    <w:rsid w:val="00105ECD"/>
    <w:rsid w:val="0010683F"/>
    <w:rsid w:val="00106B8C"/>
    <w:rsid w:val="0011131E"/>
    <w:rsid w:val="0011178C"/>
    <w:rsid w:val="00111B3C"/>
    <w:rsid w:val="00113956"/>
    <w:rsid w:val="0011596D"/>
    <w:rsid w:val="00116035"/>
    <w:rsid w:val="0012009E"/>
    <w:rsid w:val="001211EA"/>
    <w:rsid w:val="00121DF9"/>
    <w:rsid w:val="00123F4D"/>
    <w:rsid w:val="00131617"/>
    <w:rsid w:val="001321A0"/>
    <w:rsid w:val="001321A5"/>
    <w:rsid w:val="0013479F"/>
    <w:rsid w:val="00135412"/>
    <w:rsid w:val="00135770"/>
    <w:rsid w:val="00135B15"/>
    <w:rsid w:val="001371CF"/>
    <w:rsid w:val="00142C23"/>
    <w:rsid w:val="00142F72"/>
    <w:rsid w:val="00142FD4"/>
    <w:rsid w:val="00143389"/>
    <w:rsid w:val="00143CC4"/>
    <w:rsid w:val="001470D7"/>
    <w:rsid w:val="0015146D"/>
    <w:rsid w:val="001555F0"/>
    <w:rsid w:val="00156289"/>
    <w:rsid w:val="00156E35"/>
    <w:rsid w:val="00157D40"/>
    <w:rsid w:val="00161E8F"/>
    <w:rsid w:val="00162BE7"/>
    <w:rsid w:val="00163E7B"/>
    <w:rsid w:val="00164AAF"/>
    <w:rsid w:val="0016585F"/>
    <w:rsid w:val="001667CD"/>
    <w:rsid w:val="0016752C"/>
    <w:rsid w:val="0017006C"/>
    <w:rsid w:val="00173026"/>
    <w:rsid w:val="00174E20"/>
    <w:rsid w:val="00177C08"/>
    <w:rsid w:val="0018129B"/>
    <w:rsid w:val="00182003"/>
    <w:rsid w:val="00184334"/>
    <w:rsid w:val="00184391"/>
    <w:rsid w:val="00185AC8"/>
    <w:rsid w:val="001902C0"/>
    <w:rsid w:val="00191428"/>
    <w:rsid w:val="001918A0"/>
    <w:rsid w:val="00192F14"/>
    <w:rsid w:val="0019426B"/>
    <w:rsid w:val="00194822"/>
    <w:rsid w:val="001950EC"/>
    <w:rsid w:val="00195BA9"/>
    <w:rsid w:val="00195FFC"/>
    <w:rsid w:val="0019759A"/>
    <w:rsid w:val="001A0277"/>
    <w:rsid w:val="001A12CE"/>
    <w:rsid w:val="001A21A6"/>
    <w:rsid w:val="001A25C3"/>
    <w:rsid w:val="001A37C7"/>
    <w:rsid w:val="001A39A4"/>
    <w:rsid w:val="001A43B6"/>
    <w:rsid w:val="001A5AE7"/>
    <w:rsid w:val="001B05A3"/>
    <w:rsid w:val="001B1AD8"/>
    <w:rsid w:val="001B2678"/>
    <w:rsid w:val="001B2E96"/>
    <w:rsid w:val="001B3BE4"/>
    <w:rsid w:val="001B4CA5"/>
    <w:rsid w:val="001B5818"/>
    <w:rsid w:val="001B66A4"/>
    <w:rsid w:val="001B6ABF"/>
    <w:rsid w:val="001B6E6E"/>
    <w:rsid w:val="001C0577"/>
    <w:rsid w:val="001C1F36"/>
    <w:rsid w:val="001C3100"/>
    <w:rsid w:val="001C31B0"/>
    <w:rsid w:val="001C32AD"/>
    <w:rsid w:val="001C3A76"/>
    <w:rsid w:val="001C3F21"/>
    <w:rsid w:val="001C4DA9"/>
    <w:rsid w:val="001C4EEE"/>
    <w:rsid w:val="001C5863"/>
    <w:rsid w:val="001D0F67"/>
    <w:rsid w:val="001D2FA2"/>
    <w:rsid w:val="001D4652"/>
    <w:rsid w:val="001D4FE2"/>
    <w:rsid w:val="001D6065"/>
    <w:rsid w:val="001D613C"/>
    <w:rsid w:val="001D6F29"/>
    <w:rsid w:val="001D7E50"/>
    <w:rsid w:val="001E2A4E"/>
    <w:rsid w:val="001E4497"/>
    <w:rsid w:val="001E721D"/>
    <w:rsid w:val="001E7365"/>
    <w:rsid w:val="001E789A"/>
    <w:rsid w:val="001E7BA3"/>
    <w:rsid w:val="001F0570"/>
    <w:rsid w:val="001F057F"/>
    <w:rsid w:val="001F1418"/>
    <w:rsid w:val="001F2097"/>
    <w:rsid w:val="001F4857"/>
    <w:rsid w:val="001F537D"/>
    <w:rsid w:val="001F538F"/>
    <w:rsid w:val="001F6E77"/>
    <w:rsid w:val="001F7344"/>
    <w:rsid w:val="00200044"/>
    <w:rsid w:val="002000EB"/>
    <w:rsid w:val="00200223"/>
    <w:rsid w:val="00200516"/>
    <w:rsid w:val="00200ECD"/>
    <w:rsid w:val="002010F1"/>
    <w:rsid w:val="00201A13"/>
    <w:rsid w:val="00201D09"/>
    <w:rsid w:val="0020257F"/>
    <w:rsid w:val="00205100"/>
    <w:rsid w:val="00205269"/>
    <w:rsid w:val="00206C11"/>
    <w:rsid w:val="0020794F"/>
    <w:rsid w:val="00207AA5"/>
    <w:rsid w:val="00207E57"/>
    <w:rsid w:val="00207EFE"/>
    <w:rsid w:val="002108F9"/>
    <w:rsid w:val="00210ADD"/>
    <w:rsid w:val="002147E5"/>
    <w:rsid w:val="002164C9"/>
    <w:rsid w:val="002170A5"/>
    <w:rsid w:val="0022225F"/>
    <w:rsid w:val="00222537"/>
    <w:rsid w:val="00222E34"/>
    <w:rsid w:val="002249A7"/>
    <w:rsid w:val="00227D9A"/>
    <w:rsid w:val="00230761"/>
    <w:rsid w:val="0023250A"/>
    <w:rsid w:val="002330C5"/>
    <w:rsid w:val="002355D9"/>
    <w:rsid w:val="0023697F"/>
    <w:rsid w:val="00236E65"/>
    <w:rsid w:val="0023702E"/>
    <w:rsid w:val="002372B8"/>
    <w:rsid w:val="00240AC0"/>
    <w:rsid w:val="00241AB0"/>
    <w:rsid w:val="00244ADB"/>
    <w:rsid w:val="002453BD"/>
    <w:rsid w:val="00245F79"/>
    <w:rsid w:val="00245FA4"/>
    <w:rsid w:val="00246D19"/>
    <w:rsid w:val="00250343"/>
    <w:rsid w:val="002507B4"/>
    <w:rsid w:val="00251E82"/>
    <w:rsid w:val="00252A83"/>
    <w:rsid w:val="0025382A"/>
    <w:rsid w:val="00257353"/>
    <w:rsid w:val="0025782A"/>
    <w:rsid w:val="00257A6E"/>
    <w:rsid w:val="00263534"/>
    <w:rsid w:val="0026420A"/>
    <w:rsid w:val="0026715D"/>
    <w:rsid w:val="00271839"/>
    <w:rsid w:val="002721D2"/>
    <w:rsid w:val="002723AC"/>
    <w:rsid w:val="00272560"/>
    <w:rsid w:val="00272C8D"/>
    <w:rsid w:val="00272FA5"/>
    <w:rsid w:val="0027307F"/>
    <w:rsid w:val="0027425A"/>
    <w:rsid w:val="002755D5"/>
    <w:rsid w:val="00275A56"/>
    <w:rsid w:val="00277C33"/>
    <w:rsid w:val="0028093A"/>
    <w:rsid w:val="00281C80"/>
    <w:rsid w:val="002857C2"/>
    <w:rsid w:val="00286D4F"/>
    <w:rsid w:val="002927F6"/>
    <w:rsid w:val="0029364F"/>
    <w:rsid w:val="0029466D"/>
    <w:rsid w:val="00294D8E"/>
    <w:rsid w:val="002950E0"/>
    <w:rsid w:val="0029510C"/>
    <w:rsid w:val="002954C4"/>
    <w:rsid w:val="00296508"/>
    <w:rsid w:val="002A0AAD"/>
    <w:rsid w:val="002A16C7"/>
    <w:rsid w:val="002A2724"/>
    <w:rsid w:val="002A32EF"/>
    <w:rsid w:val="002A4CD4"/>
    <w:rsid w:val="002A5A22"/>
    <w:rsid w:val="002A6A76"/>
    <w:rsid w:val="002A7579"/>
    <w:rsid w:val="002B02B2"/>
    <w:rsid w:val="002B07BD"/>
    <w:rsid w:val="002B2FD2"/>
    <w:rsid w:val="002B410B"/>
    <w:rsid w:val="002B4774"/>
    <w:rsid w:val="002B5444"/>
    <w:rsid w:val="002B547F"/>
    <w:rsid w:val="002B6E81"/>
    <w:rsid w:val="002B71FA"/>
    <w:rsid w:val="002C0552"/>
    <w:rsid w:val="002C0CA2"/>
    <w:rsid w:val="002C1A1B"/>
    <w:rsid w:val="002C21E9"/>
    <w:rsid w:val="002C235E"/>
    <w:rsid w:val="002D003B"/>
    <w:rsid w:val="002D3742"/>
    <w:rsid w:val="002D38C5"/>
    <w:rsid w:val="002D42B8"/>
    <w:rsid w:val="002D55CF"/>
    <w:rsid w:val="002D6083"/>
    <w:rsid w:val="002D66D8"/>
    <w:rsid w:val="002D6D8D"/>
    <w:rsid w:val="002E05C9"/>
    <w:rsid w:val="002E0933"/>
    <w:rsid w:val="002E0FD4"/>
    <w:rsid w:val="002E1BB6"/>
    <w:rsid w:val="002E24D6"/>
    <w:rsid w:val="002E3513"/>
    <w:rsid w:val="002E4217"/>
    <w:rsid w:val="002E4E4F"/>
    <w:rsid w:val="002E505B"/>
    <w:rsid w:val="002E55EA"/>
    <w:rsid w:val="002F0389"/>
    <w:rsid w:val="002F0451"/>
    <w:rsid w:val="002F1069"/>
    <w:rsid w:val="002F11BD"/>
    <w:rsid w:val="002F282D"/>
    <w:rsid w:val="002F2DD7"/>
    <w:rsid w:val="002F30F7"/>
    <w:rsid w:val="002F3DAA"/>
    <w:rsid w:val="002F4357"/>
    <w:rsid w:val="002F5F1E"/>
    <w:rsid w:val="002F7A0C"/>
    <w:rsid w:val="002F7B6E"/>
    <w:rsid w:val="002F7FB5"/>
    <w:rsid w:val="00300642"/>
    <w:rsid w:val="00300FF1"/>
    <w:rsid w:val="00301D11"/>
    <w:rsid w:val="00301D7D"/>
    <w:rsid w:val="0030435F"/>
    <w:rsid w:val="00304F91"/>
    <w:rsid w:val="00305BD4"/>
    <w:rsid w:val="0030753B"/>
    <w:rsid w:val="00307BF9"/>
    <w:rsid w:val="00311238"/>
    <w:rsid w:val="003136F7"/>
    <w:rsid w:val="003154EC"/>
    <w:rsid w:val="0031555D"/>
    <w:rsid w:val="00315655"/>
    <w:rsid w:val="00315B32"/>
    <w:rsid w:val="00315BDC"/>
    <w:rsid w:val="00316608"/>
    <w:rsid w:val="00317107"/>
    <w:rsid w:val="0032027F"/>
    <w:rsid w:val="00320622"/>
    <w:rsid w:val="0032109A"/>
    <w:rsid w:val="00323707"/>
    <w:rsid w:val="00323B96"/>
    <w:rsid w:val="003240DF"/>
    <w:rsid w:val="00324559"/>
    <w:rsid w:val="00324B16"/>
    <w:rsid w:val="00325CB1"/>
    <w:rsid w:val="003261A3"/>
    <w:rsid w:val="00327C88"/>
    <w:rsid w:val="0033093B"/>
    <w:rsid w:val="00332175"/>
    <w:rsid w:val="003334C6"/>
    <w:rsid w:val="00334010"/>
    <w:rsid w:val="00334C0F"/>
    <w:rsid w:val="00335075"/>
    <w:rsid w:val="003358FF"/>
    <w:rsid w:val="003361D2"/>
    <w:rsid w:val="00336F78"/>
    <w:rsid w:val="0033749F"/>
    <w:rsid w:val="00337534"/>
    <w:rsid w:val="00340208"/>
    <w:rsid w:val="00342165"/>
    <w:rsid w:val="003436A9"/>
    <w:rsid w:val="00343727"/>
    <w:rsid w:val="00347B79"/>
    <w:rsid w:val="003509A8"/>
    <w:rsid w:val="0035127C"/>
    <w:rsid w:val="00352430"/>
    <w:rsid w:val="00353788"/>
    <w:rsid w:val="00354545"/>
    <w:rsid w:val="00357F36"/>
    <w:rsid w:val="00357F56"/>
    <w:rsid w:val="0036135C"/>
    <w:rsid w:val="00362D0C"/>
    <w:rsid w:val="00364216"/>
    <w:rsid w:val="0036518F"/>
    <w:rsid w:val="0036768D"/>
    <w:rsid w:val="00367BAA"/>
    <w:rsid w:val="003727F7"/>
    <w:rsid w:val="00374362"/>
    <w:rsid w:val="00375A72"/>
    <w:rsid w:val="0037669A"/>
    <w:rsid w:val="00377B12"/>
    <w:rsid w:val="00380147"/>
    <w:rsid w:val="0038126F"/>
    <w:rsid w:val="00381C7D"/>
    <w:rsid w:val="00383105"/>
    <w:rsid w:val="00383D76"/>
    <w:rsid w:val="0038534B"/>
    <w:rsid w:val="00385C9B"/>
    <w:rsid w:val="00385E37"/>
    <w:rsid w:val="003872BA"/>
    <w:rsid w:val="00387674"/>
    <w:rsid w:val="00387D77"/>
    <w:rsid w:val="003922EF"/>
    <w:rsid w:val="00394A57"/>
    <w:rsid w:val="003962B1"/>
    <w:rsid w:val="003962D8"/>
    <w:rsid w:val="00397415"/>
    <w:rsid w:val="003A1838"/>
    <w:rsid w:val="003A1BDA"/>
    <w:rsid w:val="003A2CB2"/>
    <w:rsid w:val="003A3E02"/>
    <w:rsid w:val="003A4D1C"/>
    <w:rsid w:val="003A66AC"/>
    <w:rsid w:val="003B1255"/>
    <w:rsid w:val="003B257A"/>
    <w:rsid w:val="003B3760"/>
    <w:rsid w:val="003B3BAA"/>
    <w:rsid w:val="003B3DF1"/>
    <w:rsid w:val="003B3F02"/>
    <w:rsid w:val="003B551C"/>
    <w:rsid w:val="003B56DE"/>
    <w:rsid w:val="003B5BCB"/>
    <w:rsid w:val="003B670A"/>
    <w:rsid w:val="003B7521"/>
    <w:rsid w:val="003C072F"/>
    <w:rsid w:val="003C0956"/>
    <w:rsid w:val="003C0C4D"/>
    <w:rsid w:val="003C11CC"/>
    <w:rsid w:val="003C29BA"/>
    <w:rsid w:val="003C2EAE"/>
    <w:rsid w:val="003C314E"/>
    <w:rsid w:val="003C3AE8"/>
    <w:rsid w:val="003C3DB4"/>
    <w:rsid w:val="003C3EB9"/>
    <w:rsid w:val="003C4248"/>
    <w:rsid w:val="003C707B"/>
    <w:rsid w:val="003D55C2"/>
    <w:rsid w:val="003D587D"/>
    <w:rsid w:val="003D5E58"/>
    <w:rsid w:val="003D5E8B"/>
    <w:rsid w:val="003D73FC"/>
    <w:rsid w:val="003D7DD1"/>
    <w:rsid w:val="003E13A2"/>
    <w:rsid w:val="003E3748"/>
    <w:rsid w:val="003E4DA7"/>
    <w:rsid w:val="003E559A"/>
    <w:rsid w:val="003E757B"/>
    <w:rsid w:val="003E7775"/>
    <w:rsid w:val="003E7AAA"/>
    <w:rsid w:val="003E7D3E"/>
    <w:rsid w:val="003F0494"/>
    <w:rsid w:val="003F09A1"/>
    <w:rsid w:val="003F0AB7"/>
    <w:rsid w:val="003F0CD8"/>
    <w:rsid w:val="003F0DDE"/>
    <w:rsid w:val="003F147F"/>
    <w:rsid w:val="003F1602"/>
    <w:rsid w:val="003F20C7"/>
    <w:rsid w:val="003F36B2"/>
    <w:rsid w:val="003F4265"/>
    <w:rsid w:val="003F65E6"/>
    <w:rsid w:val="003F7727"/>
    <w:rsid w:val="003F7826"/>
    <w:rsid w:val="00404371"/>
    <w:rsid w:val="00404DBC"/>
    <w:rsid w:val="00405019"/>
    <w:rsid w:val="004066C6"/>
    <w:rsid w:val="00406BA9"/>
    <w:rsid w:val="00407018"/>
    <w:rsid w:val="00410C9A"/>
    <w:rsid w:val="00411D73"/>
    <w:rsid w:val="00413754"/>
    <w:rsid w:val="00417940"/>
    <w:rsid w:val="00420119"/>
    <w:rsid w:val="004206C9"/>
    <w:rsid w:val="00420A47"/>
    <w:rsid w:val="00421AB5"/>
    <w:rsid w:val="00422476"/>
    <w:rsid w:val="00422F90"/>
    <w:rsid w:val="00424212"/>
    <w:rsid w:val="00424CF9"/>
    <w:rsid w:val="0042617C"/>
    <w:rsid w:val="00426FA2"/>
    <w:rsid w:val="0043208D"/>
    <w:rsid w:val="004333B4"/>
    <w:rsid w:val="0043405E"/>
    <w:rsid w:val="00434203"/>
    <w:rsid w:val="00435492"/>
    <w:rsid w:val="004379DD"/>
    <w:rsid w:val="00440E6A"/>
    <w:rsid w:val="00443101"/>
    <w:rsid w:val="00444079"/>
    <w:rsid w:val="0044636C"/>
    <w:rsid w:val="0044742F"/>
    <w:rsid w:val="00452C3E"/>
    <w:rsid w:val="00452C6C"/>
    <w:rsid w:val="00453B10"/>
    <w:rsid w:val="0045451B"/>
    <w:rsid w:val="004551FE"/>
    <w:rsid w:val="004608DB"/>
    <w:rsid w:val="004615A2"/>
    <w:rsid w:val="0046203A"/>
    <w:rsid w:val="00462770"/>
    <w:rsid w:val="00462F3F"/>
    <w:rsid w:val="004632C0"/>
    <w:rsid w:val="00464294"/>
    <w:rsid w:val="00465453"/>
    <w:rsid w:val="00466681"/>
    <w:rsid w:val="00467B5B"/>
    <w:rsid w:val="00471831"/>
    <w:rsid w:val="00471B59"/>
    <w:rsid w:val="00472216"/>
    <w:rsid w:val="00472632"/>
    <w:rsid w:val="004735CE"/>
    <w:rsid w:val="00473A1F"/>
    <w:rsid w:val="00474658"/>
    <w:rsid w:val="0047797E"/>
    <w:rsid w:val="004802F9"/>
    <w:rsid w:val="00484F6B"/>
    <w:rsid w:val="00487451"/>
    <w:rsid w:val="004906A8"/>
    <w:rsid w:val="00491133"/>
    <w:rsid w:val="004938E4"/>
    <w:rsid w:val="00493F84"/>
    <w:rsid w:val="00497F06"/>
    <w:rsid w:val="004A19DE"/>
    <w:rsid w:val="004A281F"/>
    <w:rsid w:val="004A33CF"/>
    <w:rsid w:val="004A3757"/>
    <w:rsid w:val="004A416F"/>
    <w:rsid w:val="004A4B59"/>
    <w:rsid w:val="004A7C16"/>
    <w:rsid w:val="004B0237"/>
    <w:rsid w:val="004B0710"/>
    <w:rsid w:val="004B1283"/>
    <w:rsid w:val="004B28DF"/>
    <w:rsid w:val="004B4114"/>
    <w:rsid w:val="004B4D82"/>
    <w:rsid w:val="004B56B4"/>
    <w:rsid w:val="004B79A5"/>
    <w:rsid w:val="004C2D57"/>
    <w:rsid w:val="004C6034"/>
    <w:rsid w:val="004D3941"/>
    <w:rsid w:val="004D5E5E"/>
    <w:rsid w:val="004E22A5"/>
    <w:rsid w:val="004E2421"/>
    <w:rsid w:val="004E2F1A"/>
    <w:rsid w:val="004E4AA2"/>
    <w:rsid w:val="004E6489"/>
    <w:rsid w:val="004E6662"/>
    <w:rsid w:val="004F20D7"/>
    <w:rsid w:val="004F26A3"/>
    <w:rsid w:val="004F568A"/>
    <w:rsid w:val="005020EC"/>
    <w:rsid w:val="0050259D"/>
    <w:rsid w:val="0050509C"/>
    <w:rsid w:val="00507726"/>
    <w:rsid w:val="0051017B"/>
    <w:rsid w:val="00511551"/>
    <w:rsid w:val="00511DA6"/>
    <w:rsid w:val="00512463"/>
    <w:rsid w:val="0051342E"/>
    <w:rsid w:val="00514290"/>
    <w:rsid w:val="005143AE"/>
    <w:rsid w:val="00514F63"/>
    <w:rsid w:val="00515DA2"/>
    <w:rsid w:val="00516555"/>
    <w:rsid w:val="00517568"/>
    <w:rsid w:val="00521A45"/>
    <w:rsid w:val="00522323"/>
    <w:rsid w:val="0052517B"/>
    <w:rsid w:val="005256CF"/>
    <w:rsid w:val="0052702E"/>
    <w:rsid w:val="005271D6"/>
    <w:rsid w:val="00531479"/>
    <w:rsid w:val="00533E62"/>
    <w:rsid w:val="005362DC"/>
    <w:rsid w:val="00537540"/>
    <w:rsid w:val="0053754B"/>
    <w:rsid w:val="00541A05"/>
    <w:rsid w:val="00541A74"/>
    <w:rsid w:val="00542C43"/>
    <w:rsid w:val="00542D95"/>
    <w:rsid w:val="005469E3"/>
    <w:rsid w:val="00546DBA"/>
    <w:rsid w:val="00551299"/>
    <w:rsid w:val="005513FB"/>
    <w:rsid w:val="005517EC"/>
    <w:rsid w:val="00552150"/>
    <w:rsid w:val="005533E1"/>
    <w:rsid w:val="00553E4D"/>
    <w:rsid w:val="00554CDA"/>
    <w:rsid w:val="005558B9"/>
    <w:rsid w:val="005559B7"/>
    <w:rsid w:val="00555DF5"/>
    <w:rsid w:val="00556582"/>
    <w:rsid w:val="00556FCD"/>
    <w:rsid w:val="00560D05"/>
    <w:rsid w:val="00560DD1"/>
    <w:rsid w:val="00562A4B"/>
    <w:rsid w:val="005630A6"/>
    <w:rsid w:val="005637F1"/>
    <w:rsid w:val="0056693D"/>
    <w:rsid w:val="00572006"/>
    <w:rsid w:val="0057212F"/>
    <w:rsid w:val="005727FB"/>
    <w:rsid w:val="00573E74"/>
    <w:rsid w:val="00574126"/>
    <w:rsid w:val="00574881"/>
    <w:rsid w:val="00575000"/>
    <w:rsid w:val="00575F2C"/>
    <w:rsid w:val="00576775"/>
    <w:rsid w:val="005772D3"/>
    <w:rsid w:val="0057734D"/>
    <w:rsid w:val="0057790F"/>
    <w:rsid w:val="00577EED"/>
    <w:rsid w:val="00582470"/>
    <w:rsid w:val="00582532"/>
    <w:rsid w:val="0058380C"/>
    <w:rsid w:val="005838C7"/>
    <w:rsid w:val="005850B1"/>
    <w:rsid w:val="005868A5"/>
    <w:rsid w:val="00586B1D"/>
    <w:rsid w:val="0058788D"/>
    <w:rsid w:val="0059010A"/>
    <w:rsid w:val="00591511"/>
    <w:rsid w:val="00592B98"/>
    <w:rsid w:val="00594DE5"/>
    <w:rsid w:val="00594E27"/>
    <w:rsid w:val="00596D8B"/>
    <w:rsid w:val="00597701"/>
    <w:rsid w:val="005A06A5"/>
    <w:rsid w:val="005A08A5"/>
    <w:rsid w:val="005A12D7"/>
    <w:rsid w:val="005A213A"/>
    <w:rsid w:val="005A2389"/>
    <w:rsid w:val="005A28EB"/>
    <w:rsid w:val="005A29D6"/>
    <w:rsid w:val="005A4563"/>
    <w:rsid w:val="005A4D75"/>
    <w:rsid w:val="005A5F36"/>
    <w:rsid w:val="005B0C92"/>
    <w:rsid w:val="005B2AAB"/>
    <w:rsid w:val="005B55C1"/>
    <w:rsid w:val="005B6BD1"/>
    <w:rsid w:val="005B7DFC"/>
    <w:rsid w:val="005B7E20"/>
    <w:rsid w:val="005C1D42"/>
    <w:rsid w:val="005C2FAC"/>
    <w:rsid w:val="005C412B"/>
    <w:rsid w:val="005C4835"/>
    <w:rsid w:val="005C5A53"/>
    <w:rsid w:val="005C5AED"/>
    <w:rsid w:val="005C5E44"/>
    <w:rsid w:val="005C715C"/>
    <w:rsid w:val="005C7769"/>
    <w:rsid w:val="005C7D61"/>
    <w:rsid w:val="005D0D7F"/>
    <w:rsid w:val="005D2CD7"/>
    <w:rsid w:val="005D34F3"/>
    <w:rsid w:val="005D4484"/>
    <w:rsid w:val="005D478D"/>
    <w:rsid w:val="005D5111"/>
    <w:rsid w:val="005D5D03"/>
    <w:rsid w:val="005D5E3C"/>
    <w:rsid w:val="005D5F1D"/>
    <w:rsid w:val="005D70B7"/>
    <w:rsid w:val="005D7D58"/>
    <w:rsid w:val="005E22E8"/>
    <w:rsid w:val="005E2557"/>
    <w:rsid w:val="005E2E70"/>
    <w:rsid w:val="005E31A8"/>
    <w:rsid w:val="005E335E"/>
    <w:rsid w:val="005E37E8"/>
    <w:rsid w:val="005E41EA"/>
    <w:rsid w:val="005E48AB"/>
    <w:rsid w:val="005E4A78"/>
    <w:rsid w:val="005E6AAD"/>
    <w:rsid w:val="005E7622"/>
    <w:rsid w:val="005F071D"/>
    <w:rsid w:val="005F0F53"/>
    <w:rsid w:val="005F1D05"/>
    <w:rsid w:val="005F4E39"/>
    <w:rsid w:val="005F57A4"/>
    <w:rsid w:val="005F584A"/>
    <w:rsid w:val="005F6AED"/>
    <w:rsid w:val="005F74BD"/>
    <w:rsid w:val="006017F9"/>
    <w:rsid w:val="0060625D"/>
    <w:rsid w:val="00607526"/>
    <w:rsid w:val="00607A4B"/>
    <w:rsid w:val="00611BAA"/>
    <w:rsid w:val="00612D18"/>
    <w:rsid w:val="006135F3"/>
    <w:rsid w:val="0061599F"/>
    <w:rsid w:val="00615BB7"/>
    <w:rsid w:val="00616894"/>
    <w:rsid w:val="00616A16"/>
    <w:rsid w:val="006171D2"/>
    <w:rsid w:val="006209CA"/>
    <w:rsid w:val="00620A33"/>
    <w:rsid w:val="00621954"/>
    <w:rsid w:val="006231D3"/>
    <w:rsid w:val="00623361"/>
    <w:rsid w:val="00623495"/>
    <w:rsid w:val="00624BA9"/>
    <w:rsid w:val="0062575C"/>
    <w:rsid w:val="0062758D"/>
    <w:rsid w:val="00630362"/>
    <w:rsid w:val="00630377"/>
    <w:rsid w:val="00631B2D"/>
    <w:rsid w:val="00633155"/>
    <w:rsid w:val="006339EB"/>
    <w:rsid w:val="00634DC3"/>
    <w:rsid w:val="0063522F"/>
    <w:rsid w:val="00635D4A"/>
    <w:rsid w:val="00637078"/>
    <w:rsid w:val="00637FFA"/>
    <w:rsid w:val="006407AF"/>
    <w:rsid w:val="00640BEA"/>
    <w:rsid w:val="00641E10"/>
    <w:rsid w:val="0064248D"/>
    <w:rsid w:val="006436C6"/>
    <w:rsid w:val="006452BF"/>
    <w:rsid w:val="006452F7"/>
    <w:rsid w:val="006455C9"/>
    <w:rsid w:val="00647EF3"/>
    <w:rsid w:val="006505A5"/>
    <w:rsid w:val="00652352"/>
    <w:rsid w:val="006523B2"/>
    <w:rsid w:val="0065531F"/>
    <w:rsid w:val="006559E3"/>
    <w:rsid w:val="00656CF5"/>
    <w:rsid w:val="00657577"/>
    <w:rsid w:val="00660AFE"/>
    <w:rsid w:val="00662FFA"/>
    <w:rsid w:val="0066552F"/>
    <w:rsid w:val="006660B2"/>
    <w:rsid w:val="00666178"/>
    <w:rsid w:val="006663ED"/>
    <w:rsid w:val="0066661B"/>
    <w:rsid w:val="0066747A"/>
    <w:rsid w:val="0067056E"/>
    <w:rsid w:val="00670587"/>
    <w:rsid w:val="00671C2D"/>
    <w:rsid w:val="0067303A"/>
    <w:rsid w:val="006739CA"/>
    <w:rsid w:val="00674958"/>
    <w:rsid w:val="00675A4C"/>
    <w:rsid w:val="0067683F"/>
    <w:rsid w:val="00677924"/>
    <w:rsid w:val="00680CC9"/>
    <w:rsid w:val="00680F02"/>
    <w:rsid w:val="0068134A"/>
    <w:rsid w:val="006818D3"/>
    <w:rsid w:val="0068258E"/>
    <w:rsid w:val="006849AA"/>
    <w:rsid w:val="00684F55"/>
    <w:rsid w:val="006855AC"/>
    <w:rsid w:val="00686106"/>
    <w:rsid w:val="00686FFB"/>
    <w:rsid w:val="00691790"/>
    <w:rsid w:val="00691820"/>
    <w:rsid w:val="006933C3"/>
    <w:rsid w:val="0069452B"/>
    <w:rsid w:val="006956E6"/>
    <w:rsid w:val="0069646E"/>
    <w:rsid w:val="00696555"/>
    <w:rsid w:val="00697045"/>
    <w:rsid w:val="006A27BD"/>
    <w:rsid w:val="006A337B"/>
    <w:rsid w:val="006A4E08"/>
    <w:rsid w:val="006A51B0"/>
    <w:rsid w:val="006A57D6"/>
    <w:rsid w:val="006A58BC"/>
    <w:rsid w:val="006A5C50"/>
    <w:rsid w:val="006A600D"/>
    <w:rsid w:val="006B0DEF"/>
    <w:rsid w:val="006B21B1"/>
    <w:rsid w:val="006B3C8C"/>
    <w:rsid w:val="006B5EA3"/>
    <w:rsid w:val="006B6CC7"/>
    <w:rsid w:val="006C40C7"/>
    <w:rsid w:val="006C6A58"/>
    <w:rsid w:val="006C7952"/>
    <w:rsid w:val="006D006D"/>
    <w:rsid w:val="006D1474"/>
    <w:rsid w:val="006D1A4E"/>
    <w:rsid w:val="006D3001"/>
    <w:rsid w:val="006D3C4B"/>
    <w:rsid w:val="006D3EB7"/>
    <w:rsid w:val="006D5299"/>
    <w:rsid w:val="006D7290"/>
    <w:rsid w:val="006D7B49"/>
    <w:rsid w:val="006E0A2E"/>
    <w:rsid w:val="006E1269"/>
    <w:rsid w:val="006E4F30"/>
    <w:rsid w:val="006E66CB"/>
    <w:rsid w:val="006E6A12"/>
    <w:rsid w:val="006E7A43"/>
    <w:rsid w:val="006E7D38"/>
    <w:rsid w:val="006F0870"/>
    <w:rsid w:val="006F1315"/>
    <w:rsid w:val="006F2746"/>
    <w:rsid w:val="006F43CA"/>
    <w:rsid w:val="006F699C"/>
    <w:rsid w:val="006F7EF4"/>
    <w:rsid w:val="00702335"/>
    <w:rsid w:val="007026DD"/>
    <w:rsid w:val="00702770"/>
    <w:rsid w:val="00702944"/>
    <w:rsid w:val="00703EFD"/>
    <w:rsid w:val="00703FCE"/>
    <w:rsid w:val="00705584"/>
    <w:rsid w:val="00707B68"/>
    <w:rsid w:val="00707BD7"/>
    <w:rsid w:val="0071018A"/>
    <w:rsid w:val="0071103D"/>
    <w:rsid w:val="00711946"/>
    <w:rsid w:val="007126C4"/>
    <w:rsid w:val="00716728"/>
    <w:rsid w:val="00721ECA"/>
    <w:rsid w:val="00723B62"/>
    <w:rsid w:val="00723F10"/>
    <w:rsid w:val="007258CF"/>
    <w:rsid w:val="00726759"/>
    <w:rsid w:val="00726AA3"/>
    <w:rsid w:val="00726C52"/>
    <w:rsid w:val="00726CF1"/>
    <w:rsid w:val="0073045C"/>
    <w:rsid w:val="00730C29"/>
    <w:rsid w:val="00731AFD"/>
    <w:rsid w:val="00733A00"/>
    <w:rsid w:val="00734123"/>
    <w:rsid w:val="0073448E"/>
    <w:rsid w:val="00735AA1"/>
    <w:rsid w:val="00735E09"/>
    <w:rsid w:val="00735E5A"/>
    <w:rsid w:val="00737503"/>
    <w:rsid w:val="00737731"/>
    <w:rsid w:val="00740210"/>
    <w:rsid w:val="007411D5"/>
    <w:rsid w:val="0074132C"/>
    <w:rsid w:val="00745E77"/>
    <w:rsid w:val="00745F46"/>
    <w:rsid w:val="0074751E"/>
    <w:rsid w:val="00747EE8"/>
    <w:rsid w:val="00750428"/>
    <w:rsid w:val="0075391A"/>
    <w:rsid w:val="0075611A"/>
    <w:rsid w:val="00756403"/>
    <w:rsid w:val="00756648"/>
    <w:rsid w:val="00756E5C"/>
    <w:rsid w:val="007615CD"/>
    <w:rsid w:val="007619CA"/>
    <w:rsid w:val="00763425"/>
    <w:rsid w:val="007641F3"/>
    <w:rsid w:val="0076599E"/>
    <w:rsid w:val="0076755B"/>
    <w:rsid w:val="00767EC0"/>
    <w:rsid w:val="007703B5"/>
    <w:rsid w:val="007724CE"/>
    <w:rsid w:val="00772CDC"/>
    <w:rsid w:val="00772DC6"/>
    <w:rsid w:val="0077311E"/>
    <w:rsid w:val="00773E00"/>
    <w:rsid w:val="007768D9"/>
    <w:rsid w:val="00780C21"/>
    <w:rsid w:val="00782BA7"/>
    <w:rsid w:val="00783556"/>
    <w:rsid w:val="00786DA9"/>
    <w:rsid w:val="0079167D"/>
    <w:rsid w:val="007926B4"/>
    <w:rsid w:val="00793751"/>
    <w:rsid w:val="007A0931"/>
    <w:rsid w:val="007A2617"/>
    <w:rsid w:val="007A320E"/>
    <w:rsid w:val="007A4309"/>
    <w:rsid w:val="007A5E56"/>
    <w:rsid w:val="007A64D1"/>
    <w:rsid w:val="007B16B2"/>
    <w:rsid w:val="007B29A1"/>
    <w:rsid w:val="007B468A"/>
    <w:rsid w:val="007B627D"/>
    <w:rsid w:val="007B6E7F"/>
    <w:rsid w:val="007B6EFD"/>
    <w:rsid w:val="007B7B9C"/>
    <w:rsid w:val="007B7E43"/>
    <w:rsid w:val="007C1431"/>
    <w:rsid w:val="007C17B8"/>
    <w:rsid w:val="007C2DC4"/>
    <w:rsid w:val="007C53A1"/>
    <w:rsid w:val="007C58BD"/>
    <w:rsid w:val="007C5D4B"/>
    <w:rsid w:val="007C5EEC"/>
    <w:rsid w:val="007C620B"/>
    <w:rsid w:val="007C6536"/>
    <w:rsid w:val="007C6687"/>
    <w:rsid w:val="007C6A5F"/>
    <w:rsid w:val="007C7D10"/>
    <w:rsid w:val="007D00B1"/>
    <w:rsid w:val="007D0E36"/>
    <w:rsid w:val="007D4C7A"/>
    <w:rsid w:val="007E3F69"/>
    <w:rsid w:val="007E5D83"/>
    <w:rsid w:val="007E7735"/>
    <w:rsid w:val="007F1254"/>
    <w:rsid w:val="007F1374"/>
    <w:rsid w:val="007F2784"/>
    <w:rsid w:val="007F4800"/>
    <w:rsid w:val="007F4B3F"/>
    <w:rsid w:val="007F5D73"/>
    <w:rsid w:val="007F788F"/>
    <w:rsid w:val="007F7995"/>
    <w:rsid w:val="0080036F"/>
    <w:rsid w:val="00800AFB"/>
    <w:rsid w:val="00800EE1"/>
    <w:rsid w:val="00801353"/>
    <w:rsid w:val="00801B16"/>
    <w:rsid w:val="00801E86"/>
    <w:rsid w:val="0080245F"/>
    <w:rsid w:val="0080443F"/>
    <w:rsid w:val="008059AD"/>
    <w:rsid w:val="00807B1C"/>
    <w:rsid w:val="008112A2"/>
    <w:rsid w:val="00811CAE"/>
    <w:rsid w:val="00812855"/>
    <w:rsid w:val="008153BC"/>
    <w:rsid w:val="008169D8"/>
    <w:rsid w:val="008175FE"/>
    <w:rsid w:val="00821417"/>
    <w:rsid w:val="00821585"/>
    <w:rsid w:val="008227E9"/>
    <w:rsid w:val="00822FD8"/>
    <w:rsid w:val="008230A1"/>
    <w:rsid w:val="0082386A"/>
    <w:rsid w:val="0082417A"/>
    <w:rsid w:val="00825DC9"/>
    <w:rsid w:val="0082642C"/>
    <w:rsid w:val="00827FCF"/>
    <w:rsid w:val="008319C9"/>
    <w:rsid w:val="00831DF3"/>
    <w:rsid w:val="008326E7"/>
    <w:rsid w:val="00832BA6"/>
    <w:rsid w:val="008345B8"/>
    <w:rsid w:val="008379F3"/>
    <w:rsid w:val="0084241F"/>
    <w:rsid w:val="00842DEC"/>
    <w:rsid w:val="0084434E"/>
    <w:rsid w:val="008474A3"/>
    <w:rsid w:val="00850697"/>
    <w:rsid w:val="008506B1"/>
    <w:rsid w:val="008510CC"/>
    <w:rsid w:val="00851F34"/>
    <w:rsid w:val="00852E06"/>
    <w:rsid w:val="00857775"/>
    <w:rsid w:val="00857F39"/>
    <w:rsid w:val="0086089B"/>
    <w:rsid w:val="00860C47"/>
    <w:rsid w:val="00860CC3"/>
    <w:rsid w:val="00863417"/>
    <w:rsid w:val="0086343C"/>
    <w:rsid w:val="00863D76"/>
    <w:rsid w:val="0086446E"/>
    <w:rsid w:val="0086507F"/>
    <w:rsid w:val="0086509B"/>
    <w:rsid w:val="00867A54"/>
    <w:rsid w:val="00871318"/>
    <w:rsid w:val="0087296A"/>
    <w:rsid w:val="00876262"/>
    <w:rsid w:val="00877C86"/>
    <w:rsid w:val="00877EB1"/>
    <w:rsid w:val="00880A77"/>
    <w:rsid w:val="00881407"/>
    <w:rsid w:val="0088306E"/>
    <w:rsid w:val="008832E5"/>
    <w:rsid w:val="00883C24"/>
    <w:rsid w:val="00885DCF"/>
    <w:rsid w:val="00887788"/>
    <w:rsid w:val="00890AD2"/>
    <w:rsid w:val="00891049"/>
    <w:rsid w:val="00893A87"/>
    <w:rsid w:val="00894DE2"/>
    <w:rsid w:val="008954B2"/>
    <w:rsid w:val="00897403"/>
    <w:rsid w:val="00897FD8"/>
    <w:rsid w:val="008A0C6E"/>
    <w:rsid w:val="008A0CB9"/>
    <w:rsid w:val="008A122C"/>
    <w:rsid w:val="008A18A7"/>
    <w:rsid w:val="008A290F"/>
    <w:rsid w:val="008A40C0"/>
    <w:rsid w:val="008A5923"/>
    <w:rsid w:val="008B1120"/>
    <w:rsid w:val="008B15C4"/>
    <w:rsid w:val="008B1A16"/>
    <w:rsid w:val="008B1AA1"/>
    <w:rsid w:val="008B1BFF"/>
    <w:rsid w:val="008B1DC1"/>
    <w:rsid w:val="008B403E"/>
    <w:rsid w:val="008B4BE6"/>
    <w:rsid w:val="008B582E"/>
    <w:rsid w:val="008B7690"/>
    <w:rsid w:val="008C0FE2"/>
    <w:rsid w:val="008C2DD5"/>
    <w:rsid w:val="008C3649"/>
    <w:rsid w:val="008C7788"/>
    <w:rsid w:val="008D1813"/>
    <w:rsid w:val="008D2EB0"/>
    <w:rsid w:val="008D311B"/>
    <w:rsid w:val="008D350D"/>
    <w:rsid w:val="008D3AE8"/>
    <w:rsid w:val="008D70C6"/>
    <w:rsid w:val="008E2C1D"/>
    <w:rsid w:val="008E6A8D"/>
    <w:rsid w:val="008E75B5"/>
    <w:rsid w:val="008E79E8"/>
    <w:rsid w:val="008F129B"/>
    <w:rsid w:val="008F12A1"/>
    <w:rsid w:val="008F3624"/>
    <w:rsid w:val="008F3E61"/>
    <w:rsid w:val="008F433F"/>
    <w:rsid w:val="008F459A"/>
    <w:rsid w:val="008F4A01"/>
    <w:rsid w:val="008F630A"/>
    <w:rsid w:val="008F6C68"/>
    <w:rsid w:val="008F73D1"/>
    <w:rsid w:val="009002CA"/>
    <w:rsid w:val="009014A9"/>
    <w:rsid w:val="0090327A"/>
    <w:rsid w:val="0090345D"/>
    <w:rsid w:val="00903AF9"/>
    <w:rsid w:val="00904CBF"/>
    <w:rsid w:val="0090579F"/>
    <w:rsid w:val="00907EDE"/>
    <w:rsid w:val="00911355"/>
    <w:rsid w:val="00912814"/>
    <w:rsid w:val="00913622"/>
    <w:rsid w:val="009143C9"/>
    <w:rsid w:val="00915A40"/>
    <w:rsid w:val="00915D25"/>
    <w:rsid w:val="00920163"/>
    <w:rsid w:val="009201C9"/>
    <w:rsid w:val="009201FD"/>
    <w:rsid w:val="00920671"/>
    <w:rsid w:val="00921DF8"/>
    <w:rsid w:val="00926040"/>
    <w:rsid w:val="00930424"/>
    <w:rsid w:val="00930EB4"/>
    <w:rsid w:val="00931D83"/>
    <w:rsid w:val="0093257E"/>
    <w:rsid w:val="009333EC"/>
    <w:rsid w:val="00933DC9"/>
    <w:rsid w:val="009344D6"/>
    <w:rsid w:val="00935C81"/>
    <w:rsid w:val="009374F4"/>
    <w:rsid w:val="00937A4F"/>
    <w:rsid w:val="00937F0A"/>
    <w:rsid w:val="00942BCB"/>
    <w:rsid w:val="00942F03"/>
    <w:rsid w:val="00942F73"/>
    <w:rsid w:val="009438F0"/>
    <w:rsid w:val="0094473B"/>
    <w:rsid w:val="00946339"/>
    <w:rsid w:val="00946CC1"/>
    <w:rsid w:val="00946CDC"/>
    <w:rsid w:val="00953155"/>
    <w:rsid w:val="00953450"/>
    <w:rsid w:val="00956267"/>
    <w:rsid w:val="00961B81"/>
    <w:rsid w:val="00962ED5"/>
    <w:rsid w:val="009630F7"/>
    <w:rsid w:val="00963C93"/>
    <w:rsid w:val="00964383"/>
    <w:rsid w:val="009677AA"/>
    <w:rsid w:val="00967801"/>
    <w:rsid w:val="009678FD"/>
    <w:rsid w:val="00971561"/>
    <w:rsid w:val="0097369F"/>
    <w:rsid w:val="0097414C"/>
    <w:rsid w:val="009761DA"/>
    <w:rsid w:val="0098148F"/>
    <w:rsid w:val="009815FB"/>
    <w:rsid w:val="00981669"/>
    <w:rsid w:val="00981C05"/>
    <w:rsid w:val="009826E9"/>
    <w:rsid w:val="00982ACA"/>
    <w:rsid w:val="009840D6"/>
    <w:rsid w:val="009842A6"/>
    <w:rsid w:val="009858FE"/>
    <w:rsid w:val="009860EA"/>
    <w:rsid w:val="00986508"/>
    <w:rsid w:val="009866C6"/>
    <w:rsid w:val="00987922"/>
    <w:rsid w:val="00987AA8"/>
    <w:rsid w:val="00990719"/>
    <w:rsid w:val="00991A3F"/>
    <w:rsid w:val="009924F2"/>
    <w:rsid w:val="0099289F"/>
    <w:rsid w:val="0099315C"/>
    <w:rsid w:val="00994E38"/>
    <w:rsid w:val="00995401"/>
    <w:rsid w:val="00995736"/>
    <w:rsid w:val="009A164A"/>
    <w:rsid w:val="009A1A36"/>
    <w:rsid w:val="009A3CE1"/>
    <w:rsid w:val="009A4504"/>
    <w:rsid w:val="009A6525"/>
    <w:rsid w:val="009A6685"/>
    <w:rsid w:val="009B01E7"/>
    <w:rsid w:val="009B1B04"/>
    <w:rsid w:val="009B21EE"/>
    <w:rsid w:val="009B234D"/>
    <w:rsid w:val="009B37E2"/>
    <w:rsid w:val="009B4214"/>
    <w:rsid w:val="009B4260"/>
    <w:rsid w:val="009B5949"/>
    <w:rsid w:val="009B5AE4"/>
    <w:rsid w:val="009B711D"/>
    <w:rsid w:val="009B78D8"/>
    <w:rsid w:val="009C02E5"/>
    <w:rsid w:val="009C0E0E"/>
    <w:rsid w:val="009C26E3"/>
    <w:rsid w:val="009C5BFF"/>
    <w:rsid w:val="009C6A5A"/>
    <w:rsid w:val="009C6DD1"/>
    <w:rsid w:val="009C71CE"/>
    <w:rsid w:val="009C7CD6"/>
    <w:rsid w:val="009D2789"/>
    <w:rsid w:val="009D3357"/>
    <w:rsid w:val="009D3905"/>
    <w:rsid w:val="009D4C0F"/>
    <w:rsid w:val="009D4DFE"/>
    <w:rsid w:val="009D6B28"/>
    <w:rsid w:val="009D6C43"/>
    <w:rsid w:val="009D7C44"/>
    <w:rsid w:val="009E194F"/>
    <w:rsid w:val="009E2C3B"/>
    <w:rsid w:val="009E4AFA"/>
    <w:rsid w:val="009E5F67"/>
    <w:rsid w:val="009E7B86"/>
    <w:rsid w:val="009F366D"/>
    <w:rsid w:val="009F45EC"/>
    <w:rsid w:val="009F5E9D"/>
    <w:rsid w:val="009F616D"/>
    <w:rsid w:val="009F6EEB"/>
    <w:rsid w:val="009F702D"/>
    <w:rsid w:val="00A00759"/>
    <w:rsid w:val="00A01316"/>
    <w:rsid w:val="00A0189C"/>
    <w:rsid w:val="00A025DD"/>
    <w:rsid w:val="00A026E5"/>
    <w:rsid w:val="00A04641"/>
    <w:rsid w:val="00A06362"/>
    <w:rsid w:val="00A06816"/>
    <w:rsid w:val="00A06927"/>
    <w:rsid w:val="00A06D04"/>
    <w:rsid w:val="00A10581"/>
    <w:rsid w:val="00A109BA"/>
    <w:rsid w:val="00A11A15"/>
    <w:rsid w:val="00A12182"/>
    <w:rsid w:val="00A13D8B"/>
    <w:rsid w:val="00A145DE"/>
    <w:rsid w:val="00A1486F"/>
    <w:rsid w:val="00A15B65"/>
    <w:rsid w:val="00A171C3"/>
    <w:rsid w:val="00A17E67"/>
    <w:rsid w:val="00A20768"/>
    <w:rsid w:val="00A20B35"/>
    <w:rsid w:val="00A2176F"/>
    <w:rsid w:val="00A21BD3"/>
    <w:rsid w:val="00A21D4C"/>
    <w:rsid w:val="00A2390C"/>
    <w:rsid w:val="00A244A2"/>
    <w:rsid w:val="00A24A81"/>
    <w:rsid w:val="00A250C0"/>
    <w:rsid w:val="00A26878"/>
    <w:rsid w:val="00A27AAF"/>
    <w:rsid w:val="00A27F15"/>
    <w:rsid w:val="00A27F87"/>
    <w:rsid w:val="00A3186F"/>
    <w:rsid w:val="00A34443"/>
    <w:rsid w:val="00A345F7"/>
    <w:rsid w:val="00A3598F"/>
    <w:rsid w:val="00A365D0"/>
    <w:rsid w:val="00A404F7"/>
    <w:rsid w:val="00A40C03"/>
    <w:rsid w:val="00A41D64"/>
    <w:rsid w:val="00A42581"/>
    <w:rsid w:val="00A429BB"/>
    <w:rsid w:val="00A430EA"/>
    <w:rsid w:val="00A43282"/>
    <w:rsid w:val="00A43EEA"/>
    <w:rsid w:val="00A4743C"/>
    <w:rsid w:val="00A51447"/>
    <w:rsid w:val="00A51D37"/>
    <w:rsid w:val="00A539D0"/>
    <w:rsid w:val="00A53F34"/>
    <w:rsid w:val="00A540EB"/>
    <w:rsid w:val="00A5539A"/>
    <w:rsid w:val="00A56895"/>
    <w:rsid w:val="00A57298"/>
    <w:rsid w:val="00A57C32"/>
    <w:rsid w:val="00A6022A"/>
    <w:rsid w:val="00A60B97"/>
    <w:rsid w:val="00A61503"/>
    <w:rsid w:val="00A6247E"/>
    <w:rsid w:val="00A64A56"/>
    <w:rsid w:val="00A64A9A"/>
    <w:rsid w:val="00A67932"/>
    <w:rsid w:val="00A70DE0"/>
    <w:rsid w:val="00A71C54"/>
    <w:rsid w:val="00A71E51"/>
    <w:rsid w:val="00A72432"/>
    <w:rsid w:val="00A73E71"/>
    <w:rsid w:val="00A75494"/>
    <w:rsid w:val="00A764E4"/>
    <w:rsid w:val="00A77F56"/>
    <w:rsid w:val="00A80B9F"/>
    <w:rsid w:val="00A817CF"/>
    <w:rsid w:val="00A8338E"/>
    <w:rsid w:val="00A8390E"/>
    <w:rsid w:val="00A87A64"/>
    <w:rsid w:val="00A903D9"/>
    <w:rsid w:val="00A90ED6"/>
    <w:rsid w:val="00A91D77"/>
    <w:rsid w:val="00A923EB"/>
    <w:rsid w:val="00A9469D"/>
    <w:rsid w:val="00A954D1"/>
    <w:rsid w:val="00A95A2D"/>
    <w:rsid w:val="00A970A2"/>
    <w:rsid w:val="00AA0C1C"/>
    <w:rsid w:val="00AA20D7"/>
    <w:rsid w:val="00AA34B1"/>
    <w:rsid w:val="00AA34D5"/>
    <w:rsid w:val="00AA719D"/>
    <w:rsid w:val="00AB06B2"/>
    <w:rsid w:val="00AB1C3D"/>
    <w:rsid w:val="00AB2321"/>
    <w:rsid w:val="00AB29A8"/>
    <w:rsid w:val="00AB3C76"/>
    <w:rsid w:val="00AB436C"/>
    <w:rsid w:val="00AB572A"/>
    <w:rsid w:val="00AB5950"/>
    <w:rsid w:val="00AB63DB"/>
    <w:rsid w:val="00AB7D22"/>
    <w:rsid w:val="00AC1985"/>
    <w:rsid w:val="00AC22A5"/>
    <w:rsid w:val="00AC2670"/>
    <w:rsid w:val="00AC2C44"/>
    <w:rsid w:val="00AC42E2"/>
    <w:rsid w:val="00AC441E"/>
    <w:rsid w:val="00AD0A47"/>
    <w:rsid w:val="00AD2D4B"/>
    <w:rsid w:val="00AD3B53"/>
    <w:rsid w:val="00AD57FA"/>
    <w:rsid w:val="00AD5A00"/>
    <w:rsid w:val="00AD5C0B"/>
    <w:rsid w:val="00AD6029"/>
    <w:rsid w:val="00AD6475"/>
    <w:rsid w:val="00AD7D98"/>
    <w:rsid w:val="00AE0F63"/>
    <w:rsid w:val="00AE1C50"/>
    <w:rsid w:val="00AE1F78"/>
    <w:rsid w:val="00AE39CC"/>
    <w:rsid w:val="00AE46AE"/>
    <w:rsid w:val="00AE49BE"/>
    <w:rsid w:val="00AE7BF2"/>
    <w:rsid w:val="00AF23AF"/>
    <w:rsid w:val="00AF4E3A"/>
    <w:rsid w:val="00AF6A53"/>
    <w:rsid w:val="00B00257"/>
    <w:rsid w:val="00B00C47"/>
    <w:rsid w:val="00B018E4"/>
    <w:rsid w:val="00B01DBD"/>
    <w:rsid w:val="00B02ECB"/>
    <w:rsid w:val="00B035BC"/>
    <w:rsid w:val="00B039D7"/>
    <w:rsid w:val="00B04996"/>
    <w:rsid w:val="00B05620"/>
    <w:rsid w:val="00B073E2"/>
    <w:rsid w:val="00B07F61"/>
    <w:rsid w:val="00B10093"/>
    <w:rsid w:val="00B11EFC"/>
    <w:rsid w:val="00B12B6C"/>
    <w:rsid w:val="00B137C8"/>
    <w:rsid w:val="00B15210"/>
    <w:rsid w:val="00B16042"/>
    <w:rsid w:val="00B1623B"/>
    <w:rsid w:val="00B170F9"/>
    <w:rsid w:val="00B17F86"/>
    <w:rsid w:val="00B212F1"/>
    <w:rsid w:val="00B243C2"/>
    <w:rsid w:val="00B24403"/>
    <w:rsid w:val="00B24B88"/>
    <w:rsid w:val="00B25206"/>
    <w:rsid w:val="00B26E40"/>
    <w:rsid w:val="00B27227"/>
    <w:rsid w:val="00B32239"/>
    <w:rsid w:val="00B33746"/>
    <w:rsid w:val="00B34154"/>
    <w:rsid w:val="00B35667"/>
    <w:rsid w:val="00B36EE6"/>
    <w:rsid w:val="00B37029"/>
    <w:rsid w:val="00B37B09"/>
    <w:rsid w:val="00B41BEA"/>
    <w:rsid w:val="00B42DDB"/>
    <w:rsid w:val="00B44CF2"/>
    <w:rsid w:val="00B4623D"/>
    <w:rsid w:val="00B472D0"/>
    <w:rsid w:val="00B47912"/>
    <w:rsid w:val="00B53A9C"/>
    <w:rsid w:val="00B53EEE"/>
    <w:rsid w:val="00B53FEE"/>
    <w:rsid w:val="00B6145A"/>
    <w:rsid w:val="00B61570"/>
    <w:rsid w:val="00B61B77"/>
    <w:rsid w:val="00B638B9"/>
    <w:rsid w:val="00B654AF"/>
    <w:rsid w:val="00B6585E"/>
    <w:rsid w:val="00B66BEC"/>
    <w:rsid w:val="00B67B0B"/>
    <w:rsid w:val="00B67D12"/>
    <w:rsid w:val="00B705A9"/>
    <w:rsid w:val="00B72578"/>
    <w:rsid w:val="00B73845"/>
    <w:rsid w:val="00B73E47"/>
    <w:rsid w:val="00B744FB"/>
    <w:rsid w:val="00B75D68"/>
    <w:rsid w:val="00B76DD0"/>
    <w:rsid w:val="00B76FC4"/>
    <w:rsid w:val="00B77D43"/>
    <w:rsid w:val="00B8009F"/>
    <w:rsid w:val="00B8207D"/>
    <w:rsid w:val="00B82877"/>
    <w:rsid w:val="00B836E8"/>
    <w:rsid w:val="00B83AEA"/>
    <w:rsid w:val="00B84453"/>
    <w:rsid w:val="00B84A8E"/>
    <w:rsid w:val="00B84D04"/>
    <w:rsid w:val="00B85252"/>
    <w:rsid w:val="00B8629C"/>
    <w:rsid w:val="00B8705F"/>
    <w:rsid w:val="00B90E4E"/>
    <w:rsid w:val="00B92D67"/>
    <w:rsid w:val="00B93A65"/>
    <w:rsid w:val="00B952D8"/>
    <w:rsid w:val="00B9615A"/>
    <w:rsid w:val="00B9734E"/>
    <w:rsid w:val="00BA08E8"/>
    <w:rsid w:val="00BA14E6"/>
    <w:rsid w:val="00BA1841"/>
    <w:rsid w:val="00BA1CBE"/>
    <w:rsid w:val="00BA1E13"/>
    <w:rsid w:val="00BA235C"/>
    <w:rsid w:val="00BA3831"/>
    <w:rsid w:val="00BA500B"/>
    <w:rsid w:val="00BA5B5B"/>
    <w:rsid w:val="00BB008B"/>
    <w:rsid w:val="00BB0093"/>
    <w:rsid w:val="00BB137D"/>
    <w:rsid w:val="00BB1C6C"/>
    <w:rsid w:val="00BB2181"/>
    <w:rsid w:val="00BB2A01"/>
    <w:rsid w:val="00BB3C82"/>
    <w:rsid w:val="00BB4397"/>
    <w:rsid w:val="00BB54EF"/>
    <w:rsid w:val="00BB57F6"/>
    <w:rsid w:val="00BC2684"/>
    <w:rsid w:val="00BC2F54"/>
    <w:rsid w:val="00BC33DF"/>
    <w:rsid w:val="00BC35AA"/>
    <w:rsid w:val="00BC51DD"/>
    <w:rsid w:val="00BC5BB3"/>
    <w:rsid w:val="00BC71D5"/>
    <w:rsid w:val="00BC7212"/>
    <w:rsid w:val="00BC79E4"/>
    <w:rsid w:val="00BD1AE6"/>
    <w:rsid w:val="00BD2F0F"/>
    <w:rsid w:val="00BD53BD"/>
    <w:rsid w:val="00BD5D1A"/>
    <w:rsid w:val="00BD5DEF"/>
    <w:rsid w:val="00BD6033"/>
    <w:rsid w:val="00BD6E68"/>
    <w:rsid w:val="00BE0A59"/>
    <w:rsid w:val="00BE10DB"/>
    <w:rsid w:val="00BE4802"/>
    <w:rsid w:val="00BE4B87"/>
    <w:rsid w:val="00BE5673"/>
    <w:rsid w:val="00BE6EE3"/>
    <w:rsid w:val="00BF03F6"/>
    <w:rsid w:val="00BF12CB"/>
    <w:rsid w:val="00BF170E"/>
    <w:rsid w:val="00BF44A9"/>
    <w:rsid w:val="00BF48ED"/>
    <w:rsid w:val="00BF509C"/>
    <w:rsid w:val="00BF5849"/>
    <w:rsid w:val="00BF7CF6"/>
    <w:rsid w:val="00C018D6"/>
    <w:rsid w:val="00C02CA2"/>
    <w:rsid w:val="00C04374"/>
    <w:rsid w:val="00C046FD"/>
    <w:rsid w:val="00C04EA5"/>
    <w:rsid w:val="00C04EB1"/>
    <w:rsid w:val="00C069DB"/>
    <w:rsid w:val="00C06F6D"/>
    <w:rsid w:val="00C119D6"/>
    <w:rsid w:val="00C141D0"/>
    <w:rsid w:val="00C20B30"/>
    <w:rsid w:val="00C20D59"/>
    <w:rsid w:val="00C20F98"/>
    <w:rsid w:val="00C211E1"/>
    <w:rsid w:val="00C21F77"/>
    <w:rsid w:val="00C2378B"/>
    <w:rsid w:val="00C249C9"/>
    <w:rsid w:val="00C25FBE"/>
    <w:rsid w:val="00C264D2"/>
    <w:rsid w:val="00C27BEF"/>
    <w:rsid w:val="00C30527"/>
    <w:rsid w:val="00C32A74"/>
    <w:rsid w:val="00C32BBC"/>
    <w:rsid w:val="00C32F12"/>
    <w:rsid w:val="00C33BEA"/>
    <w:rsid w:val="00C35C75"/>
    <w:rsid w:val="00C407B1"/>
    <w:rsid w:val="00C4196B"/>
    <w:rsid w:val="00C41F45"/>
    <w:rsid w:val="00C424F1"/>
    <w:rsid w:val="00C43FC1"/>
    <w:rsid w:val="00C4424F"/>
    <w:rsid w:val="00C445CC"/>
    <w:rsid w:val="00C4599F"/>
    <w:rsid w:val="00C45F82"/>
    <w:rsid w:val="00C47537"/>
    <w:rsid w:val="00C475F7"/>
    <w:rsid w:val="00C51B0E"/>
    <w:rsid w:val="00C526C8"/>
    <w:rsid w:val="00C52824"/>
    <w:rsid w:val="00C535B9"/>
    <w:rsid w:val="00C53E01"/>
    <w:rsid w:val="00C54D13"/>
    <w:rsid w:val="00C561C9"/>
    <w:rsid w:val="00C603B5"/>
    <w:rsid w:val="00C60A72"/>
    <w:rsid w:val="00C629BE"/>
    <w:rsid w:val="00C62C3C"/>
    <w:rsid w:val="00C646D9"/>
    <w:rsid w:val="00C648F3"/>
    <w:rsid w:val="00C671C6"/>
    <w:rsid w:val="00C67258"/>
    <w:rsid w:val="00C67CDA"/>
    <w:rsid w:val="00C7089E"/>
    <w:rsid w:val="00C71C43"/>
    <w:rsid w:val="00C7491C"/>
    <w:rsid w:val="00C76632"/>
    <w:rsid w:val="00C77A50"/>
    <w:rsid w:val="00C8029D"/>
    <w:rsid w:val="00C812FF"/>
    <w:rsid w:val="00C81460"/>
    <w:rsid w:val="00C81B02"/>
    <w:rsid w:val="00C81CDA"/>
    <w:rsid w:val="00C83041"/>
    <w:rsid w:val="00C83148"/>
    <w:rsid w:val="00C846A9"/>
    <w:rsid w:val="00C84B65"/>
    <w:rsid w:val="00C8675B"/>
    <w:rsid w:val="00C86BC2"/>
    <w:rsid w:val="00C87B56"/>
    <w:rsid w:val="00C91949"/>
    <w:rsid w:val="00C92404"/>
    <w:rsid w:val="00C92913"/>
    <w:rsid w:val="00C9519E"/>
    <w:rsid w:val="00C97610"/>
    <w:rsid w:val="00CA1347"/>
    <w:rsid w:val="00CA1FE4"/>
    <w:rsid w:val="00CA2822"/>
    <w:rsid w:val="00CA5ED0"/>
    <w:rsid w:val="00CA620C"/>
    <w:rsid w:val="00CA6D04"/>
    <w:rsid w:val="00CB0A00"/>
    <w:rsid w:val="00CB128D"/>
    <w:rsid w:val="00CB2283"/>
    <w:rsid w:val="00CB2EE5"/>
    <w:rsid w:val="00CB43F1"/>
    <w:rsid w:val="00CB4768"/>
    <w:rsid w:val="00CB4F76"/>
    <w:rsid w:val="00CB6841"/>
    <w:rsid w:val="00CC0A62"/>
    <w:rsid w:val="00CC23AB"/>
    <w:rsid w:val="00CC29F6"/>
    <w:rsid w:val="00CC4036"/>
    <w:rsid w:val="00CC4052"/>
    <w:rsid w:val="00CC5F02"/>
    <w:rsid w:val="00CC60D9"/>
    <w:rsid w:val="00CC678A"/>
    <w:rsid w:val="00CC7AC8"/>
    <w:rsid w:val="00CD0459"/>
    <w:rsid w:val="00CD127F"/>
    <w:rsid w:val="00CD1F68"/>
    <w:rsid w:val="00CD3E6A"/>
    <w:rsid w:val="00CD4E5A"/>
    <w:rsid w:val="00CE1C4A"/>
    <w:rsid w:val="00CE224F"/>
    <w:rsid w:val="00CE3345"/>
    <w:rsid w:val="00CE547B"/>
    <w:rsid w:val="00CF1BF6"/>
    <w:rsid w:val="00CF2ACC"/>
    <w:rsid w:val="00CF336B"/>
    <w:rsid w:val="00CF47E6"/>
    <w:rsid w:val="00CF5D27"/>
    <w:rsid w:val="00CF6487"/>
    <w:rsid w:val="00CF6CCE"/>
    <w:rsid w:val="00D00430"/>
    <w:rsid w:val="00D00C36"/>
    <w:rsid w:val="00D01062"/>
    <w:rsid w:val="00D0145D"/>
    <w:rsid w:val="00D01D24"/>
    <w:rsid w:val="00D02424"/>
    <w:rsid w:val="00D02B96"/>
    <w:rsid w:val="00D02C44"/>
    <w:rsid w:val="00D02C55"/>
    <w:rsid w:val="00D04DB4"/>
    <w:rsid w:val="00D07A16"/>
    <w:rsid w:val="00D10488"/>
    <w:rsid w:val="00D11979"/>
    <w:rsid w:val="00D12DE0"/>
    <w:rsid w:val="00D12F7C"/>
    <w:rsid w:val="00D14E81"/>
    <w:rsid w:val="00D15E55"/>
    <w:rsid w:val="00D1647F"/>
    <w:rsid w:val="00D16C96"/>
    <w:rsid w:val="00D17862"/>
    <w:rsid w:val="00D20E63"/>
    <w:rsid w:val="00D20F61"/>
    <w:rsid w:val="00D20F95"/>
    <w:rsid w:val="00D233B0"/>
    <w:rsid w:val="00D244EF"/>
    <w:rsid w:val="00D33493"/>
    <w:rsid w:val="00D341D3"/>
    <w:rsid w:val="00D3779C"/>
    <w:rsid w:val="00D37DCA"/>
    <w:rsid w:val="00D40A38"/>
    <w:rsid w:val="00D415D6"/>
    <w:rsid w:val="00D468AF"/>
    <w:rsid w:val="00D47B22"/>
    <w:rsid w:val="00D47ED5"/>
    <w:rsid w:val="00D54373"/>
    <w:rsid w:val="00D5675B"/>
    <w:rsid w:val="00D570F6"/>
    <w:rsid w:val="00D57902"/>
    <w:rsid w:val="00D62225"/>
    <w:rsid w:val="00D6331C"/>
    <w:rsid w:val="00D643A9"/>
    <w:rsid w:val="00D65135"/>
    <w:rsid w:val="00D65B36"/>
    <w:rsid w:val="00D65D20"/>
    <w:rsid w:val="00D6674B"/>
    <w:rsid w:val="00D66BEF"/>
    <w:rsid w:val="00D67A04"/>
    <w:rsid w:val="00D70444"/>
    <w:rsid w:val="00D72680"/>
    <w:rsid w:val="00D7272A"/>
    <w:rsid w:val="00D744AC"/>
    <w:rsid w:val="00D74519"/>
    <w:rsid w:val="00D745DA"/>
    <w:rsid w:val="00D74CB2"/>
    <w:rsid w:val="00D77DA5"/>
    <w:rsid w:val="00D77FBB"/>
    <w:rsid w:val="00D81704"/>
    <w:rsid w:val="00D8188C"/>
    <w:rsid w:val="00D81CAD"/>
    <w:rsid w:val="00D81CC8"/>
    <w:rsid w:val="00D82FBC"/>
    <w:rsid w:val="00D8387E"/>
    <w:rsid w:val="00D84420"/>
    <w:rsid w:val="00D85438"/>
    <w:rsid w:val="00D86057"/>
    <w:rsid w:val="00D8732D"/>
    <w:rsid w:val="00D908CA"/>
    <w:rsid w:val="00D90D66"/>
    <w:rsid w:val="00D924B4"/>
    <w:rsid w:val="00D927DB"/>
    <w:rsid w:val="00D937C2"/>
    <w:rsid w:val="00D93B84"/>
    <w:rsid w:val="00D957E5"/>
    <w:rsid w:val="00D95DCA"/>
    <w:rsid w:val="00D9684E"/>
    <w:rsid w:val="00DA0048"/>
    <w:rsid w:val="00DA0D76"/>
    <w:rsid w:val="00DA1274"/>
    <w:rsid w:val="00DA133C"/>
    <w:rsid w:val="00DA1AC7"/>
    <w:rsid w:val="00DA1AF3"/>
    <w:rsid w:val="00DA284A"/>
    <w:rsid w:val="00DA2B1D"/>
    <w:rsid w:val="00DA2C5A"/>
    <w:rsid w:val="00DA30A3"/>
    <w:rsid w:val="00DA4678"/>
    <w:rsid w:val="00DA5E9D"/>
    <w:rsid w:val="00DA6E17"/>
    <w:rsid w:val="00DB415A"/>
    <w:rsid w:val="00DB418A"/>
    <w:rsid w:val="00DB424E"/>
    <w:rsid w:val="00DB673A"/>
    <w:rsid w:val="00DB6E44"/>
    <w:rsid w:val="00DB7EE7"/>
    <w:rsid w:val="00DC0474"/>
    <w:rsid w:val="00DC0CCE"/>
    <w:rsid w:val="00DC0F87"/>
    <w:rsid w:val="00DC288A"/>
    <w:rsid w:val="00DC3E82"/>
    <w:rsid w:val="00DC529B"/>
    <w:rsid w:val="00DC567E"/>
    <w:rsid w:val="00DD05FD"/>
    <w:rsid w:val="00DD1B7A"/>
    <w:rsid w:val="00DD43B9"/>
    <w:rsid w:val="00DD44F3"/>
    <w:rsid w:val="00DD563C"/>
    <w:rsid w:val="00DE06EE"/>
    <w:rsid w:val="00DE0781"/>
    <w:rsid w:val="00DE35EF"/>
    <w:rsid w:val="00DE39F3"/>
    <w:rsid w:val="00DE4782"/>
    <w:rsid w:val="00DE75D8"/>
    <w:rsid w:val="00DF0141"/>
    <w:rsid w:val="00DF0807"/>
    <w:rsid w:val="00DF0BDE"/>
    <w:rsid w:val="00DF2DA3"/>
    <w:rsid w:val="00DF2E0C"/>
    <w:rsid w:val="00DF2E2F"/>
    <w:rsid w:val="00DF4740"/>
    <w:rsid w:val="00DF513B"/>
    <w:rsid w:val="00DF59B0"/>
    <w:rsid w:val="00DF5DD6"/>
    <w:rsid w:val="00DF65B0"/>
    <w:rsid w:val="00DF6E38"/>
    <w:rsid w:val="00DF71E8"/>
    <w:rsid w:val="00DF7B01"/>
    <w:rsid w:val="00E00A36"/>
    <w:rsid w:val="00E0352C"/>
    <w:rsid w:val="00E03A60"/>
    <w:rsid w:val="00E03A81"/>
    <w:rsid w:val="00E04A64"/>
    <w:rsid w:val="00E04E5E"/>
    <w:rsid w:val="00E0687B"/>
    <w:rsid w:val="00E07BB2"/>
    <w:rsid w:val="00E11E1A"/>
    <w:rsid w:val="00E1274E"/>
    <w:rsid w:val="00E127B8"/>
    <w:rsid w:val="00E129BE"/>
    <w:rsid w:val="00E12C95"/>
    <w:rsid w:val="00E13157"/>
    <w:rsid w:val="00E13B21"/>
    <w:rsid w:val="00E14566"/>
    <w:rsid w:val="00E14851"/>
    <w:rsid w:val="00E14911"/>
    <w:rsid w:val="00E16127"/>
    <w:rsid w:val="00E215F5"/>
    <w:rsid w:val="00E21B92"/>
    <w:rsid w:val="00E22660"/>
    <w:rsid w:val="00E23255"/>
    <w:rsid w:val="00E232E0"/>
    <w:rsid w:val="00E23A5B"/>
    <w:rsid w:val="00E2430C"/>
    <w:rsid w:val="00E24971"/>
    <w:rsid w:val="00E264D0"/>
    <w:rsid w:val="00E3008E"/>
    <w:rsid w:val="00E3030C"/>
    <w:rsid w:val="00E31FDF"/>
    <w:rsid w:val="00E32EAF"/>
    <w:rsid w:val="00E33E61"/>
    <w:rsid w:val="00E3411E"/>
    <w:rsid w:val="00E34BF8"/>
    <w:rsid w:val="00E35145"/>
    <w:rsid w:val="00E41953"/>
    <w:rsid w:val="00E42332"/>
    <w:rsid w:val="00E42518"/>
    <w:rsid w:val="00E441D0"/>
    <w:rsid w:val="00E4428D"/>
    <w:rsid w:val="00E449D7"/>
    <w:rsid w:val="00E44A93"/>
    <w:rsid w:val="00E44F7F"/>
    <w:rsid w:val="00E46372"/>
    <w:rsid w:val="00E47516"/>
    <w:rsid w:val="00E47B96"/>
    <w:rsid w:val="00E50CC8"/>
    <w:rsid w:val="00E51FE8"/>
    <w:rsid w:val="00E5244F"/>
    <w:rsid w:val="00E52E80"/>
    <w:rsid w:val="00E541AE"/>
    <w:rsid w:val="00E545AB"/>
    <w:rsid w:val="00E54D94"/>
    <w:rsid w:val="00E55E57"/>
    <w:rsid w:val="00E56249"/>
    <w:rsid w:val="00E573AE"/>
    <w:rsid w:val="00E5796A"/>
    <w:rsid w:val="00E60BD4"/>
    <w:rsid w:val="00E61576"/>
    <w:rsid w:val="00E64E75"/>
    <w:rsid w:val="00E64EF1"/>
    <w:rsid w:val="00E64F24"/>
    <w:rsid w:val="00E664F4"/>
    <w:rsid w:val="00E67ACE"/>
    <w:rsid w:val="00E67BA7"/>
    <w:rsid w:val="00E70E89"/>
    <w:rsid w:val="00E7248E"/>
    <w:rsid w:val="00E7273C"/>
    <w:rsid w:val="00E72CF6"/>
    <w:rsid w:val="00E755C6"/>
    <w:rsid w:val="00E757FD"/>
    <w:rsid w:val="00E77FB7"/>
    <w:rsid w:val="00E80B6E"/>
    <w:rsid w:val="00E8280B"/>
    <w:rsid w:val="00E82A23"/>
    <w:rsid w:val="00E84140"/>
    <w:rsid w:val="00E85499"/>
    <w:rsid w:val="00E91967"/>
    <w:rsid w:val="00E9196B"/>
    <w:rsid w:val="00E938E4"/>
    <w:rsid w:val="00E93D69"/>
    <w:rsid w:val="00E94FA8"/>
    <w:rsid w:val="00E95609"/>
    <w:rsid w:val="00EA1384"/>
    <w:rsid w:val="00EA5B29"/>
    <w:rsid w:val="00EA6AD2"/>
    <w:rsid w:val="00EA75FC"/>
    <w:rsid w:val="00EA774E"/>
    <w:rsid w:val="00EB0270"/>
    <w:rsid w:val="00EB1B4B"/>
    <w:rsid w:val="00EB2928"/>
    <w:rsid w:val="00EB29C2"/>
    <w:rsid w:val="00EB3323"/>
    <w:rsid w:val="00EB4FD7"/>
    <w:rsid w:val="00EB5A06"/>
    <w:rsid w:val="00EB6B1C"/>
    <w:rsid w:val="00EC1A06"/>
    <w:rsid w:val="00EC21F8"/>
    <w:rsid w:val="00EC2519"/>
    <w:rsid w:val="00EC564B"/>
    <w:rsid w:val="00EC6F58"/>
    <w:rsid w:val="00EC73A6"/>
    <w:rsid w:val="00ED02AB"/>
    <w:rsid w:val="00ED04CB"/>
    <w:rsid w:val="00ED072A"/>
    <w:rsid w:val="00ED2812"/>
    <w:rsid w:val="00ED2CA9"/>
    <w:rsid w:val="00ED4634"/>
    <w:rsid w:val="00ED7CB3"/>
    <w:rsid w:val="00EE1123"/>
    <w:rsid w:val="00EE1706"/>
    <w:rsid w:val="00EE2B51"/>
    <w:rsid w:val="00EE3A4F"/>
    <w:rsid w:val="00EE5E20"/>
    <w:rsid w:val="00EE6D2C"/>
    <w:rsid w:val="00EF0C91"/>
    <w:rsid w:val="00EF1AC9"/>
    <w:rsid w:val="00EF1E38"/>
    <w:rsid w:val="00EF2660"/>
    <w:rsid w:val="00EF26A2"/>
    <w:rsid w:val="00EF4465"/>
    <w:rsid w:val="00EF6DC4"/>
    <w:rsid w:val="00F00237"/>
    <w:rsid w:val="00F021A1"/>
    <w:rsid w:val="00F02E1C"/>
    <w:rsid w:val="00F035DF"/>
    <w:rsid w:val="00F0408E"/>
    <w:rsid w:val="00F04F6C"/>
    <w:rsid w:val="00F06892"/>
    <w:rsid w:val="00F079E9"/>
    <w:rsid w:val="00F10B56"/>
    <w:rsid w:val="00F13BE8"/>
    <w:rsid w:val="00F14072"/>
    <w:rsid w:val="00F156F7"/>
    <w:rsid w:val="00F1626B"/>
    <w:rsid w:val="00F1668A"/>
    <w:rsid w:val="00F174C3"/>
    <w:rsid w:val="00F23D13"/>
    <w:rsid w:val="00F23F93"/>
    <w:rsid w:val="00F246D9"/>
    <w:rsid w:val="00F25D3B"/>
    <w:rsid w:val="00F269DE"/>
    <w:rsid w:val="00F26A4B"/>
    <w:rsid w:val="00F31636"/>
    <w:rsid w:val="00F32489"/>
    <w:rsid w:val="00F3262B"/>
    <w:rsid w:val="00F3497A"/>
    <w:rsid w:val="00F364E7"/>
    <w:rsid w:val="00F3676C"/>
    <w:rsid w:val="00F376E3"/>
    <w:rsid w:val="00F37ED4"/>
    <w:rsid w:val="00F40125"/>
    <w:rsid w:val="00F40A46"/>
    <w:rsid w:val="00F41D12"/>
    <w:rsid w:val="00F4252F"/>
    <w:rsid w:val="00F44851"/>
    <w:rsid w:val="00F45235"/>
    <w:rsid w:val="00F47443"/>
    <w:rsid w:val="00F47637"/>
    <w:rsid w:val="00F500C1"/>
    <w:rsid w:val="00F50B3C"/>
    <w:rsid w:val="00F5592A"/>
    <w:rsid w:val="00F57E9D"/>
    <w:rsid w:val="00F61B44"/>
    <w:rsid w:val="00F64E58"/>
    <w:rsid w:val="00F667E2"/>
    <w:rsid w:val="00F66E1A"/>
    <w:rsid w:val="00F67D86"/>
    <w:rsid w:val="00F67FB9"/>
    <w:rsid w:val="00F71EBB"/>
    <w:rsid w:val="00F728DA"/>
    <w:rsid w:val="00F75558"/>
    <w:rsid w:val="00F75858"/>
    <w:rsid w:val="00F7687A"/>
    <w:rsid w:val="00F76BE4"/>
    <w:rsid w:val="00F7791C"/>
    <w:rsid w:val="00F80AA4"/>
    <w:rsid w:val="00F82BCA"/>
    <w:rsid w:val="00F82EFE"/>
    <w:rsid w:val="00F8310A"/>
    <w:rsid w:val="00F831A4"/>
    <w:rsid w:val="00F8554D"/>
    <w:rsid w:val="00F86A91"/>
    <w:rsid w:val="00F87FA8"/>
    <w:rsid w:val="00F9040D"/>
    <w:rsid w:val="00F904CB"/>
    <w:rsid w:val="00F91FA3"/>
    <w:rsid w:val="00F92213"/>
    <w:rsid w:val="00F92D70"/>
    <w:rsid w:val="00F942E8"/>
    <w:rsid w:val="00F94644"/>
    <w:rsid w:val="00F95236"/>
    <w:rsid w:val="00F961FC"/>
    <w:rsid w:val="00FA1B65"/>
    <w:rsid w:val="00FA1F0A"/>
    <w:rsid w:val="00FA397B"/>
    <w:rsid w:val="00FA3D4E"/>
    <w:rsid w:val="00FA52AD"/>
    <w:rsid w:val="00FA5310"/>
    <w:rsid w:val="00FA5BF7"/>
    <w:rsid w:val="00FA619D"/>
    <w:rsid w:val="00FB0040"/>
    <w:rsid w:val="00FB0059"/>
    <w:rsid w:val="00FB192D"/>
    <w:rsid w:val="00FB1F9D"/>
    <w:rsid w:val="00FB2378"/>
    <w:rsid w:val="00FB2D0F"/>
    <w:rsid w:val="00FB4E60"/>
    <w:rsid w:val="00FB6CB5"/>
    <w:rsid w:val="00FC1085"/>
    <w:rsid w:val="00FC25C8"/>
    <w:rsid w:val="00FC2F80"/>
    <w:rsid w:val="00FC3F6C"/>
    <w:rsid w:val="00FC4ACC"/>
    <w:rsid w:val="00FC724E"/>
    <w:rsid w:val="00FC781B"/>
    <w:rsid w:val="00FD0892"/>
    <w:rsid w:val="00FD23B4"/>
    <w:rsid w:val="00FD2CDF"/>
    <w:rsid w:val="00FD45EE"/>
    <w:rsid w:val="00FD49C1"/>
    <w:rsid w:val="00FD57B0"/>
    <w:rsid w:val="00FD582A"/>
    <w:rsid w:val="00FD6782"/>
    <w:rsid w:val="00FD6AD2"/>
    <w:rsid w:val="00FD710A"/>
    <w:rsid w:val="00FD73C7"/>
    <w:rsid w:val="00FE0E53"/>
    <w:rsid w:val="00FE2381"/>
    <w:rsid w:val="00FE5ADC"/>
    <w:rsid w:val="00FF1629"/>
    <w:rsid w:val="00FF242B"/>
    <w:rsid w:val="00FF316C"/>
    <w:rsid w:val="00FF3986"/>
    <w:rsid w:val="00FF6495"/>
    <w:rsid w:val="00FF75FE"/>
    <w:rsid w:val="00FFF8D8"/>
    <w:rsid w:val="011AB3CC"/>
    <w:rsid w:val="016501B9"/>
    <w:rsid w:val="016ECC7E"/>
    <w:rsid w:val="017CACDD"/>
    <w:rsid w:val="01B4927B"/>
    <w:rsid w:val="01B62CBF"/>
    <w:rsid w:val="0244FA7E"/>
    <w:rsid w:val="02AB1D2E"/>
    <w:rsid w:val="03600BEF"/>
    <w:rsid w:val="0385A2B1"/>
    <w:rsid w:val="03E1E601"/>
    <w:rsid w:val="042FBC9E"/>
    <w:rsid w:val="04C5761F"/>
    <w:rsid w:val="04D5C1A2"/>
    <w:rsid w:val="0523D516"/>
    <w:rsid w:val="0524E670"/>
    <w:rsid w:val="0550D90F"/>
    <w:rsid w:val="05C222BD"/>
    <w:rsid w:val="05FC4720"/>
    <w:rsid w:val="06674DEE"/>
    <w:rsid w:val="0690AA2C"/>
    <w:rsid w:val="07115355"/>
    <w:rsid w:val="0717C12D"/>
    <w:rsid w:val="076D31D6"/>
    <w:rsid w:val="0774D847"/>
    <w:rsid w:val="07A24C98"/>
    <w:rsid w:val="080493AE"/>
    <w:rsid w:val="081285D4"/>
    <w:rsid w:val="08ACED20"/>
    <w:rsid w:val="08B5241B"/>
    <w:rsid w:val="08C6E28E"/>
    <w:rsid w:val="08D6DD0A"/>
    <w:rsid w:val="0901026B"/>
    <w:rsid w:val="0918D47A"/>
    <w:rsid w:val="0965BE6C"/>
    <w:rsid w:val="09673C28"/>
    <w:rsid w:val="0977FB32"/>
    <w:rsid w:val="09FC5DEB"/>
    <w:rsid w:val="0A6016FF"/>
    <w:rsid w:val="0A7D8530"/>
    <w:rsid w:val="0AA4F81E"/>
    <w:rsid w:val="0AB4657D"/>
    <w:rsid w:val="0AD4606A"/>
    <w:rsid w:val="0AF6F581"/>
    <w:rsid w:val="0B52CF1F"/>
    <w:rsid w:val="0B93172D"/>
    <w:rsid w:val="0BD7D387"/>
    <w:rsid w:val="0C0491F0"/>
    <w:rsid w:val="0C07DF84"/>
    <w:rsid w:val="0C67A085"/>
    <w:rsid w:val="0C76CEFD"/>
    <w:rsid w:val="0C97F00B"/>
    <w:rsid w:val="0D35263A"/>
    <w:rsid w:val="0D77E7E8"/>
    <w:rsid w:val="0D8CC9A9"/>
    <w:rsid w:val="0DBBF40E"/>
    <w:rsid w:val="0DC56329"/>
    <w:rsid w:val="0E38ADED"/>
    <w:rsid w:val="0EDD3A24"/>
    <w:rsid w:val="0EF9447F"/>
    <w:rsid w:val="0F1DE9AE"/>
    <w:rsid w:val="0F559946"/>
    <w:rsid w:val="0F6C70AB"/>
    <w:rsid w:val="0FDB84BB"/>
    <w:rsid w:val="0FE4F849"/>
    <w:rsid w:val="10424CFC"/>
    <w:rsid w:val="1044A1D4"/>
    <w:rsid w:val="106C6632"/>
    <w:rsid w:val="1097B42B"/>
    <w:rsid w:val="10A527FA"/>
    <w:rsid w:val="10B76D0F"/>
    <w:rsid w:val="1101B873"/>
    <w:rsid w:val="1174A0E5"/>
    <w:rsid w:val="11C6C923"/>
    <w:rsid w:val="11EBDBFE"/>
    <w:rsid w:val="11EDF315"/>
    <w:rsid w:val="1257F471"/>
    <w:rsid w:val="12A3229C"/>
    <w:rsid w:val="130919B0"/>
    <w:rsid w:val="130B7A7D"/>
    <w:rsid w:val="13206685"/>
    <w:rsid w:val="139E751E"/>
    <w:rsid w:val="13AFE440"/>
    <w:rsid w:val="13D5D483"/>
    <w:rsid w:val="144C38E4"/>
    <w:rsid w:val="14810D83"/>
    <w:rsid w:val="14A3FD57"/>
    <w:rsid w:val="14A4DAAC"/>
    <w:rsid w:val="14FA18FF"/>
    <w:rsid w:val="154E5741"/>
    <w:rsid w:val="15875A1D"/>
    <w:rsid w:val="15920E0D"/>
    <w:rsid w:val="15B0AC6C"/>
    <w:rsid w:val="160D5684"/>
    <w:rsid w:val="164878B0"/>
    <w:rsid w:val="16B16FC7"/>
    <w:rsid w:val="171748B2"/>
    <w:rsid w:val="1766F567"/>
    <w:rsid w:val="17769885"/>
    <w:rsid w:val="17E18D87"/>
    <w:rsid w:val="180E7B24"/>
    <w:rsid w:val="184B80CE"/>
    <w:rsid w:val="18955842"/>
    <w:rsid w:val="18F5A91F"/>
    <w:rsid w:val="1949D363"/>
    <w:rsid w:val="199C7EF3"/>
    <w:rsid w:val="199E5AE9"/>
    <w:rsid w:val="19AC83F5"/>
    <w:rsid w:val="19AFDF18"/>
    <w:rsid w:val="19D2D707"/>
    <w:rsid w:val="1A5ACBB0"/>
    <w:rsid w:val="1AC51E72"/>
    <w:rsid w:val="1ACE1217"/>
    <w:rsid w:val="1B277695"/>
    <w:rsid w:val="1B759236"/>
    <w:rsid w:val="1B848752"/>
    <w:rsid w:val="1B9B323B"/>
    <w:rsid w:val="1BB7B24B"/>
    <w:rsid w:val="1BFABB67"/>
    <w:rsid w:val="1C1956E6"/>
    <w:rsid w:val="1C2A08E2"/>
    <w:rsid w:val="1C2EFD9C"/>
    <w:rsid w:val="1C6943A8"/>
    <w:rsid w:val="1CA5687F"/>
    <w:rsid w:val="1CAF89A3"/>
    <w:rsid w:val="1CBE4B1C"/>
    <w:rsid w:val="1CD3E91C"/>
    <w:rsid w:val="1CEE61DC"/>
    <w:rsid w:val="1D050B7C"/>
    <w:rsid w:val="1D19E7F9"/>
    <w:rsid w:val="1D45C9E3"/>
    <w:rsid w:val="1D47486C"/>
    <w:rsid w:val="1DD8F636"/>
    <w:rsid w:val="1E02235F"/>
    <w:rsid w:val="1E7B354A"/>
    <w:rsid w:val="1E9AAD07"/>
    <w:rsid w:val="1ED98F04"/>
    <w:rsid w:val="1EE48107"/>
    <w:rsid w:val="1F3A2D4C"/>
    <w:rsid w:val="1F6220A4"/>
    <w:rsid w:val="1F6A38C1"/>
    <w:rsid w:val="1F7B70D6"/>
    <w:rsid w:val="1FE152DA"/>
    <w:rsid w:val="1FF9DE45"/>
    <w:rsid w:val="200EB28E"/>
    <w:rsid w:val="203038E3"/>
    <w:rsid w:val="203070DF"/>
    <w:rsid w:val="206580FB"/>
    <w:rsid w:val="20809492"/>
    <w:rsid w:val="20EA1AAA"/>
    <w:rsid w:val="20F996D2"/>
    <w:rsid w:val="21D61AFE"/>
    <w:rsid w:val="226D491D"/>
    <w:rsid w:val="22711B3F"/>
    <w:rsid w:val="22DD5E03"/>
    <w:rsid w:val="2312394D"/>
    <w:rsid w:val="2318517C"/>
    <w:rsid w:val="2327031D"/>
    <w:rsid w:val="23883361"/>
    <w:rsid w:val="23959C4B"/>
    <w:rsid w:val="2397B53D"/>
    <w:rsid w:val="23FC4EE7"/>
    <w:rsid w:val="24812B81"/>
    <w:rsid w:val="248D4022"/>
    <w:rsid w:val="2498F86E"/>
    <w:rsid w:val="24AD3614"/>
    <w:rsid w:val="24CAFEC9"/>
    <w:rsid w:val="251ADDBD"/>
    <w:rsid w:val="254DD8CC"/>
    <w:rsid w:val="25BA0534"/>
    <w:rsid w:val="25EEB893"/>
    <w:rsid w:val="2624F656"/>
    <w:rsid w:val="26C42E2D"/>
    <w:rsid w:val="26C6C159"/>
    <w:rsid w:val="26F94BD9"/>
    <w:rsid w:val="2709C58E"/>
    <w:rsid w:val="2770BFFA"/>
    <w:rsid w:val="27C5A9FC"/>
    <w:rsid w:val="27D6305F"/>
    <w:rsid w:val="2884358C"/>
    <w:rsid w:val="2887CB5E"/>
    <w:rsid w:val="28CE1D7E"/>
    <w:rsid w:val="28DAFF7F"/>
    <w:rsid w:val="290366F3"/>
    <w:rsid w:val="2911D882"/>
    <w:rsid w:val="29331127"/>
    <w:rsid w:val="29DA1CBE"/>
    <w:rsid w:val="29F2A10E"/>
    <w:rsid w:val="2A06C9AF"/>
    <w:rsid w:val="2A18E30B"/>
    <w:rsid w:val="2A8933CB"/>
    <w:rsid w:val="2AC39A05"/>
    <w:rsid w:val="2B6CF6E1"/>
    <w:rsid w:val="2BC7882B"/>
    <w:rsid w:val="2BDEA1C4"/>
    <w:rsid w:val="2C22D4C3"/>
    <w:rsid w:val="2D07AF09"/>
    <w:rsid w:val="2DC17CD3"/>
    <w:rsid w:val="2DDAD532"/>
    <w:rsid w:val="2E40EF1B"/>
    <w:rsid w:val="2ECE48E8"/>
    <w:rsid w:val="2EFA9EC9"/>
    <w:rsid w:val="2F2105BB"/>
    <w:rsid w:val="2F3FFC15"/>
    <w:rsid w:val="2FA236F4"/>
    <w:rsid w:val="2FAE3C6E"/>
    <w:rsid w:val="2FBF427F"/>
    <w:rsid w:val="2FDDD289"/>
    <w:rsid w:val="2FE01F9E"/>
    <w:rsid w:val="30535C1F"/>
    <w:rsid w:val="306686DB"/>
    <w:rsid w:val="311AE86E"/>
    <w:rsid w:val="316C84E7"/>
    <w:rsid w:val="31776A5E"/>
    <w:rsid w:val="3198C9A4"/>
    <w:rsid w:val="31A74245"/>
    <w:rsid w:val="323088C1"/>
    <w:rsid w:val="3231DC9B"/>
    <w:rsid w:val="326D24AF"/>
    <w:rsid w:val="32DF0617"/>
    <w:rsid w:val="33659261"/>
    <w:rsid w:val="33BE3FF7"/>
    <w:rsid w:val="33C453DD"/>
    <w:rsid w:val="3449673A"/>
    <w:rsid w:val="3449AA6C"/>
    <w:rsid w:val="345C684E"/>
    <w:rsid w:val="34B4162B"/>
    <w:rsid w:val="34C728A6"/>
    <w:rsid w:val="34F472F9"/>
    <w:rsid w:val="35C11C42"/>
    <w:rsid w:val="35ECFB61"/>
    <w:rsid w:val="3600AADF"/>
    <w:rsid w:val="361767C2"/>
    <w:rsid w:val="3617D95D"/>
    <w:rsid w:val="364930FC"/>
    <w:rsid w:val="369B4D33"/>
    <w:rsid w:val="36F697CC"/>
    <w:rsid w:val="3702530C"/>
    <w:rsid w:val="378C2E51"/>
    <w:rsid w:val="37BB7B3A"/>
    <w:rsid w:val="382BFC8A"/>
    <w:rsid w:val="384A5266"/>
    <w:rsid w:val="387A5703"/>
    <w:rsid w:val="38A0F991"/>
    <w:rsid w:val="38AEE170"/>
    <w:rsid w:val="38BEC5E0"/>
    <w:rsid w:val="38CBA117"/>
    <w:rsid w:val="38E6E5DB"/>
    <w:rsid w:val="38FFC2C7"/>
    <w:rsid w:val="39313C98"/>
    <w:rsid w:val="3970360F"/>
    <w:rsid w:val="397D125A"/>
    <w:rsid w:val="39961789"/>
    <w:rsid w:val="3A0096E8"/>
    <w:rsid w:val="3A0299CF"/>
    <w:rsid w:val="3A8DB701"/>
    <w:rsid w:val="3A98E7A2"/>
    <w:rsid w:val="3AD49DE1"/>
    <w:rsid w:val="3B060AC8"/>
    <w:rsid w:val="3B0DA404"/>
    <w:rsid w:val="3B1A178D"/>
    <w:rsid w:val="3B4D7B4D"/>
    <w:rsid w:val="3B580F8B"/>
    <w:rsid w:val="3B7DE72A"/>
    <w:rsid w:val="3B82997F"/>
    <w:rsid w:val="3B8A8C69"/>
    <w:rsid w:val="3BA16F71"/>
    <w:rsid w:val="3BD108B6"/>
    <w:rsid w:val="3C17A56A"/>
    <w:rsid w:val="3C41BCE1"/>
    <w:rsid w:val="3C430029"/>
    <w:rsid w:val="3C895263"/>
    <w:rsid w:val="3CC3710B"/>
    <w:rsid w:val="3D0849E9"/>
    <w:rsid w:val="3D1BDAD5"/>
    <w:rsid w:val="3DA42B81"/>
    <w:rsid w:val="3DD2A7CB"/>
    <w:rsid w:val="3E4CC20D"/>
    <w:rsid w:val="3F055BB4"/>
    <w:rsid w:val="3F1C66AC"/>
    <w:rsid w:val="3F27C56F"/>
    <w:rsid w:val="3F50390E"/>
    <w:rsid w:val="3F60DE8F"/>
    <w:rsid w:val="3F89E448"/>
    <w:rsid w:val="3FDC543D"/>
    <w:rsid w:val="3FDF0BDB"/>
    <w:rsid w:val="3FFAABF2"/>
    <w:rsid w:val="40AABB93"/>
    <w:rsid w:val="40C123C9"/>
    <w:rsid w:val="40C3BDA1"/>
    <w:rsid w:val="40DBC75A"/>
    <w:rsid w:val="40E6271C"/>
    <w:rsid w:val="410A0088"/>
    <w:rsid w:val="4142DD9C"/>
    <w:rsid w:val="416E6AAD"/>
    <w:rsid w:val="41708D48"/>
    <w:rsid w:val="419E582E"/>
    <w:rsid w:val="41C83E51"/>
    <w:rsid w:val="41CBCF7B"/>
    <w:rsid w:val="41D5C4E4"/>
    <w:rsid w:val="423AAB40"/>
    <w:rsid w:val="4245A6BA"/>
    <w:rsid w:val="426B348E"/>
    <w:rsid w:val="428BD393"/>
    <w:rsid w:val="42A34FAC"/>
    <w:rsid w:val="42A96E81"/>
    <w:rsid w:val="4305277A"/>
    <w:rsid w:val="4345D3F8"/>
    <w:rsid w:val="435F0D2E"/>
    <w:rsid w:val="43A46ECB"/>
    <w:rsid w:val="43ACE6B4"/>
    <w:rsid w:val="4403C776"/>
    <w:rsid w:val="448A0F5F"/>
    <w:rsid w:val="4497435E"/>
    <w:rsid w:val="44D7080B"/>
    <w:rsid w:val="44EDA72B"/>
    <w:rsid w:val="45445B55"/>
    <w:rsid w:val="454B2135"/>
    <w:rsid w:val="455909EF"/>
    <w:rsid w:val="455F5D30"/>
    <w:rsid w:val="4564ADC0"/>
    <w:rsid w:val="458D4149"/>
    <w:rsid w:val="458F4599"/>
    <w:rsid w:val="459E6E23"/>
    <w:rsid w:val="45C5562D"/>
    <w:rsid w:val="45F72A8B"/>
    <w:rsid w:val="4674AC6B"/>
    <w:rsid w:val="469475BC"/>
    <w:rsid w:val="4699602C"/>
    <w:rsid w:val="46C599AA"/>
    <w:rsid w:val="4738487E"/>
    <w:rsid w:val="47904EF1"/>
    <w:rsid w:val="47F83F91"/>
    <w:rsid w:val="48C68826"/>
    <w:rsid w:val="48F3BC1D"/>
    <w:rsid w:val="4929FFDF"/>
    <w:rsid w:val="49479809"/>
    <w:rsid w:val="494FE1AB"/>
    <w:rsid w:val="496A01F2"/>
    <w:rsid w:val="49B7CEE8"/>
    <w:rsid w:val="49DC919F"/>
    <w:rsid w:val="49DCB621"/>
    <w:rsid w:val="49E3250D"/>
    <w:rsid w:val="49EE5E38"/>
    <w:rsid w:val="49F22F35"/>
    <w:rsid w:val="49FD3B56"/>
    <w:rsid w:val="4A0261DC"/>
    <w:rsid w:val="4A42A836"/>
    <w:rsid w:val="4AB313D3"/>
    <w:rsid w:val="4AD0FEED"/>
    <w:rsid w:val="4AD2EB9D"/>
    <w:rsid w:val="4B084D51"/>
    <w:rsid w:val="4B1ED646"/>
    <w:rsid w:val="4BCBA863"/>
    <w:rsid w:val="4BECB06B"/>
    <w:rsid w:val="4C62E07E"/>
    <w:rsid w:val="4CAB017A"/>
    <w:rsid w:val="4CC30ECF"/>
    <w:rsid w:val="4CFB0010"/>
    <w:rsid w:val="4D7AF805"/>
    <w:rsid w:val="4DB4A89C"/>
    <w:rsid w:val="4DB9C5F7"/>
    <w:rsid w:val="4DC1214D"/>
    <w:rsid w:val="4DE73EA3"/>
    <w:rsid w:val="4DE78897"/>
    <w:rsid w:val="4E2476C5"/>
    <w:rsid w:val="4E2D5C16"/>
    <w:rsid w:val="4E409667"/>
    <w:rsid w:val="4E65E0E5"/>
    <w:rsid w:val="4E9911FE"/>
    <w:rsid w:val="4EBDC293"/>
    <w:rsid w:val="4ECDC554"/>
    <w:rsid w:val="4EE75588"/>
    <w:rsid w:val="4F52050F"/>
    <w:rsid w:val="5029C841"/>
    <w:rsid w:val="5059FEB3"/>
    <w:rsid w:val="50EAECC7"/>
    <w:rsid w:val="518CA2A1"/>
    <w:rsid w:val="51993A90"/>
    <w:rsid w:val="51A8D1E2"/>
    <w:rsid w:val="51B4C246"/>
    <w:rsid w:val="51EA5650"/>
    <w:rsid w:val="52146470"/>
    <w:rsid w:val="52893444"/>
    <w:rsid w:val="52981498"/>
    <w:rsid w:val="52B27170"/>
    <w:rsid w:val="52D3F150"/>
    <w:rsid w:val="52EFB907"/>
    <w:rsid w:val="533244DC"/>
    <w:rsid w:val="539F746C"/>
    <w:rsid w:val="53C46A6B"/>
    <w:rsid w:val="53C518D4"/>
    <w:rsid w:val="53D8B9E1"/>
    <w:rsid w:val="53DD500B"/>
    <w:rsid w:val="53FAC7EE"/>
    <w:rsid w:val="541652E3"/>
    <w:rsid w:val="544C41CB"/>
    <w:rsid w:val="54BEAE89"/>
    <w:rsid w:val="54BED12B"/>
    <w:rsid w:val="54BED905"/>
    <w:rsid w:val="54DB5B42"/>
    <w:rsid w:val="555A4A0F"/>
    <w:rsid w:val="55731605"/>
    <w:rsid w:val="566DCBB1"/>
    <w:rsid w:val="5781C961"/>
    <w:rsid w:val="57B093EE"/>
    <w:rsid w:val="582EC74F"/>
    <w:rsid w:val="58C6C5D5"/>
    <w:rsid w:val="594C4881"/>
    <w:rsid w:val="59D41222"/>
    <w:rsid w:val="59FFAFD5"/>
    <w:rsid w:val="5A26AAB5"/>
    <w:rsid w:val="5A3124AA"/>
    <w:rsid w:val="5A78BF38"/>
    <w:rsid w:val="5A99A1AD"/>
    <w:rsid w:val="5AC73AC9"/>
    <w:rsid w:val="5AF88D2B"/>
    <w:rsid w:val="5B56285D"/>
    <w:rsid w:val="5B759B29"/>
    <w:rsid w:val="5B810D38"/>
    <w:rsid w:val="5BE3FA18"/>
    <w:rsid w:val="5BF187B6"/>
    <w:rsid w:val="5C47E4A8"/>
    <w:rsid w:val="5C6812D1"/>
    <w:rsid w:val="5D5DD052"/>
    <w:rsid w:val="5E8AC11E"/>
    <w:rsid w:val="5EC30ACD"/>
    <w:rsid w:val="5EE672D2"/>
    <w:rsid w:val="5F101251"/>
    <w:rsid w:val="5F499F47"/>
    <w:rsid w:val="5F9666D0"/>
    <w:rsid w:val="5FCF975A"/>
    <w:rsid w:val="5FE1D715"/>
    <w:rsid w:val="605123E5"/>
    <w:rsid w:val="607F0CC4"/>
    <w:rsid w:val="608FC1A5"/>
    <w:rsid w:val="60D7DE34"/>
    <w:rsid w:val="60FBCDA5"/>
    <w:rsid w:val="610BC4E5"/>
    <w:rsid w:val="617F7F9C"/>
    <w:rsid w:val="618F9090"/>
    <w:rsid w:val="61AA31C1"/>
    <w:rsid w:val="61D69F36"/>
    <w:rsid w:val="61E86CF4"/>
    <w:rsid w:val="6239AC71"/>
    <w:rsid w:val="6239C072"/>
    <w:rsid w:val="623A5F47"/>
    <w:rsid w:val="626AA3B2"/>
    <w:rsid w:val="62989817"/>
    <w:rsid w:val="62E4BA38"/>
    <w:rsid w:val="6336FB2D"/>
    <w:rsid w:val="635C106F"/>
    <w:rsid w:val="63DDDD5E"/>
    <w:rsid w:val="63E8B208"/>
    <w:rsid w:val="643AD9A1"/>
    <w:rsid w:val="64414B39"/>
    <w:rsid w:val="64A9DE8B"/>
    <w:rsid w:val="64E00F38"/>
    <w:rsid w:val="64F18551"/>
    <w:rsid w:val="651EBF3A"/>
    <w:rsid w:val="65200D6A"/>
    <w:rsid w:val="6557BB51"/>
    <w:rsid w:val="6565F82D"/>
    <w:rsid w:val="65C1D78A"/>
    <w:rsid w:val="65C67343"/>
    <w:rsid w:val="6711313C"/>
    <w:rsid w:val="6745B8EC"/>
    <w:rsid w:val="677E76E1"/>
    <w:rsid w:val="6797DC53"/>
    <w:rsid w:val="67C5C8B0"/>
    <w:rsid w:val="67C917F7"/>
    <w:rsid w:val="67CABEC6"/>
    <w:rsid w:val="680B7042"/>
    <w:rsid w:val="6816C85D"/>
    <w:rsid w:val="68E9F06A"/>
    <w:rsid w:val="6A348EA3"/>
    <w:rsid w:val="6A74E6BB"/>
    <w:rsid w:val="6A8B758F"/>
    <w:rsid w:val="6A9384DD"/>
    <w:rsid w:val="6AAFC103"/>
    <w:rsid w:val="6AE8518B"/>
    <w:rsid w:val="6AFBB1CD"/>
    <w:rsid w:val="6B04FF8C"/>
    <w:rsid w:val="6B3CB496"/>
    <w:rsid w:val="6B86BCE4"/>
    <w:rsid w:val="6BC11EA6"/>
    <w:rsid w:val="6C1A1D1C"/>
    <w:rsid w:val="6C1C8C71"/>
    <w:rsid w:val="6C505D3F"/>
    <w:rsid w:val="6CA07EB8"/>
    <w:rsid w:val="6CF4E195"/>
    <w:rsid w:val="6D07E2DA"/>
    <w:rsid w:val="6D4C959F"/>
    <w:rsid w:val="6D659C2A"/>
    <w:rsid w:val="6D9C22C3"/>
    <w:rsid w:val="6DEA6B8B"/>
    <w:rsid w:val="6E7CA58E"/>
    <w:rsid w:val="6E9E7FB0"/>
    <w:rsid w:val="6EBB709F"/>
    <w:rsid w:val="6F4B8C21"/>
    <w:rsid w:val="6FE95D2E"/>
    <w:rsid w:val="704A711A"/>
    <w:rsid w:val="70628316"/>
    <w:rsid w:val="70A82A95"/>
    <w:rsid w:val="70F6E3B2"/>
    <w:rsid w:val="7111007E"/>
    <w:rsid w:val="71360626"/>
    <w:rsid w:val="71444D16"/>
    <w:rsid w:val="71520BF0"/>
    <w:rsid w:val="716A410E"/>
    <w:rsid w:val="717FE42A"/>
    <w:rsid w:val="718D328D"/>
    <w:rsid w:val="718F7C7E"/>
    <w:rsid w:val="71A208B7"/>
    <w:rsid w:val="722F4C5E"/>
    <w:rsid w:val="72534147"/>
    <w:rsid w:val="72AFB011"/>
    <w:rsid w:val="72B051D2"/>
    <w:rsid w:val="72C80500"/>
    <w:rsid w:val="72D897D5"/>
    <w:rsid w:val="7305F6CE"/>
    <w:rsid w:val="730A38D0"/>
    <w:rsid w:val="73117275"/>
    <w:rsid w:val="7324C410"/>
    <w:rsid w:val="735236F7"/>
    <w:rsid w:val="735C33A2"/>
    <w:rsid w:val="73DB43E4"/>
    <w:rsid w:val="73F0EC49"/>
    <w:rsid w:val="74865CFF"/>
    <w:rsid w:val="7497B70D"/>
    <w:rsid w:val="7554C73E"/>
    <w:rsid w:val="75DC34F7"/>
    <w:rsid w:val="76356B06"/>
    <w:rsid w:val="768A72FB"/>
    <w:rsid w:val="76B8F633"/>
    <w:rsid w:val="76DA2D4B"/>
    <w:rsid w:val="77711528"/>
    <w:rsid w:val="77C10666"/>
    <w:rsid w:val="780296B9"/>
    <w:rsid w:val="78413D28"/>
    <w:rsid w:val="784B3D9E"/>
    <w:rsid w:val="78672A67"/>
    <w:rsid w:val="78719B16"/>
    <w:rsid w:val="7927D649"/>
    <w:rsid w:val="79401B31"/>
    <w:rsid w:val="79F29CCA"/>
    <w:rsid w:val="7A0140A6"/>
    <w:rsid w:val="7A138CEB"/>
    <w:rsid w:val="7A4B0911"/>
    <w:rsid w:val="7A78AFF6"/>
    <w:rsid w:val="7AD82F94"/>
    <w:rsid w:val="7B0786C3"/>
    <w:rsid w:val="7B3485D2"/>
    <w:rsid w:val="7B93BEBE"/>
    <w:rsid w:val="7BAEF1A5"/>
    <w:rsid w:val="7C6A93E4"/>
    <w:rsid w:val="7C9AB96F"/>
    <w:rsid w:val="7CAF414C"/>
    <w:rsid w:val="7CC2302D"/>
    <w:rsid w:val="7CF14D79"/>
    <w:rsid w:val="7CF215DC"/>
    <w:rsid w:val="7CF53079"/>
    <w:rsid w:val="7D0825F4"/>
    <w:rsid w:val="7D089AD1"/>
    <w:rsid w:val="7D1F2C7A"/>
    <w:rsid w:val="7D204486"/>
    <w:rsid w:val="7D671284"/>
    <w:rsid w:val="7DB6DF38"/>
    <w:rsid w:val="7E0E1348"/>
    <w:rsid w:val="7E3C3ED0"/>
    <w:rsid w:val="7E4CF529"/>
    <w:rsid w:val="7E75A4EC"/>
    <w:rsid w:val="7E86FE60"/>
    <w:rsid w:val="7EB8EF5F"/>
    <w:rsid w:val="7ED165D4"/>
    <w:rsid w:val="7EDA1486"/>
    <w:rsid w:val="7EEDAE87"/>
    <w:rsid w:val="7F661B7D"/>
    <w:rsid w:val="7F6A9ACE"/>
    <w:rsid w:val="7FF5F1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6469F978-0998-4F53-A515-A911B41A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F4D"/>
    <w:rPr>
      <w:lang w:val="ro-RO" w:eastAsia="en-US"/>
    </w:rPr>
  </w:style>
  <w:style w:type="paragraph" w:styleId="Titlu1">
    <w:name w:val="heading 1"/>
    <w:basedOn w:val="Normal"/>
    <w:next w:val="Normal"/>
    <w:link w:val="Titlu1Caracter"/>
    <w:uiPriority w:val="1"/>
    <w:qFormat/>
    <w:rsid w:val="3DD2A7CB"/>
    <w:pPr>
      <w:keepNext/>
      <w:spacing w:before="240" w:after="60"/>
      <w:outlineLvl w:val="0"/>
    </w:pPr>
    <w:rPr>
      <w:rFonts w:ascii="Arial" w:hAnsi="Arial"/>
      <w:b/>
      <w:bCs/>
      <w:sz w:val="28"/>
      <w:szCs w:val="28"/>
    </w:rPr>
  </w:style>
  <w:style w:type="paragraph" w:styleId="Titlu2">
    <w:name w:val="heading 2"/>
    <w:basedOn w:val="Normal"/>
    <w:next w:val="Normal"/>
    <w:link w:val="Titlu2Caracter"/>
    <w:uiPriority w:val="1"/>
    <w:qFormat/>
    <w:rsid w:val="3DD2A7CB"/>
    <w:pPr>
      <w:keepNext/>
      <w:jc w:val="center"/>
      <w:outlineLvl w:val="1"/>
    </w:pPr>
    <w:rPr>
      <w:rFonts w:ascii="$ Benguiat_Bold" w:hAnsi="$ Benguiat_Bold"/>
      <w:b/>
      <w:bCs/>
      <w:sz w:val="132"/>
      <w:szCs w:val="132"/>
    </w:rPr>
  </w:style>
  <w:style w:type="paragraph" w:styleId="Titlu3">
    <w:name w:val="heading 3"/>
    <w:basedOn w:val="Normal"/>
    <w:next w:val="Normal"/>
    <w:link w:val="Titlu3Caracter"/>
    <w:uiPriority w:val="1"/>
    <w:qFormat/>
    <w:rsid w:val="3DD2A7CB"/>
    <w:pPr>
      <w:keepNext/>
      <w:jc w:val="center"/>
      <w:outlineLvl w:val="2"/>
    </w:pPr>
    <w:rPr>
      <w:rFonts w:ascii="$Caslon" w:hAnsi="$Caslon"/>
      <w:b/>
      <w:bCs/>
    </w:rPr>
  </w:style>
  <w:style w:type="paragraph" w:styleId="Titlu4">
    <w:name w:val="heading 4"/>
    <w:basedOn w:val="Normal"/>
    <w:next w:val="Normal"/>
    <w:link w:val="Titlu4Caracter"/>
    <w:uiPriority w:val="1"/>
    <w:qFormat/>
    <w:rsid w:val="3DD2A7CB"/>
    <w:pPr>
      <w:keepNext/>
      <w:jc w:val="center"/>
      <w:outlineLvl w:val="3"/>
    </w:pPr>
    <w:rPr>
      <w:rFonts w:ascii="$Caslon" w:hAnsi="$Caslon"/>
      <w:b/>
      <w:bCs/>
      <w:sz w:val="26"/>
      <w:szCs w:val="26"/>
    </w:rPr>
  </w:style>
  <w:style w:type="paragraph" w:styleId="Titlu5">
    <w:name w:val="heading 5"/>
    <w:basedOn w:val="Normal"/>
    <w:next w:val="Normal"/>
    <w:link w:val="Titlu5Caracter"/>
    <w:uiPriority w:val="1"/>
    <w:qFormat/>
    <w:rsid w:val="3DD2A7CB"/>
    <w:pPr>
      <w:keepNext/>
      <w:jc w:val="center"/>
      <w:outlineLvl w:val="4"/>
    </w:pPr>
    <w:rPr>
      <w:rFonts w:ascii="$Caslon" w:hAnsi="$Caslon"/>
      <w:sz w:val="24"/>
      <w:szCs w:val="24"/>
    </w:rPr>
  </w:style>
  <w:style w:type="paragraph" w:styleId="Titlu6">
    <w:name w:val="heading 6"/>
    <w:basedOn w:val="Normal"/>
    <w:next w:val="Normal"/>
    <w:link w:val="Titlu6Caracter"/>
    <w:uiPriority w:val="1"/>
    <w:qFormat/>
    <w:rsid w:val="3DD2A7CB"/>
    <w:pPr>
      <w:keepNext/>
      <w:jc w:val="center"/>
      <w:outlineLvl w:val="5"/>
    </w:pPr>
    <w:rPr>
      <w:rFonts w:ascii="$Caslon" w:hAnsi="$Caslon"/>
      <w:b/>
      <w:bCs/>
      <w:sz w:val="22"/>
      <w:szCs w:val="22"/>
    </w:rPr>
  </w:style>
  <w:style w:type="paragraph" w:styleId="Titlu7">
    <w:name w:val="heading 7"/>
    <w:basedOn w:val="Normal"/>
    <w:next w:val="Normal"/>
    <w:link w:val="Titlu7Caracter"/>
    <w:uiPriority w:val="1"/>
    <w:qFormat/>
    <w:rsid w:val="3DD2A7CB"/>
    <w:pPr>
      <w:keepNext/>
      <w:jc w:val="center"/>
      <w:outlineLvl w:val="6"/>
    </w:pPr>
    <w:rPr>
      <w:rFonts w:ascii="Garamond" w:hAnsi="Garamond"/>
      <w:b/>
      <w:bCs/>
      <w:sz w:val="28"/>
      <w:szCs w:val="28"/>
    </w:rPr>
  </w:style>
  <w:style w:type="paragraph" w:styleId="Titlu8">
    <w:name w:val="heading 8"/>
    <w:basedOn w:val="Normal"/>
    <w:next w:val="Normal"/>
    <w:link w:val="Titlu8Caracter"/>
    <w:uiPriority w:val="1"/>
    <w:qFormat/>
    <w:rsid w:val="3DD2A7CB"/>
    <w:pPr>
      <w:keepNext/>
      <w:jc w:val="center"/>
      <w:outlineLvl w:val="7"/>
    </w:pPr>
    <w:rPr>
      <w:rFonts w:ascii="$Caslon" w:hAnsi="$Caslon"/>
      <w:b/>
      <w:bCs/>
      <w:sz w:val="24"/>
      <w:szCs w:val="24"/>
    </w:rPr>
  </w:style>
  <w:style w:type="paragraph" w:styleId="Titlu9">
    <w:name w:val="heading 9"/>
    <w:basedOn w:val="Normal"/>
    <w:next w:val="Normal"/>
    <w:link w:val="Titlu9Caracter"/>
    <w:uiPriority w:val="9"/>
    <w:unhideWhenUsed/>
    <w:qFormat/>
    <w:rsid w:val="3DD2A7CB"/>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rsid w:val="3DD2A7CB"/>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rsid w:val="3DD2A7CB"/>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rsid w:val="3DD2A7CB"/>
    <w:pPr>
      <w:ind w:left="720" w:right="720"/>
    </w:pPr>
    <w:rPr>
      <w:i/>
      <w:iCs/>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rsid w:val="3DD2A7CB"/>
    <w:pPr>
      <w:pBdr>
        <w:top w:val="single" w:sz="4" w:space="5" w:color="FFFFFF"/>
        <w:left w:val="single" w:sz="4" w:space="10" w:color="FFFFFF"/>
        <w:bottom w:val="single" w:sz="4" w:space="5" w:color="FFFFFF"/>
        <w:right w:val="single" w:sz="4" w:space="10" w:color="FFFFFF"/>
      </w:pBdr>
      <w:shd w:val="clear" w:color="auto" w:fill="F2F2F2" w:themeFill="background1" w:themeFillShade="F2"/>
      <w:ind w:left="720" w:right="720"/>
    </w:pPr>
    <w:rPr>
      <w:i/>
      <w:iCs/>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rsid w:val="3DD2A7CB"/>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rsid w:val="3DD2A7CB"/>
    <w:pPr>
      <w:spacing w:after="40"/>
    </w:pPr>
    <w:rPr>
      <w:sz w:val="18"/>
      <w:szCs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rsid w:val="3DD2A7CB"/>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rsid w:val="3DD2A7CB"/>
    <w:pPr>
      <w:spacing w:after="57"/>
      <w:ind w:firstLine="0"/>
    </w:pPr>
  </w:style>
  <w:style w:type="paragraph" w:styleId="Cuprins2">
    <w:name w:val="toc 2"/>
    <w:basedOn w:val="Normal"/>
    <w:next w:val="Normal"/>
    <w:uiPriority w:val="39"/>
    <w:unhideWhenUsed/>
    <w:rsid w:val="3DD2A7CB"/>
    <w:pPr>
      <w:spacing w:after="57"/>
      <w:ind w:left="283" w:firstLine="0"/>
    </w:pPr>
  </w:style>
  <w:style w:type="paragraph" w:styleId="Cuprins3">
    <w:name w:val="toc 3"/>
    <w:basedOn w:val="Normal"/>
    <w:next w:val="Normal"/>
    <w:uiPriority w:val="39"/>
    <w:unhideWhenUsed/>
    <w:rsid w:val="3DD2A7CB"/>
    <w:pPr>
      <w:spacing w:after="57"/>
      <w:ind w:left="567" w:firstLine="0"/>
    </w:pPr>
  </w:style>
  <w:style w:type="paragraph" w:styleId="Cuprins4">
    <w:name w:val="toc 4"/>
    <w:basedOn w:val="Normal"/>
    <w:next w:val="Normal"/>
    <w:uiPriority w:val="39"/>
    <w:unhideWhenUsed/>
    <w:rsid w:val="3DD2A7CB"/>
    <w:pPr>
      <w:spacing w:after="57"/>
      <w:ind w:left="850" w:firstLine="0"/>
    </w:pPr>
  </w:style>
  <w:style w:type="paragraph" w:styleId="Cuprins5">
    <w:name w:val="toc 5"/>
    <w:basedOn w:val="Normal"/>
    <w:next w:val="Normal"/>
    <w:uiPriority w:val="39"/>
    <w:unhideWhenUsed/>
    <w:rsid w:val="3DD2A7CB"/>
    <w:pPr>
      <w:spacing w:after="57"/>
      <w:ind w:left="1134" w:firstLine="0"/>
    </w:pPr>
  </w:style>
  <w:style w:type="paragraph" w:styleId="Cuprins6">
    <w:name w:val="toc 6"/>
    <w:basedOn w:val="Normal"/>
    <w:next w:val="Normal"/>
    <w:uiPriority w:val="39"/>
    <w:unhideWhenUsed/>
    <w:rsid w:val="3DD2A7CB"/>
    <w:pPr>
      <w:spacing w:after="57"/>
      <w:ind w:left="1417" w:firstLine="0"/>
    </w:pPr>
  </w:style>
  <w:style w:type="paragraph" w:styleId="Cuprins7">
    <w:name w:val="toc 7"/>
    <w:basedOn w:val="Normal"/>
    <w:next w:val="Normal"/>
    <w:uiPriority w:val="39"/>
    <w:unhideWhenUsed/>
    <w:rsid w:val="3DD2A7CB"/>
    <w:pPr>
      <w:spacing w:after="57"/>
      <w:ind w:left="1701" w:firstLine="0"/>
    </w:pPr>
  </w:style>
  <w:style w:type="paragraph" w:styleId="Cuprins8">
    <w:name w:val="toc 8"/>
    <w:basedOn w:val="Normal"/>
    <w:next w:val="Normal"/>
    <w:uiPriority w:val="39"/>
    <w:unhideWhenUsed/>
    <w:rsid w:val="3DD2A7CB"/>
    <w:pPr>
      <w:spacing w:after="57"/>
      <w:ind w:left="1984" w:firstLine="0"/>
    </w:pPr>
  </w:style>
  <w:style w:type="paragraph" w:styleId="Cuprins9">
    <w:name w:val="toc 9"/>
    <w:basedOn w:val="Normal"/>
    <w:next w:val="Normal"/>
    <w:uiPriority w:val="39"/>
    <w:unhideWhenUsed/>
    <w:rsid w:val="3DD2A7CB"/>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rsid w:val="3DD2A7CB"/>
  </w:style>
  <w:style w:type="paragraph" w:styleId="TextnBalon">
    <w:name w:val="Balloon Text"/>
    <w:basedOn w:val="Normal"/>
    <w:link w:val="TextnBalonCaracter"/>
    <w:uiPriority w:val="99"/>
    <w:rsid w:val="3DD2A7CB"/>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uiPriority w:val="1"/>
    <w:rsid w:val="3DD2A7CB"/>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3DD2A7CB"/>
    <w:pPr>
      <w:ind w:firstLine="567"/>
    </w:pPr>
    <w:rPr>
      <w:sz w:val="24"/>
      <w:szCs w:val="24"/>
      <w:lang w:val="ru-RU" w:eastAsia="ru-RU"/>
    </w:rPr>
  </w:style>
  <w:style w:type="paragraph" w:customStyle="1" w:styleId="cn">
    <w:name w:val="cn"/>
    <w:basedOn w:val="Normal"/>
    <w:uiPriority w:val="1"/>
    <w:rsid w:val="3DD2A7CB"/>
    <w:pPr>
      <w:ind w:firstLine="0"/>
      <w:jc w:val="center"/>
    </w:pPr>
    <w:rPr>
      <w:sz w:val="24"/>
      <w:szCs w:val="24"/>
      <w:lang w:val="ru-RU" w:eastAsia="ru-RU"/>
    </w:rPr>
  </w:style>
  <w:style w:type="paragraph" w:customStyle="1" w:styleId="cb">
    <w:name w:val="cb"/>
    <w:basedOn w:val="Normal"/>
    <w:uiPriority w:val="99"/>
    <w:semiHidden/>
    <w:rsid w:val="3DD2A7CB"/>
    <w:pPr>
      <w:ind w:firstLine="0"/>
      <w:jc w:val="center"/>
    </w:pPr>
    <w:rPr>
      <w:b/>
      <w:bCs/>
      <w:sz w:val="24"/>
      <w:szCs w:val="24"/>
      <w:lang w:val="ru-RU" w:eastAsia="ru-RU"/>
    </w:rPr>
  </w:style>
  <w:style w:type="paragraph" w:styleId="Antet">
    <w:name w:val="header"/>
    <w:basedOn w:val="Normal"/>
    <w:link w:val="AntetCaracter"/>
    <w:uiPriority w:val="1"/>
    <w:rsid w:val="3DD2A7CB"/>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uiPriority w:val="1"/>
    <w:rsid w:val="3DD2A7CB"/>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uiPriority w:val="1"/>
    <w:rsid w:val="3DD2A7CB"/>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3DD2A7CB"/>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uiPriority w:val="1"/>
    <w:rsid w:val="3DD2A7CB"/>
    <w:pPr>
      <w:ind w:firstLine="0"/>
      <w:jc w:val="center"/>
    </w:pPr>
    <w:rPr>
      <w:b/>
      <w:bCs/>
      <w:sz w:val="24"/>
      <w:szCs w:val="24"/>
      <w:lang w:val="ru-RU" w:eastAsia="ru-RU"/>
    </w:rPr>
  </w:style>
  <w:style w:type="paragraph" w:customStyle="1" w:styleId="CharChar0">
    <w:name w:val="Char Char Знак Знак"/>
    <w:basedOn w:val="Normal"/>
    <w:uiPriority w:val="1"/>
    <w:rsid w:val="3DD2A7CB"/>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uiPriority w:val="1"/>
    <w:rsid w:val="3DD2A7CB"/>
    <w:pPr>
      <w:spacing w:beforeAutospacing="1"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uiPriority w:val="1"/>
    <w:rsid w:val="3DD2A7CB"/>
    <w:pPr>
      <w:spacing w:beforeAutospacing="1"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rsid w:val="3DD2A7CB"/>
    <w:pPr>
      <w:ind w:firstLine="0"/>
      <w:jc w:val="left"/>
    </w:pPr>
    <w:rPr>
      <w:lang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rsid w:val="3DD2A7CB"/>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3DD2A7CB"/>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3DD2A7CB"/>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uiPriority w:val="1"/>
    <w:rsid w:val="3DD2A7CB"/>
    <w:pPr>
      <w:spacing w:beforeAutospacing="1"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rsid w:val="3DD2A7CB"/>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UnresolvedMention1">
    <w:name w:val="Unresolved Mention1"/>
    <w:basedOn w:val="Fontdeparagrafimplicit"/>
    <w:uiPriority w:val="99"/>
    <w:semiHidden/>
    <w:unhideWhenUsed/>
    <w:rsid w:val="00572006"/>
    <w:rPr>
      <w:color w:val="605E5C"/>
      <w:shd w:val="clear" w:color="auto" w:fill="E1DFDD"/>
    </w:rPr>
  </w:style>
  <w:style w:type="character" w:styleId="HyperlinkParcurs">
    <w:name w:val="FollowedHyperlink"/>
    <w:basedOn w:val="Fontdeparagrafimplicit"/>
    <w:uiPriority w:val="99"/>
    <w:semiHidden/>
    <w:unhideWhenUsed/>
    <w:rsid w:val="001F538F"/>
    <w:rPr>
      <w:color w:val="800080" w:themeColor="followedHyperlink"/>
      <w:u w:val="single"/>
    </w:rPr>
  </w:style>
  <w:style w:type="paragraph" w:customStyle="1" w:styleId="Default">
    <w:name w:val="Default"/>
    <w:rsid w:val="00711946"/>
    <w:pPr>
      <w:autoSpaceDE w:val="0"/>
      <w:autoSpaceDN w:val="0"/>
      <w:adjustRightInd w:val="0"/>
      <w:ind w:firstLine="0"/>
      <w:jc w:val="left"/>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6431">
      <w:bodyDiv w:val="1"/>
      <w:marLeft w:val="0"/>
      <w:marRight w:val="0"/>
      <w:marTop w:val="0"/>
      <w:marBottom w:val="0"/>
      <w:divBdr>
        <w:top w:val="none" w:sz="0" w:space="0" w:color="auto"/>
        <w:left w:val="none" w:sz="0" w:space="0" w:color="auto"/>
        <w:bottom w:val="none" w:sz="0" w:space="0" w:color="auto"/>
        <w:right w:val="none" w:sz="0" w:space="0" w:color="auto"/>
      </w:divBdr>
    </w:div>
    <w:div w:id="30616827">
      <w:bodyDiv w:val="1"/>
      <w:marLeft w:val="0"/>
      <w:marRight w:val="0"/>
      <w:marTop w:val="0"/>
      <w:marBottom w:val="0"/>
      <w:divBdr>
        <w:top w:val="none" w:sz="0" w:space="0" w:color="auto"/>
        <w:left w:val="none" w:sz="0" w:space="0" w:color="auto"/>
        <w:bottom w:val="none" w:sz="0" w:space="0" w:color="auto"/>
        <w:right w:val="none" w:sz="0" w:space="0" w:color="auto"/>
      </w:divBdr>
    </w:div>
    <w:div w:id="34427431">
      <w:bodyDiv w:val="1"/>
      <w:marLeft w:val="0"/>
      <w:marRight w:val="0"/>
      <w:marTop w:val="0"/>
      <w:marBottom w:val="0"/>
      <w:divBdr>
        <w:top w:val="none" w:sz="0" w:space="0" w:color="auto"/>
        <w:left w:val="none" w:sz="0" w:space="0" w:color="auto"/>
        <w:bottom w:val="none" w:sz="0" w:space="0" w:color="auto"/>
        <w:right w:val="none" w:sz="0" w:space="0" w:color="auto"/>
      </w:divBdr>
    </w:div>
    <w:div w:id="38168348">
      <w:bodyDiv w:val="1"/>
      <w:marLeft w:val="0"/>
      <w:marRight w:val="0"/>
      <w:marTop w:val="0"/>
      <w:marBottom w:val="0"/>
      <w:divBdr>
        <w:top w:val="none" w:sz="0" w:space="0" w:color="auto"/>
        <w:left w:val="none" w:sz="0" w:space="0" w:color="auto"/>
        <w:bottom w:val="none" w:sz="0" w:space="0" w:color="auto"/>
        <w:right w:val="none" w:sz="0" w:space="0" w:color="auto"/>
      </w:divBdr>
    </w:div>
    <w:div w:id="39330384">
      <w:bodyDiv w:val="1"/>
      <w:marLeft w:val="0"/>
      <w:marRight w:val="0"/>
      <w:marTop w:val="0"/>
      <w:marBottom w:val="0"/>
      <w:divBdr>
        <w:top w:val="none" w:sz="0" w:space="0" w:color="auto"/>
        <w:left w:val="none" w:sz="0" w:space="0" w:color="auto"/>
        <w:bottom w:val="none" w:sz="0" w:space="0" w:color="auto"/>
        <w:right w:val="none" w:sz="0" w:space="0" w:color="auto"/>
      </w:divBdr>
    </w:div>
    <w:div w:id="53898208">
      <w:bodyDiv w:val="1"/>
      <w:marLeft w:val="0"/>
      <w:marRight w:val="0"/>
      <w:marTop w:val="0"/>
      <w:marBottom w:val="0"/>
      <w:divBdr>
        <w:top w:val="none" w:sz="0" w:space="0" w:color="auto"/>
        <w:left w:val="none" w:sz="0" w:space="0" w:color="auto"/>
        <w:bottom w:val="none" w:sz="0" w:space="0" w:color="auto"/>
        <w:right w:val="none" w:sz="0" w:space="0" w:color="auto"/>
      </w:divBdr>
    </w:div>
    <w:div w:id="75372251">
      <w:bodyDiv w:val="1"/>
      <w:marLeft w:val="0"/>
      <w:marRight w:val="0"/>
      <w:marTop w:val="0"/>
      <w:marBottom w:val="0"/>
      <w:divBdr>
        <w:top w:val="none" w:sz="0" w:space="0" w:color="auto"/>
        <w:left w:val="none" w:sz="0" w:space="0" w:color="auto"/>
        <w:bottom w:val="none" w:sz="0" w:space="0" w:color="auto"/>
        <w:right w:val="none" w:sz="0" w:space="0" w:color="auto"/>
      </w:divBdr>
    </w:div>
    <w:div w:id="83497365">
      <w:bodyDiv w:val="1"/>
      <w:marLeft w:val="0"/>
      <w:marRight w:val="0"/>
      <w:marTop w:val="0"/>
      <w:marBottom w:val="0"/>
      <w:divBdr>
        <w:top w:val="none" w:sz="0" w:space="0" w:color="auto"/>
        <w:left w:val="none" w:sz="0" w:space="0" w:color="auto"/>
        <w:bottom w:val="none" w:sz="0" w:space="0" w:color="auto"/>
        <w:right w:val="none" w:sz="0" w:space="0" w:color="auto"/>
      </w:divBdr>
    </w:div>
    <w:div w:id="91703846">
      <w:bodyDiv w:val="1"/>
      <w:marLeft w:val="0"/>
      <w:marRight w:val="0"/>
      <w:marTop w:val="0"/>
      <w:marBottom w:val="0"/>
      <w:divBdr>
        <w:top w:val="none" w:sz="0" w:space="0" w:color="auto"/>
        <w:left w:val="none" w:sz="0" w:space="0" w:color="auto"/>
        <w:bottom w:val="none" w:sz="0" w:space="0" w:color="auto"/>
        <w:right w:val="none" w:sz="0" w:space="0" w:color="auto"/>
      </w:divBdr>
    </w:div>
    <w:div w:id="96029068">
      <w:bodyDiv w:val="1"/>
      <w:marLeft w:val="0"/>
      <w:marRight w:val="0"/>
      <w:marTop w:val="0"/>
      <w:marBottom w:val="0"/>
      <w:divBdr>
        <w:top w:val="none" w:sz="0" w:space="0" w:color="auto"/>
        <w:left w:val="none" w:sz="0" w:space="0" w:color="auto"/>
        <w:bottom w:val="none" w:sz="0" w:space="0" w:color="auto"/>
        <w:right w:val="none" w:sz="0" w:space="0" w:color="auto"/>
      </w:divBdr>
    </w:div>
    <w:div w:id="100612096">
      <w:bodyDiv w:val="1"/>
      <w:marLeft w:val="0"/>
      <w:marRight w:val="0"/>
      <w:marTop w:val="0"/>
      <w:marBottom w:val="0"/>
      <w:divBdr>
        <w:top w:val="none" w:sz="0" w:space="0" w:color="auto"/>
        <w:left w:val="none" w:sz="0" w:space="0" w:color="auto"/>
        <w:bottom w:val="none" w:sz="0" w:space="0" w:color="auto"/>
        <w:right w:val="none" w:sz="0" w:space="0" w:color="auto"/>
      </w:divBdr>
    </w:div>
    <w:div w:id="122047302">
      <w:bodyDiv w:val="1"/>
      <w:marLeft w:val="0"/>
      <w:marRight w:val="0"/>
      <w:marTop w:val="0"/>
      <w:marBottom w:val="0"/>
      <w:divBdr>
        <w:top w:val="none" w:sz="0" w:space="0" w:color="auto"/>
        <w:left w:val="none" w:sz="0" w:space="0" w:color="auto"/>
        <w:bottom w:val="none" w:sz="0" w:space="0" w:color="auto"/>
        <w:right w:val="none" w:sz="0" w:space="0" w:color="auto"/>
      </w:divBdr>
    </w:div>
    <w:div w:id="126169155">
      <w:bodyDiv w:val="1"/>
      <w:marLeft w:val="0"/>
      <w:marRight w:val="0"/>
      <w:marTop w:val="0"/>
      <w:marBottom w:val="0"/>
      <w:divBdr>
        <w:top w:val="none" w:sz="0" w:space="0" w:color="auto"/>
        <w:left w:val="none" w:sz="0" w:space="0" w:color="auto"/>
        <w:bottom w:val="none" w:sz="0" w:space="0" w:color="auto"/>
        <w:right w:val="none" w:sz="0" w:space="0" w:color="auto"/>
      </w:divBdr>
    </w:div>
    <w:div w:id="152382277">
      <w:bodyDiv w:val="1"/>
      <w:marLeft w:val="0"/>
      <w:marRight w:val="0"/>
      <w:marTop w:val="0"/>
      <w:marBottom w:val="0"/>
      <w:divBdr>
        <w:top w:val="none" w:sz="0" w:space="0" w:color="auto"/>
        <w:left w:val="none" w:sz="0" w:space="0" w:color="auto"/>
        <w:bottom w:val="none" w:sz="0" w:space="0" w:color="auto"/>
        <w:right w:val="none" w:sz="0" w:space="0" w:color="auto"/>
      </w:divBdr>
    </w:div>
    <w:div w:id="164561613">
      <w:bodyDiv w:val="1"/>
      <w:marLeft w:val="0"/>
      <w:marRight w:val="0"/>
      <w:marTop w:val="0"/>
      <w:marBottom w:val="0"/>
      <w:divBdr>
        <w:top w:val="none" w:sz="0" w:space="0" w:color="auto"/>
        <w:left w:val="none" w:sz="0" w:space="0" w:color="auto"/>
        <w:bottom w:val="none" w:sz="0" w:space="0" w:color="auto"/>
        <w:right w:val="none" w:sz="0" w:space="0" w:color="auto"/>
      </w:divBdr>
    </w:div>
    <w:div w:id="171188158">
      <w:bodyDiv w:val="1"/>
      <w:marLeft w:val="0"/>
      <w:marRight w:val="0"/>
      <w:marTop w:val="0"/>
      <w:marBottom w:val="0"/>
      <w:divBdr>
        <w:top w:val="none" w:sz="0" w:space="0" w:color="auto"/>
        <w:left w:val="none" w:sz="0" w:space="0" w:color="auto"/>
        <w:bottom w:val="none" w:sz="0" w:space="0" w:color="auto"/>
        <w:right w:val="none" w:sz="0" w:space="0" w:color="auto"/>
      </w:divBdr>
    </w:div>
    <w:div w:id="176584195">
      <w:bodyDiv w:val="1"/>
      <w:marLeft w:val="0"/>
      <w:marRight w:val="0"/>
      <w:marTop w:val="0"/>
      <w:marBottom w:val="0"/>
      <w:divBdr>
        <w:top w:val="none" w:sz="0" w:space="0" w:color="auto"/>
        <w:left w:val="none" w:sz="0" w:space="0" w:color="auto"/>
        <w:bottom w:val="none" w:sz="0" w:space="0" w:color="auto"/>
        <w:right w:val="none" w:sz="0" w:space="0" w:color="auto"/>
      </w:divBdr>
    </w:div>
    <w:div w:id="193421000">
      <w:bodyDiv w:val="1"/>
      <w:marLeft w:val="0"/>
      <w:marRight w:val="0"/>
      <w:marTop w:val="0"/>
      <w:marBottom w:val="0"/>
      <w:divBdr>
        <w:top w:val="none" w:sz="0" w:space="0" w:color="auto"/>
        <w:left w:val="none" w:sz="0" w:space="0" w:color="auto"/>
        <w:bottom w:val="none" w:sz="0" w:space="0" w:color="auto"/>
        <w:right w:val="none" w:sz="0" w:space="0" w:color="auto"/>
      </w:divBdr>
    </w:div>
    <w:div w:id="197664466">
      <w:bodyDiv w:val="1"/>
      <w:marLeft w:val="0"/>
      <w:marRight w:val="0"/>
      <w:marTop w:val="0"/>
      <w:marBottom w:val="0"/>
      <w:divBdr>
        <w:top w:val="none" w:sz="0" w:space="0" w:color="auto"/>
        <w:left w:val="none" w:sz="0" w:space="0" w:color="auto"/>
        <w:bottom w:val="none" w:sz="0" w:space="0" w:color="auto"/>
        <w:right w:val="none" w:sz="0" w:space="0" w:color="auto"/>
      </w:divBdr>
    </w:div>
    <w:div w:id="245115226">
      <w:bodyDiv w:val="1"/>
      <w:marLeft w:val="0"/>
      <w:marRight w:val="0"/>
      <w:marTop w:val="0"/>
      <w:marBottom w:val="0"/>
      <w:divBdr>
        <w:top w:val="none" w:sz="0" w:space="0" w:color="auto"/>
        <w:left w:val="none" w:sz="0" w:space="0" w:color="auto"/>
        <w:bottom w:val="none" w:sz="0" w:space="0" w:color="auto"/>
        <w:right w:val="none" w:sz="0" w:space="0" w:color="auto"/>
      </w:divBdr>
    </w:div>
    <w:div w:id="269626400">
      <w:bodyDiv w:val="1"/>
      <w:marLeft w:val="0"/>
      <w:marRight w:val="0"/>
      <w:marTop w:val="0"/>
      <w:marBottom w:val="0"/>
      <w:divBdr>
        <w:top w:val="none" w:sz="0" w:space="0" w:color="auto"/>
        <w:left w:val="none" w:sz="0" w:space="0" w:color="auto"/>
        <w:bottom w:val="none" w:sz="0" w:space="0" w:color="auto"/>
        <w:right w:val="none" w:sz="0" w:space="0" w:color="auto"/>
      </w:divBdr>
    </w:div>
    <w:div w:id="276720500">
      <w:bodyDiv w:val="1"/>
      <w:marLeft w:val="0"/>
      <w:marRight w:val="0"/>
      <w:marTop w:val="0"/>
      <w:marBottom w:val="0"/>
      <w:divBdr>
        <w:top w:val="none" w:sz="0" w:space="0" w:color="auto"/>
        <w:left w:val="none" w:sz="0" w:space="0" w:color="auto"/>
        <w:bottom w:val="none" w:sz="0" w:space="0" w:color="auto"/>
        <w:right w:val="none" w:sz="0" w:space="0" w:color="auto"/>
      </w:divBdr>
    </w:div>
    <w:div w:id="282422997">
      <w:bodyDiv w:val="1"/>
      <w:marLeft w:val="0"/>
      <w:marRight w:val="0"/>
      <w:marTop w:val="0"/>
      <w:marBottom w:val="0"/>
      <w:divBdr>
        <w:top w:val="none" w:sz="0" w:space="0" w:color="auto"/>
        <w:left w:val="none" w:sz="0" w:space="0" w:color="auto"/>
        <w:bottom w:val="none" w:sz="0" w:space="0" w:color="auto"/>
        <w:right w:val="none" w:sz="0" w:space="0" w:color="auto"/>
      </w:divBdr>
    </w:div>
    <w:div w:id="300816633">
      <w:bodyDiv w:val="1"/>
      <w:marLeft w:val="0"/>
      <w:marRight w:val="0"/>
      <w:marTop w:val="0"/>
      <w:marBottom w:val="0"/>
      <w:divBdr>
        <w:top w:val="none" w:sz="0" w:space="0" w:color="auto"/>
        <w:left w:val="none" w:sz="0" w:space="0" w:color="auto"/>
        <w:bottom w:val="none" w:sz="0" w:space="0" w:color="auto"/>
        <w:right w:val="none" w:sz="0" w:space="0" w:color="auto"/>
      </w:divBdr>
    </w:div>
    <w:div w:id="355468586">
      <w:bodyDiv w:val="1"/>
      <w:marLeft w:val="0"/>
      <w:marRight w:val="0"/>
      <w:marTop w:val="0"/>
      <w:marBottom w:val="0"/>
      <w:divBdr>
        <w:top w:val="none" w:sz="0" w:space="0" w:color="auto"/>
        <w:left w:val="none" w:sz="0" w:space="0" w:color="auto"/>
        <w:bottom w:val="none" w:sz="0" w:space="0" w:color="auto"/>
        <w:right w:val="none" w:sz="0" w:space="0" w:color="auto"/>
      </w:divBdr>
    </w:div>
    <w:div w:id="362825315">
      <w:bodyDiv w:val="1"/>
      <w:marLeft w:val="0"/>
      <w:marRight w:val="0"/>
      <w:marTop w:val="0"/>
      <w:marBottom w:val="0"/>
      <w:divBdr>
        <w:top w:val="none" w:sz="0" w:space="0" w:color="auto"/>
        <w:left w:val="none" w:sz="0" w:space="0" w:color="auto"/>
        <w:bottom w:val="none" w:sz="0" w:space="0" w:color="auto"/>
        <w:right w:val="none" w:sz="0" w:space="0" w:color="auto"/>
      </w:divBdr>
    </w:div>
    <w:div w:id="371227677">
      <w:bodyDiv w:val="1"/>
      <w:marLeft w:val="0"/>
      <w:marRight w:val="0"/>
      <w:marTop w:val="0"/>
      <w:marBottom w:val="0"/>
      <w:divBdr>
        <w:top w:val="none" w:sz="0" w:space="0" w:color="auto"/>
        <w:left w:val="none" w:sz="0" w:space="0" w:color="auto"/>
        <w:bottom w:val="none" w:sz="0" w:space="0" w:color="auto"/>
        <w:right w:val="none" w:sz="0" w:space="0" w:color="auto"/>
      </w:divBdr>
    </w:div>
    <w:div w:id="375356133">
      <w:bodyDiv w:val="1"/>
      <w:marLeft w:val="0"/>
      <w:marRight w:val="0"/>
      <w:marTop w:val="0"/>
      <w:marBottom w:val="0"/>
      <w:divBdr>
        <w:top w:val="none" w:sz="0" w:space="0" w:color="auto"/>
        <w:left w:val="none" w:sz="0" w:space="0" w:color="auto"/>
        <w:bottom w:val="none" w:sz="0" w:space="0" w:color="auto"/>
        <w:right w:val="none" w:sz="0" w:space="0" w:color="auto"/>
      </w:divBdr>
    </w:div>
    <w:div w:id="398871096">
      <w:bodyDiv w:val="1"/>
      <w:marLeft w:val="0"/>
      <w:marRight w:val="0"/>
      <w:marTop w:val="0"/>
      <w:marBottom w:val="0"/>
      <w:divBdr>
        <w:top w:val="none" w:sz="0" w:space="0" w:color="auto"/>
        <w:left w:val="none" w:sz="0" w:space="0" w:color="auto"/>
        <w:bottom w:val="none" w:sz="0" w:space="0" w:color="auto"/>
        <w:right w:val="none" w:sz="0" w:space="0" w:color="auto"/>
      </w:divBdr>
    </w:div>
    <w:div w:id="406153116">
      <w:bodyDiv w:val="1"/>
      <w:marLeft w:val="0"/>
      <w:marRight w:val="0"/>
      <w:marTop w:val="0"/>
      <w:marBottom w:val="0"/>
      <w:divBdr>
        <w:top w:val="none" w:sz="0" w:space="0" w:color="auto"/>
        <w:left w:val="none" w:sz="0" w:space="0" w:color="auto"/>
        <w:bottom w:val="none" w:sz="0" w:space="0" w:color="auto"/>
        <w:right w:val="none" w:sz="0" w:space="0" w:color="auto"/>
      </w:divBdr>
    </w:div>
    <w:div w:id="411196119">
      <w:bodyDiv w:val="1"/>
      <w:marLeft w:val="0"/>
      <w:marRight w:val="0"/>
      <w:marTop w:val="0"/>
      <w:marBottom w:val="0"/>
      <w:divBdr>
        <w:top w:val="none" w:sz="0" w:space="0" w:color="auto"/>
        <w:left w:val="none" w:sz="0" w:space="0" w:color="auto"/>
        <w:bottom w:val="none" w:sz="0" w:space="0" w:color="auto"/>
        <w:right w:val="none" w:sz="0" w:space="0" w:color="auto"/>
      </w:divBdr>
    </w:div>
    <w:div w:id="424348758">
      <w:bodyDiv w:val="1"/>
      <w:marLeft w:val="0"/>
      <w:marRight w:val="0"/>
      <w:marTop w:val="0"/>
      <w:marBottom w:val="0"/>
      <w:divBdr>
        <w:top w:val="none" w:sz="0" w:space="0" w:color="auto"/>
        <w:left w:val="none" w:sz="0" w:space="0" w:color="auto"/>
        <w:bottom w:val="none" w:sz="0" w:space="0" w:color="auto"/>
        <w:right w:val="none" w:sz="0" w:space="0" w:color="auto"/>
      </w:divBdr>
    </w:div>
    <w:div w:id="435440491">
      <w:bodyDiv w:val="1"/>
      <w:marLeft w:val="0"/>
      <w:marRight w:val="0"/>
      <w:marTop w:val="0"/>
      <w:marBottom w:val="0"/>
      <w:divBdr>
        <w:top w:val="none" w:sz="0" w:space="0" w:color="auto"/>
        <w:left w:val="none" w:sz="0" w:space="0" w:color="auto"/>
        <w:bottom w:val="none" w:sz="0" w:space="0" w:color="auto"/>
        <w:right w:val="none" w:sz="0" w:space="0" w:color="auto"/>
      </w:divBdr>
    </w:div>
    <w:div w:id="436408324">
      <w:bodyDiv w:val="1"/>
      <w:marLeft w:val="0"/>
      <w:marRight w:val="0"/>
      <w:marTop w:val="0"/>
      <w:marBottom w:val="0"/>
      <w:divBdr>
        <w:top w:val="none" w:sz="0" w:space="0" w:color="auto"/>
        <w:left w:val="none" w:sz="0" w:space="0" w:color="auto"/>
        <w:bottom w:val="none" w:sz="0" w:space="0" w:color="auto"/>
        <w:right w:val="none" w:sz="0" w:space="0" w:color="auto"/>
      </w:divBdr>
    </w:div>
    <w:div w:id="443695340">
      <w:bodyDiv w:val="1"/>
      <w:marLeft w:val="0"/>
      <w:marRight w:val="0"/>
      <w:marTop w:val="0"/>
      <w:marBottom w:val="0"/>
      <w:divBdr>
        <w:top w:val="none" w:sz="0" w:space="0" w:color="auto"/>
        <w:left w:val="none" w:sz="0" w:space="0" w:color="auto"/>
        <w:bottom w:val="none" w:sz="0" w:space="0" w:color="auto"/>
        <w:right w:val="none" w:sz="0" w:space="0" w:color="auto"/>
      </w:divBdr>
    </w:div>
    <w:div w:id="447093265">
      <w:bodyDiv w:val="1"/>
      <w:marLeft w:val="0"/>
      <w:marRight w:val="0"/>
      <w:marTop w:val="0"/>
      <w:marBottom w:val="0"/>
      <w:divBdr>
        <w:top w:val="none" w:sz="0" w:space="0" w:color="auto"/>
        <w:left w:val="none" w:sz="0" w:space="0" w:color="auto"/>
        <w:bottom w:val="none" w:sz="0" w:space="0" w:color="auto"/>
        <w:right w:val="none" w:sz="0" w:space="0" w:color="auto"/>
      </w:divBdr>
    </w:div>
    <w:div w:id="453989785">
      <w:bodyDiv w:val="1"/>
      <w:marLeft w:val="0"/>
      <w:marRight w:val="0"/>
      <w:marTop w:val="0"/>
      <w:marBottom w:val="0"/>
      <w:divBdr>
        <w:top w:val="none" w:sz="0" w:space="0" w:color="auto"/>
        <w:left w:val="none" w:sz="0" w:space="0" w:color="auto"/>
        <w:bottom w:val="none" w:sz="0" w:space="0" w:color="auto"/>
        <w:right w:val="none" w:sz="0" w:space="0" w:color="auto"/>
      </w:divBdr>
    </w:div>
    <w:div w:id="459300947">
      <w:bodyDiv w:val="1"/>
      <w:marLeft w:val="0"/>
      <w:marRight w:val="0"/>
      <w:marTop w:val="0"/>
      <w:marBottom w:val="0"/>
      <w:divBdr>
        <w:top w:val="none" w:sz="0" w:space="0" w:color="auto"/>
        <w:left w:val="none" w:sz="0" w:space="0" w:color="auto"/>
        <w:bottom w:val="none" w:sz="0" w:space="0" w:color="auto"/>
        <w:right w:val="none" w:sz="0" w:space="0" w:color="auto"/>
      </w:divBdr>
    </w:div>
    <w:div w:id="487522717">
      <w:bodyDiv w:val="1"/>
      <w:marLeft w:val="0"/>
      <w:marRight w:val="0"/>
      <w:marTop w:val="0"/>
      <w:marBottom w:val="0"/>
      <w:divBdr>
        <w:top w:val="none" w:sz="0" w:space="0" w:color="auto"/>
        <w:left w:val="none" w:sz="0" w:space="0" w:color="auto"/>
        <w:bottom w:val="none" w:sz="0" w:space="0" w:color="auto"/>
        <w:right w:val="none" w:sz="0" w:space="0" w:color="auto"/>
      </w:divBdr>
    </w:div>
    <w:div w:id="490951361">
      <w:bodyDiv w:val="1"/>
      <w:marLeft w:val="0"/>
      <w:marRight w:val="0"/>
      <w:marTop w:val="0"/>
      <w:marBottom w:val="0"/>
      <w:divBdr>
        <w:top w:val="none" w:sz="0" w:space="0" w:color="auto"/>
        <w:left w:val="none" w:sz="0" w:space="0" w:color="auto"/>
        <w:bottom w:val="none" w:sz="0" w:space="0" w:color="auto"/>
        <w:right w:val="none" w:sz="0" w:space="0" w:color="auto"/>
      </w:divBdr>
    </w:div>
    <w:div w:id="498733981">
      <w:bodyDiv w:val="1"/>
      <w:marLeft w:val="0"/>
      <w:marRight w:val="0"/>
      <w:marTop w:val="0"/>
      <w:marBottom w:val="0"/>
      <w:divBdr>
        <w:top w:val="none" w:sz="0" w:space="0" w:color="auto"/>
        <w:left w:val="none" w:sz="0" w:space="0" w:color="auto"/>
        <w:bottom w:val="none" w:sz="0" w:space="0" w:color="auto"/>
        <w:right w:val="none" w:sz="0" w:space="0" w:color="auto"/>
      </w:divBdr>
      <w:divsChild>
        <w:div w:id="1511404865">
          <w:marLeft w:val="0"/>
          <w:marRight w:val="0"/>
          <w:marTop w:val="0"/>
          <w:marBottom w:val="0"/>
          <w:divBdr>
            <w:top w:val="none" w:sz="0" w:space="0" w:color="auto"/>
            <w:left w:val="none" w:sz="0" w:space="0" w:color="auto"/>
            <w:bottom w:val="none" w:sz="0" w:space="0" w:color="auto"/>
            <w:right w:val="none" w:sz="0" w:space="0" w:color="auto"/>
          </w:divBdr>
          <w:divsChild>
            <w:div w:id="5988918">
              <w:marLeft w:val="0"/>
              <w:marRight w:val="0"/>
              <w:marTop w:val="0"/>
              <w:marBottom w:val="0"/>
              <w:divBdr>
                <w:top w:val="none" w:sz="0" w:space="0" w:color="auto"/>
                <w:left w:val="none" w:sz="0" w:space="0" w:color="auto"/>
                <w:bottom w:val="none" w:sz="0" w:space="0" w:color="auto"/>
                <w:right w:val="none" w:sz="0" w:space="0" w:color="auto"/>
              </w:divBdr>
              <w:divsChild>
                <w:div w:id="1526603084">
                  <w:marLeft w:val="0"/>
                  <w:marRight w:val="0"/>
                  <w:marTop w:val="0"/>
                  <w:marBottom w:val="0"/>
                  <w:divBdr>
                    <w:top w:val="none" w:sz="0" w:space="0" w:color="auto"/>
                    <w:left w:val="none" w:sz="0" w:space="0" w:color="auto"/>
                    <w:bottom w:val="none" w:sz="0" w:space="0" w:color="auto"/>
                    <w:right w:val="none" w:sz="0" w:space="0" w:color="auto"/>
                  </w:divBdr>
                  <w:divsChild>
                    <w:div w:id="309529083">
                      <w:marLeft w:val="0"/>
                      <w:marRight w:val="0"/>
                      <w:marTop w:val="0"/>
                      <w:marBottom w:val="0"/>
                      <w:divBdr>
                        <w:top w:val="none" w:sz="0" w:space="0" w:color="auto"/>
                        <w:left w:val="none" w:sz="0" w:space="0" w:color="auto"/>
                        <w:bottom w:val="none" w:sz="0" w:space="0" w:color="auto"/>
                        <w:right w:val="none" w:sz="0" w:space="0" w:color="auto"/>
                      </w:divBdr>
                      <w:divsChild>
                        <w:div w:id="350302048">
                          <w:marLeft w:val="0"/>
                          <w:marRight w:val="0"/>
                          <w:marTop w:val="0"/>
                          <w:marBottom w:val="0"/>
                          <w:divBdr>
                            <w:top w:val="none" w:sz="0" w:space="0" w:color="auto"/>
                            <w:left w:val="none" w:sz="0" w:space="0" w:color="auto"/>
                            <w:bottom w:val="none" w:sz="0" w:space="0" w:color="auto"/>
                            <w:right w:val="none" w:sz="0" w:space="0" w:color="auto"/>
                          </w:divBdr>
                          <w:divsChild>
                            <w:div w:id="523713914">
                              <w:marLeft w:val="0"/>
                              <w:marRight w:val="0"/>
                              <w:marTop w:val="0"/>
                              <w:marBottom w:val="0"/>
                              <w:divBdr>
                                <w:top w:val="none" w:sz="0" w:space="0" w:color="auto"/>
                                <w:left w:val="none" w:sz="0" w:space="0" w:color="auto"/>
                                <w:bottom w:val="none" w:sz="0" w:space="0" w:color="auto"/>
                                <w:right w:val="none" w:sz="0" w:space="0" w:color="auto"/>
                              </w:divBdr>
                              <w:divsChild>
                                <w:div w:id="20514227">
                                  <w:marLeft w:val="0"/>
                                  <w:marRight w:val="0"/>
                                  <w:marTop w:val="0"/>
                                  <w:marBottom w:val="0"/>
                                  <w:divBdr>
                                    <w:top w:val="none" w:sz="0" w:space="0" w:color="auto"/>
                                    <w:left w:val="none" w:sz="0" w:space="0" w:color="auto"/>
                                    <w:bottom w:val="none" w:sz="0" w:space="0" w:color="auto"/>
                                    <w:right w:val="none" w:sz="0" w:space="0" w:color="auto"/>
                                  </w:divBdr>
                                  <w:divsChild>
                                    <w:div w:id="68193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8410">
                          <w:marLeft w:val="0"/>
                          <w:marRight w:val="0"/>
                          <w:marTop w:val="0"/>
                          <w:marBottom w:val="0"/>
                          <w:divBdr>
                            <w:top w:val="none" w:sz="0" w:space="0" w:color="auto"/>
                            <w:left w:val="none" w:sz="0" w:space="0" w:color="auto"/>
                            <w:bottom w:val="none" w:sz="0" w:space="0" w:color="auto"/>
                            <w:right w:val="none" w:sz="0" w:space="0" w:color="auto"/>
                          </w:divBdr>
                          <w:divsChild>
                            <w:div w:id="2086536999">
                              <w:marLeft w:val="0"/>
                              <w:marRight w:val="0"/>
                              <w:marTop w:val="0"/>
                              <w:marBottom w:val="0"/>
                              <w:divBdr>
                                <w:top w:val="none" w:sz="0" w:space="0" w:color="auto"/>
                                <w:left w:val="none" w:sz="0" w:space="0" w:color="auto"/>
                                <w:bottom w:val="none" w:sz="0" w:space="0" w:color="auto"/>
                                <w:right w:val="none" w:sz="0" w:space="0" w:color="auto"/>
                              </w:divBdr>
                              <w:divsChild>
                                <w:div w:id="26870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689751">
      <w:bodyDiv w:val="1"/>
      <w:marLeft w:val="0"/>
      <w:marRight w:val="0"/>
      <w:marTop w:val="0"/>
      <w:marBottom w:val="0"/>
      <w:divBdr>
        <w:top w:val="none" w:sz="0" w:space="0" w:color="auto"/>
        <w:left w:val="none" w:sz="0" w:space="0" w:color="auto"/>
        <w:bottom w:val="none" w:sz="0" w:space="0" w:color="auto"/>
        <w:right w:val="none" w:sz="0" w:space="0" w:color="auto"/>
      </w:divBdr>
    </w:div>
    <w:div w:id="540092189">
      <w:bodyDiv w:val="1"/>
      <w:marLeft w:val="0"/>
      <w:marRight w:val="0"/>
      <w:marTop w:val="0"/>
      <w:marBottom w:val="0"/>
      <w:divBdr>
        <w:top w:val="none" w:sz="0" w:space="0" w:color="auto"/>
        <w:left w:val="none" w:sz="0" w:space="0" w:color="auto"/>
        <w:bottom w:val="none" w:sz="0" w:space="0" w:color="auto"/>
        <w:right w:val="none" w:sz="0" w:space="0" w:color="auto"/>
      </w:divBdr>
    </w:div>
    <w:div w:id="556934283">
      <w:bodyDiv w:val="1"/>
      <w:marLeft w:val="0"/>
      <w:marRight w:val="0"/>
      <w:marTop w:val="0"/>
      <w:marBottom w:val="0"/>
      <w:divBdr>
        <w:top w:val="none" w:sz="0" w:space="0" w:color="auto"/>
        <w:left w:val="none" w:sz="0" w:space="0" w:color="auto"/>
        <w:bottom w:val="none" w:sz="0" w:space="0" w:color="auto"/>
        <w:right w:val="none" w:sz="0" w:space="0" w:color="auto"/>
      </w:divBdr>
    </w:div>
    <w:div w:id="566644656">
      <w:bodyDiv w:val="1"/>
      <w:marLeft w:val="0"/>
      <w:marRight w:val="0"/>
      <w:marTop w:val="0"/>
      <w:marBottom w:val="0"/>
      <w:divBdr>
        <w:top w:val="none" w:sz="0" w:space="0" w:color="auto"/>
        <w:left w:val="none" w:sz="0" w:space="0" w:color="auto"/>
        <w:bottom w:val="none" w:sz="0" w:space="0" w:color="auto"/>
        <w:right w:val="none" w:sz="0" w:space="0" w:color="auto"/>
      </w:divBdr>
    </w:div>
    <w:div w:id="593242209">
      <w:bodyDiv w:val="1"/>
      <w:marLeft w:val="0"/>
      <w:marRight w:val="0"/>
      <w:marTop w:val="0"/>
      <w:marBottom w:val="0"/>
      <w:divBdr>
        <w:top w:val="none" w:sz="0" w:space="0" w:color="auto"/>
        <w:left w:val="none" w:sz="0" w:space="0" w:color="auto"/>
        <w:bottom w:val="none" w:sz="0" w:space="0" w:color="auto"/>
        <w:right w:val="none" w:sz="0" w:space="0" w:color="auto"/>
      </w:divBdr>
    </w:div>
    <w:div w:id="609122943">
      <w:bodyDiv w:val="1"/>
      <w:marLeft w:val="0"/>
      <w:marRight w:val="0"/>
      <w:marTop w:val="0"/>
      <w:marBottom w:val="0"/>
      <w:divBdr>
        <w:top w:val="none" w:sz="0" w:space="0" w:color="auto"/>
        <w:left w:val="none" w:sz="0" w:space="0" w:color="auto"/>
        <w:bottom w:val="none" w:sz="0" w:space="0" w:color="auto"/>
        <w:right w:val="none" w:sz="0" w:space="0" w:color="auto"/>
      </w:divBdr>
    </w:div>
    <w:div w:id="642350286">
      <w:bodyDiv w:val="1"/>
      <w:marLeft w:val="0"/>
      <w:marRight w:val="0"/>
      <w:marTop w:val="0"/>
      <w:marBottom w:val="0"/>
      <w:divBdr>
        <w:top w:val="none" w:sz="0" w:space="0" w:color="auto"/>
        <w:left w:val="none" w:sz="0" w:space="0" w:color="auto"/>
        <w:bottom w:val="none" w:sz="0" w:space="0" w:color="auto"/>
        <w:right w:val="none" w:sz="0" w:space="0" w:color="auto"/>
      </w:divBdr>
    </w:div>
    <w:div w:id="647251495">
      <w:bodyDiv w:val="1"/>
      <w:marLeft w:val="0"/>
      <w:marRight w:val="0"/>
      <w:marTop w:val="0"/>
      <w:marBottom w:val="0"/>
      <w:divBdr>
        <w:top w:val="none" w:sz="0" w:space="0" w:color="auto"/>
        <w:left w:val="none" w:sz="0" w:space="0" w:color="auto"/>
        <w:bottom w:val="none" w:sz="0" w:space="0" w:color="auto"/>
        <w:right w:val="none" w:sz="0" w:space="0" w:color="auto"/>
      </w:divBdr>
    </w:div>
    <w:div w:id="656610747">
      <w:bodyDiv w:val="1"/>
      <w:marLeft w:val="0"/>
      <w:marRight w:val="0"/>
      <w:marTop w:val="0"/>
      <w:marBottom w:val="0"/>
      <w:divBdr>
        <w:top w:val="none" w:sz="0" w:space="0" w:color="auto"/>
        <w:left w:val="none" w:sz="0" w:space="0" w:color="auto"/>
        <w:bottom w:val="none" w:sz="0" w:space="0" w:color="auto"/>
        <w:right w:val="none" w:sz="0" w:space="0" w:color="auto"/>
      </w:divBdr>
    </w:div>
    <w:div w:id="671563552">
      <w:bodyDiv w:val="1"/>
      <w:marLeft w:val="0"/>
      <w:marRight w:val="0"/>
      <w:marTop w:val="0"/>
      <w:marBottom w:val="0"/>
      <w:divBdr>
        <w:top w:val="none" w:sz="0" w:space="0" w:color="auto"/>
        <w:left w:val="none" w:sz="0" w:space="0" w:color="auto"/>
        <w:bottom w:val="none" w:sz="0" w:space="0" w:color="auto"/>
        <w:right w:val="none" w:sz="0" w:space="0" w:color="auto"/>
      </w:divBdr>
    </w:div>
    <w:div w:id="677656352">
      <w:bodyDiv w:val="1"/>
      <w:marLeft w:val="0"/>
      <w:marRight w:val="0"/>
      <w:marTop w:val="0"/>
      <w:marBottom w:val="0"/>
      <w:divBdr>
        <w:top w:val="none" w:sz="0" w:space="0" w:color="auto"/>
        <w:left w:val="none" w:sz="0" w:space="0" w:color="auto"/>
        <w:bottom w:val="none" w:sz="0" w:space="0" w:color="auto"/>
        <w:right w:val="none" w:sz="0" w:space="0" w:color="auto"/>
      </w:divBdr>
    </w:div>
    <w:div w:id="723067651">
      <w:bodyDiv w:val="1"/>
      <w:marLeft w:val="0"/>
      <w:marRight w:val="0"/>
      <w:marTop w:val="0"/>
      <w:marBottom w:val="0"/>
      <w:divBdr>
        <w:top w:val="none" w:sz="0" w:space="0" w:color="auto"/>
        <w:left w:val="none" w:sz="0" w:space="0" w:color="auto"/>
        <w:bottom w:val="none" w:sz="0" w:space="0" w:color="auto"/>
        <w:right w:val="none" w:sz="0" w:space="0" w:color="auto"/>
      </w:divBdr>
    </w:div>
    <w:div w:id="742147401">
      <w:bodyDiv w:val="1"/>
      <w:marLeft w:val="0"/>
      <w:marRight w:val="0"/>
      <w:marTop w:val="0"/>
      <w:marBottom w:val="0"/>
      <w:divBdr>
        <w:top w:val="none" w:sz="0" w:space="0" w:color="auto"/>
        <w:left w:val="none" w:sz="0" w:space="0" w:color="auto"/>
        <w:bottom w:val="none" w:sz="0" w:space="0" w:color="auto"/>
        <w:right w:val="none" w:sz="0" w:space="0" w:color="auto"/>
      </w:divBdr>
    </w:div>
    <w:div w:id="812721320">
      <w:bodyDiv w:val="1"/>
      <w:marLeft w:val="0"/>
      <w:marRight w:val="0"/>
      <w:marTop w:val="0"/>
      <w:marBottom w:val="0"/>
      <w:divBdr>
        <w:top w:val="none" w:sz="0" w:space="0" w:color="auto"/>
        <w:left w:val="none" w:sz="0" w:space="0" w:color="auto"/>
        <w:bottom w:val="none" w:sz="0" w:space="0" w:color="auto"/>
        <w:right w:val="none" w:sz="0" w:space="0" w:color="auto"/>
      </w:divBdr>
    </w:div>
    <w:div w:id="820073670">
      <w:bodyDiv w:val="1"/>
      <w:marLeft w:val="0"/>
      <w:marRight w:val="0"/>
      <w:marTop w:val="0"/>
      <w:marBottom w:val="0"/>
      <w:divBdr>
        <w:top w:val="none" w:sz="0" w:space="0" w:color="auto"/>
        <w:left w:val="none" w:sz="0" w:space="0" w:color="auto"/>
        <w:bottom w:val="none" w:sz="0" w:space="0" w:color="auto"/>
        <w:right w:val="none" w:sz="0" w:space="0" w:color="auto"/>
      </w:divBdr>
    </w:div>
    <w:div w:id="830759477">
      <w:bodyDiv w:val="1"/>
      <w:marLeft w:val="0"/>
      <w:marRight w:val="0"/>
      <w:marTop w:val="0"/>
      <w:marBottom w:val="0"/>
      <w:divBdr>
        <w:top w:val="none" w:sz="0" w:space="0" w:color="auto"/>
        <w:left w:val="none" w:sz="0" w:space="0" w:color="auto"/>
        <w:bottom w:val="none" w:sz="0" w:space="0" w:color="auto"/>
        <w:right w:val="none" w:sz="0" w:space="0" w:color="auto"/>
      </w:divBdr>
    </w:div>
    <w:div w:id="843278208">
      <w:bodyDiv w:val="1"/>
      <w:marLeft w:val="0"/>
      <w:marRight w:val="0"/>
      <w:marTop w:val="0"/>
      <w:marBottom w:val="0"/>
      <w:divBdr>
        <w:top w:val="none" w:sz="0" w:space="0" w:color="auto"/>
        <w:left w:val="none" w:sz="0" w:space="0" w:color="auto"/>
        <w:bottom w:val="none" w:sz="0" w:space="0" w:color="auto"/>
        <w:right w:val="none" w:sz="0" w:space="0" w:color="auto"/>
      </w:divBdr>
    </w:div>
    <w:div w:id="845284881">
      <w:bodyDiv w:val="1"/>
      <w:marLeft w:val="0"/>
      <w:marRight w:val="0"/>
      <w:marTop w:val="0"/>
      <w:marBottom w:val="0"/>
      <w:divBdr>
        <w:top w:val="none" w:sz="0" w:space="0" w:color="auto"/>
        <w:left w:val="none" w:sz="0" w:space="0" w:color="auto"/>
        <w:bottom w:val="none" w:sz="0" w:space="0" w:color="auto"/>
        <w:right w:val="none" w:sz="0" w:space="0" w:color="auto"/>
      </w:divBdr>
    </w:div>
    <w:div w:id="866334023">
      <w:bodyDiv w:val="1"/>
      <w:marLeft w:val="0"/>
      <w:marRight w:val="0"/>
      <w:marTop w:val="0"/>
      <w:marBottom w:val="0"/>
      <w:divBdr>
        <w:top w:val="none" w:sz="0" w:space="0" w:color="auto"/>
        <w:left w:val="none" w:sz="0" w:space="0" w:color="auto"/>
        <w:bottom w:val="none" w:sz="0" w:space="0" w:color="auto"/>
        <w:right w:val="none" w:sz="0" w:space="0" w:color="auto"/>
      </w:divBdr>
    </w:div>
    <w:div w:id="898126380">
      <w:bodyDiv w:val="1"/>
      <w:marLeft w:val="0"/>
      <w:marRight w:val="0"/>
      <w:marTop w:val="0"/>
      <w:marBottom w:val="0"/>
      <w:divBdr>
        <w:top w:val="none" w:sz="0" w:space="0" w:color="auto"/>
        <w:left w:val="none" w:sz="0" w:space="0" w:color="auto"/>
        <w:bottom w:val="none" w:sz="0" w:space="0" w:color="auto"/>
        <w:right w:val="none" w:sz="0" w:space="0" w:color="auto"/>
      </w:divBdr>
    </w:div>
    <w:div w:id="948246318">
      <w:bodyDiv w:val="1"/>
      <w:marLeft w:val="0"/>
      <w:marRight w:val="0"/>
      <w:marTop w:val="0"/>
      <w:marBottom w:val="0"/>
      <w:divBdr>
        <w:top w:val="none" w:sz="0" w:space="0" w:color="auto"/>
        <w:left w:val="none" w:sz="0" w:space="0" w:color="auto"/>
        <w:bottom w:val="none" w:sz="0" w:space="0" w:color="auto"/>
        <w:right w:val="none" w:sz="0" w:space="0" w:color="auto"/>
      </w:divBdr>
    </w:div>
    <w:div w:id="1005018157">
      <w:bodyDiv w:val="1"/>
      <w:marLeft w:val="0"/>
      <w:marRight w:val="0"/>
      <w:marTop w:val="0"/>
      <w:marBottom w:val="0"/>
      <w:divBdr>
        <w:top w:val="none" w:sz="0" w:space="0" w:color="auto"/>
        <w:left w:val="none" w:sz="0" w:space="0" w:color="auto"/>
        <w:bottom w:val="none" w:sz="0" w:space="0" w:color="auto"/>
        <w:right w:val="none" w:sz="0" w:space="0" w:color="auto"/>
      </w:divBdr>
    </w:div>
    <w:div w:id="1042438093">
      <w:bodyDiv w:val="1"/>
      <w:marLeft w:val="0"/>
      <w:marRight w:val="0"/>
      <w:marTop w:val="0"/>
      <w:marBottom w:val="0"/>
      <w:divBdr>
        <w:top w:val="none" w:sz="0" w:space="0" w:color="auto"/>
        <w:left w:val="none" w:sz="0" w:space="0" w:color="auto"/>
        <w:bottom w:val="none" w:sz="0" w:space="0" w:color="auto"/>
        <w:right w:val="none" w:sz="0" w:space="0" w:color="auto"/>
      </w:divBdr>
    </w:div>
    <w:div w:id="1055159969">
      <w:bodyDiv w:val="1"/>
      <w:marLeft w:val="0"/>
      <w:marRight w:val="0"/>
      <w:marTop w:val="0"/>
      <w:marBottom w:val="0"/>
      <w:divBdr>
        <w:top w:val="none" w:sz="0" w:space="0" w:color="auto"/>
        <w:left w:val="none" w:sz="0" w:space="0" w:color="auto"/>
        <w:bottom w:val="none" w:sz="0" w:space="0" w:color="auto"/>
        <w:right w:val="none" w:sz="0" w:space="0" w:color="auto"/>
      </w:divBdr>
    </w:div>
    <w:div w:id="1060902842">
      <w:bodyDiv w:val="1"/>
      <w:marLeft w:val="0"/>
      <w:marRight w:val="0"/>
      <w:marTop w:val="0"/>
      <w:marBottom w:val="0"/>
      <w:divBdr>
        <w:top w:val="none" w:sz="0" w:space="0" w:color="auto"/>
        <w:left w:val="none" w:sz="0" w:space="0" w:color="auto"/>
        <w:bottom w:val="none" w:sz="0" w:space="0" w:color="auto"/>
        <w:right w:val="none" w:sz="0" w:space="0" w:color="auto"/>
      </w:divBdr>
    </w:div>
    <w:div w:id="1061712278">
      <w:bodyDiv w:val="1"/>
      <w:marLeft w:val="0"/>
      <w:marRight w:val="0"/>
      <w:marTop w:val="0"/>
      <w:marBottom w:val="0"/>
      <w:divBdr>
        <w:top w:val="none" w:sz="0" w:space="0" w:color="auto"/>
        <w:left w:val="none" w:sz="0" w:space="0" w:color="auto"/>
        <w:bottom w:val="none" w:sz="0" w:space="0" w:color="auto"/>
        <w:right w:val="none" w:sz="0" w:space="0" w:color="auto"/>
      </w:divBdr>
    </w:div>
    <w:div w:id="1061946846">
      <w:bodyDiv w:val="1"/>
      <w:marLeft w:val="0"/>
      <w:marRight w:val="0"/>
      <w:marTop w:val="0"/>
      <w:marBottom w:val="0"/>
      <w:divBdr>
        <w:top w:val="none" w:sz="0" w:space="0" w:color="auto"/>
        <w:left w:val="none" w:sz="0" w:space="0" w:color="auto"/>
        <w:bottom w:val="none" w:sz="0" w:space="0" w:color="auto"/>
        <w:right w:val="none" w:sz="0" w:space="0" w:color="auto"/>
      </w:divBdr>
    </w:div>
    <w:div w:id="1082138553">
      <w:bodyDiv w:val="1"/>
      <w:marLeft w:val="0"/>
      <w:marRight w:val="0"/>
      <w:marTop w:val="0"/>
      <w:marBottom w:val="0"/>
      <w:divBdr>
        <w:top w:val="none" w:sz="0" w:space="0" w:color="auto"/>
        <w:left w:val="none" w:sz="0" w:space="0" w:color="auto"/>
        <w:bottom w:val="none" w:sz="0" w:space="0" w:color="auto"/>
        <w:right w:val="none" w:sz="0" w:space="0" w:color="auto"/>
      </w:divBdr>
      <w:divsChild>
        <w:div w:id="1512136786">
          <w:marLeft w:val="0"/>
          <w:marRight w:val="0"/>
          <w:marTop w:val="0"/>
          <w:marBottom w:val="0"/>
          <w:divBdr>
            <w:top w:val="none" w:sz="0" w:space="0" w:color="auto"/>
            <w:left w:val="none" w:sz="0" w:space="0" w:color="auto"/>
            <w:bottom w:val="none" w:sz="0" w:space="0" w:color="auto"/>
            <w:right w:val="none" w:sz="0" w:space="0" w:color="auto"/>
          </w:divBdr>
          <w:divsChild>
            <w:div w:id="1438136780">
              <w:marLeft w:val="0"/>
              <w:marRight w:val="0"/>
              <w:marTop w:val="0"/>
              <w:marBottom w:val="0"/>
              <w:divBdr>
                <w:top w:val="none" w:sz="0" w:space="0" w:color="auto"/>
                <w:left w:val="none" w:sz="0" w:space="0" w:color="auto"/>
                <w:bottom w:val="none" w:sz="0" w:space="0" w:color="auto"/>
                <w:right w:val="none" w:sz="0" w:space="0" w:color="auto"/>
              </w:divBdr>
              <w:divsChild>
                <w:div w:id="1200782257">
                  <w:marLeft w:val="0"/>
                  <w:marRight w:val="0"/>
                  <w:marTop w:val="0"/>
                  <w:marBottom w:val="0"/>
                  <w:divBdr>
                    <w:top w:val="none" w:sz="0" w:space="0" w:color="auto"/>
                    <w:left w:val="none" w:sz="0" w:space="0" w:color="auto"/>
                    <w:bottom w:val="none" w:sz="0" w:space="0" w:color="auto"/>
                    <w:right w:val="none" w:sz="0" w:space="0" w:color="auto"/>
                  </w:divBdr>
                  <w:divsChild>
                    <w:div w:id="826826170">
                      <w:marLeft w:val="0"/>
                      <w:marRight w:val="0"/>
                      <w:marTop w:val="0"/>
                      <w:marBottom w:val="0"/>
                      <w:divBdr>
                        <w:top w:val="none" w:sz="0" w:space="0" w:color="auto"/>
                        <w:left w:val="none" w:sz="0" w:space="0" w:color="auto"/>
                        <w:bottom w:val="none" w:sz="0" w:space="0" w:color="auto"/>
                        <w:right w:val="none" w:sz="0" w:space="0" w:color="auto"/>
                      </w:divBdr>
                      <w:divsChild>
                        <w:div w:id="322971712">
                          <w:marLeft w:val="0"/>
                          <w:marRight w:val="0"/>
                          <w:marTop w:val="0"/>
                          <w:marBottom w:val="0"/>
                          <w:divBdr>
                            <w:top w:val="none" w:sz="0" w:space="0" w:color="auto"/>
                            <w:left w:val="none" w:sz="0" w:space="0" w:color="auto"/>
                            <w:bottom w:val="none" w:sz="0" w:space="0" w:color="auto"/>
                            <w:right w:val="none" w:sz="0" w:space="0" w:color="auto"/>
                          </w:divBdr>
                          <w:divsChild>
                            <w:div w:id="871839738">
                              <w:marLeft w:val="0"/>
                              <w:marRight w:val="0"/>
                              <w:marTop w:val="0"/>
                              <w:marBottom w:val="0"/>
                              <w:divBdr>
                                <w:top w:val="none" w:sz="0" w:space="0" w:color="auto"/>
                                <w:left w:val="none" w:sz="0" w:space="0" w:color="auto"/>
                                <w:bottom w:val="none" w:sz="0" w:space="0" w:color="auto"/>
                                <w:right w:val="none" w:sz="0" w:space="0" w:color="auto"/>
                              </w:divBdr>
                              <w:divsChild>
                                <w:div w:id="171219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14851">
                          <w:marLeft w:val="0"/>
                          <w:marRight w:val="0"/>
                          <w:marTop w:val="0"/>
                          <w:marBottom w:val="0"/>
                          <w:divBdr>
                            <w:top w:val="none" w:sz="0" w:space="0" w:color="auto"/>
                            <w:left w:val="none" w:sz="0" w:space="0" w:color="auto"/>
                            <w:bottom w:val="none" w:sz="0" w:space="0" w:color="auto"/>
                            <w:right w:val="none" w:sz="0" w:space="0" w:color="auto"/>
                          </w:divBdr>
                          <w:divsChild>
                            <w:div w:id="1005861504">
                              <w:marLeft w:val="0"/>
                              <w:marRight w:val="0"/>
                              <w:marTop w:val="0"/>
                              <w:marBottom w:val="0"/>
                              <w:divBdr>
                                <w:top w:val="none" w:sz="0" w:space="0" w:color="auto"/>
                                <w:left w:val="none" w:sz="0" w:space="0" w:color="auto"/>
                                <w:bottom w:val="none" w:sz="0" w:space="0" w:color="auto"/>
                                <w:right w:val="none" w:sz="0" w:space="0" w:color="auto"/>
                              </w:divBdr>
                              <w:divsChild>
                                <w:div w:id="316349083">
                                  <w:marLeft w:val="0"/>
                                  <w:marRight w:val="0"/>
                                  <w:marTop w:val="0"/>
                                  <w:marBottom w:val="0"/>
                                  <w:divBdr>
                                    <w:top w:val="none" w:sz="0" w:space="0" w:color="auto"/>
                                    <w:left w:val="none" w:sz="0" w:space="0" w:color="auto"/>
                                    <w:bottom w:val="none" w:sz="0" w:space="0" w:color="auto"/>
                                    <w:right w:val="none" w:sz="0" w:space="0" w:color="auto"/>
                                  </w:divBdr>
                                  <w:divsChild>
                                    <w:div w:id="3445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194214">
      <w:bodyDiv w:val="1"/>
      <w:marLeft w:val="0"/>
      <w:marRight w:val="0"/>
      <w:marTop w:val="0"/>
      <w:marBottom w:val="0"/>
      <w:divBdr>
        <w:top w:val="none" w:sz="0" w:space="0" w:color="auto"/>
        <w:left w:val="none" w:sz="0" w:space="0" w:color="auto"/>
        <w:bottom w:val="none" w:sz="0" w:space="0" w:color="auto"/>
        <w:right w:val="none" w:sz="0" w:space="0" w:color="auto"/>
      </w:divBdr>
    </w:div>
    <w:div w:id="1087919513">
      <w:bodyDiv w:val="1"/>
      <w:marLeft w:val="0"/>
      <w:marRight w:val="0"/>
      <w:marTop w:val="0"/>
      <w:marBottom w:val="0"/>
      <w:divBdr>
        <w:top w:val="none" w:sz="0" w:space="0" w:color="auto"/>
        <w:left w:val="none" w:sz="0" w:space="0" w:color="auto"/>
        <w:bottom w:val="none" w:sz="0" w:space="0" w:color="auto"/>
        <w:right w:val="none" w:sz="0" w:space="0" w:color="auto"/>
      </w:divBdr>
    </w:div>
    <w:div w:id="1108622386">
      <w:bodyDiv w:val="1"/>
      <w:marLeft w:val="0"/>
      <w:marRight w:val="0"/>
      <w:marTop w:val="0"/>
      <w:marBottom w:val="0"/>
      <w:divBdr>
        <w:top w:val="none" w:sz="0" w:space="0" w:color="auto"/>
        <w:left w:val="none" w:sz="0" w:space="0" w:color="auto"/>
        <w:bottom w:val="none" w:sz="0" w:space="0" w:color="auto"/>
        <w:right w:val="none" w:sz="0" w:space="0" w:color="auto"/>
      </w:divBdr>
    </w:div>
    <w:div w:id="1117679163">
      <w:bodyDiv w:val="1"/>
      <w:marLeft w:val="0"/>
      <w:marRight w:val="0"/>
      <w:marTop w:val="0"/>
      <w:marBottom w:val="0"/>
      <w:divBdr>
        <w:top w:val="none" w:sz="0" w:space="0" w:color="auto"/>
        <w:left w:val="none" w:sz="0" w:space="0" w:color="auto"/>
        <w:bottom w:val="none" w:sz="0" w:space="0" w:color="auto"/>
        <w:right w:val="none" w:sz="0" w:space="0" w:color="auto"/>
      </w:divBdr>
    </w:div>
    <w:div w:id="1118766140">
      <w:bodyDiv w:val="1"/>
      <w:marLeft w:val="0"/>
      <w:marRight w:val="0"/>
      <w:marTop w:val="0"/>
      <w:marBottom w:val="0"/>
      <w:divBdr>
        <w:top w:val="none" w:sz="0" w:space="0" w:color="auto"/>
        <w:left w:val="none" w:sz="0" w:space="0" w:color="auto"/>
        <w:bottom w:val="none" w:sz="0" w:space="0" w:color="auto"/>
        <w:right w:val="none" w:sz="0" w:space="0" w:color="auto"/>
      </w:divBdr>
    </w:div>
    <w:div w:id="1120295015">
      <w:bodyDiv w:val="1"/>
      <w:marLeft w:val="0"/>
      <w:marRight w:val="0"/>
      <w:marTop w:val="0"/>
      <w:marBottom w:val="0"/>
      <w:divBdr>
        <w:top w:val="none" w:sz="0" w:space="0" w:color="auto"/>
        <w:left w:val="none" w:sz="0" w:space="0" w:color="auto"/>
        <w:bottom w:val="none" w:sz="0" w:space="0" w:color="auto"/>
        <w:right w:val="none" w:sz="0" w:space="0" w:color="auto"/>
      </w:divBdr>
    </w:div>
    <w:div w:id="1148060548">
      <w:bodyDiv w:val="1"/>
      <w:marLeft w:val="0"/>
      <w:marRight w:val="0"/>
      <w:marTop w:val="0"/>
      <w:marBottom w:val="0"/>
      <w:divBdr>
        <w:top w:val="none" w:sz="0" w:space="0" w:color="auto"/>
        <w:left w:val="none" w:sz="0" w:space="0" w:color="auto"/>
        <w:bottom w:val="none" w:sz="0" w:space="0" w:color="auto"/>
        <w:right w:val="none" w:sz="0" w:space="0" w:color="auto"/>
      </w:divBdr>
    </w:div>
    <w:div w:id="1180780376">
      <w:bodyDiv w:val="1"/>
      <w:marLeft w:val="0"/>
      <w:marRight w:val="0"/>
      <w:marTop w:val="0"/>
      <w:marBottom w:val="0"/>
      <w:divBdr>
        <w:top w:val="none" w:sz="0" w:space="0" w:color="auto"/>
        <w:left w:val="none" w:sz="0" w:space="0" w:color="auto"/>
        <w:bottom w:val="none" w:sz="0" w:space="0" w:color="auto"/>
        <w:right w:val="none" w:sz="0" w:space="0" w:color="auto"/>
      </w:divBdr>
    </w:div>
    <w:div w:id="1229195264">
      <w:bodyDiv w:val="1"/>
      <w:marLeft w:val="0"/>
      <w:marRight w:val="0"/>
      <w:marTop w:val="0"/>
      <w:marBottom w:val="0"/>
      <w:divBdr>
        <w:top w:val="none" w:sz="0" w:space="0" w:color="auto"/>
        <w:left w:val="none" w:sz="0" w:space="0" w:color="auto"/>
        <w:bottom w:val="none" w:sz="0" w:space="0" w:color="auto"/>
        <w:right w:val="none" w:sz="0" w:space="0" w:color="auto"/>
      </w:divBdr>
    </w:div>
    <w:div w:id="1251965859">
      <w:bodyDiv w:val="1"/>
      <w:marLeft w:val="0"/>
      <w:marRight w:val="0"/>
      <w:marTop w:val="0"/>
      <w:marBottom w:val="0"/>
      <w:divBdr>
        <w:top w:val="none" w:sz="0" w:space="0" w:color="auto"/>
        <w:left w:val="none" w:sz="0" w:space="0" w:color="auto"/>
        <w:bottom w:val="none" w:sz="0" w:space="0" w:color="auto"/>
        <w:right w:val="none" w:sz="0" w:space="0" w:color="auto"/>
      </w:divBdr>
    </w:div>
    <w:div w:id="1264612347">
      <w:bodyDiv w:val="1"/>
      <w:marLeft w:val="0"/>
      <w:marRight w:val="0"/>
      <w:marTop w:val="0"/>
      <w:marBottom w:val="0"/>
      <w:divBdr>
        <w:top w:val="none" w:sz="0" w:space="0" w:color="auto"/>
        <w:left w:val="none" w:sz="0" w:space="0" w:color="auto"/>
        <w:bottom w:val="none" w:sz="0" w:space="0" w:color="auto"/>
        <w:right w:val="none" w:sz="0" w:space="0" w:color="auto"/>
      </w:divBdr>
    </w:div>
    <w:div w:id="1282030702">
      <w:bodyDiv w:val="1"/>
      <w:marLeft w:val="0"/>
      <w:marRight w:val="0"/>
      <w:marTop w:val="0"/>
      <w:marBottom w:val="0"/>
      <w:divBdr>
        <w:top w:val="none" w:sz="0" w:space="0" w:color="auto"/>
        <w:left w:val="none" w:sz="0" w:space="0" w:color="auto"/>
        <w:bottom w:val="none" w:sz="0" w:space="0" w:color="auto"/>
        <w:right w:val="none" w:sz="0" w:space="0" w:color="auto"/>
      </w:divBdr>
    </w:div>
    <w:div w:id="1301496407">
      <w:bodyDiv w:val="1"/>
      <w:marLeft w:val="0"/>
      <w:marRight w:val="0"/>
      <w:marTop w:val="0"/>
      <w:marBottom w:val="0"/>
      <w:divBdr>
        <w:top w:val="none" w:sz="0" w:space="0" w:color="auto"/>
        <w:left w:val="none" w:sz="0" w:space="0" w:color="auto"/>
        <w:bottom w:val="none" w:sz="0" w:space="0" w:color="auto"/>
        <w:right w:val="none" w:sz="0" w:space="0" w:color="auto"/>
      </w:divBdr>
    </w:div>
    <w:div w:id="1322780870">
      <w:bodyDiv w:val="1"/>
      <w:marLeft w:val="0"/>
      <w:marRight w:val="0"/>
      <w:marTop w:val="0"/>
      <w:marBottom w:val="0"/>
      <w:divBdr>
        <w:top w:val="none" w:sz="0" w:space="0" w:color="auto"/>
        <w:left w:val="none" w:sz="0" w:space="0" w:color="auto"/>
        <w:bottom w:val="none" w:sz="0" w:space="0" w:color="auto"/>
        <w:right w:val="none" w:sz="0" w:space="0" w:color="auto"/>
      </w:divBdr>
    </w:div>
    <w:div w:id="1332173625">
      <w:bodyDiv w:val="1"/>
      <w:marLeft w:val="0"/>
      <w:marRight w:val="0"/>
      <w:marTop w:val="0"/>
      <w:marBottom w:val="0"/>
      <w:divBdr>
        <w:top w:val="none" w:sz="0" w:space="0" w:color="auto"/>
        <w:left w:val="none" w:sz="0" w:space="0" w:color="auto"/>
        <w:bottom w:val="none" w:sz="0" w:space="0" w:color="auto"/>
        <w:right w:val="none" w:sz="0" w:space="0" w:color="auto"/>
      </w:divBdr>
    </w:div>
    <w:div w:id="1338579721">
      <w:bodyDiv w:val="1"/>
      <w:marLeft w:val="0"/>
      <w:marRight w:val="0"/>
      <w:marTop w:val="0"/>
      <w:marBottom w:val="0"/>
      <w:divBdr>
        <w:top w:val="none" w:sz="0" w:space="0" w:color="auto"/>
        <w:left w:val="none" w:sz="0" w:space="0" w:color="auto"/>
        <w:bottom w:val="none" w:sz="0" w:space="0" w:color="auto"/>
        <w:right w:val="none" w:sz="0" w:space="0" w:color="auto"/>
      </w:divBdr>
    </w:div>
    <w:div w:id="1353805242">
      <w:bodyDiv w:val="1"/>
      <w:marLeft w:val="0"/>
      <w:marRight w:val="0"/>
      <w:marTop w:val="0"/>
      <w:marBottom w:val="0"/>
      <w:divBdr>
        <w:top w:val="none" w:sz="0" w:space="0" w:color="auto"/>
        <w:left w:val="none" w:sz="0" w:space="0" w:color="auto"/>
        <w:bottom w:val="none" w:sz="0" w:space="0" w:color="auto"/>
        <w:right w:val="none" w:sz="0" w:space="0" w:color="auto"/>
      </w:divBdr>
    </w:div>
    <w:div w:id="1353996117">
      <w:bodyDiv w:val="1"/>
      <w:marLeft w:val="0"/>
      <w:marRight w:val="0"/>
      <w:marTop w:val="0"/>
      <w:marBottom w:val="0"/>
      <w:divBdr>
        <w:top w:val="none" w:sz="0" w:space="0" w:color="auto"/>
        <w:left w:val="none" w:sz="0" w:space="0" w:color="auto"/>
        <w:bottom w:val="none" w:sz="0" w:space="0" w:color="auto"/>
        <w:right w:val="none" w:sz="0" w:space="0" w:color="auto"/>
      </w:divBdr>
    </w:div>
    <w:div w:id="1359815787">
      <w:bodyDiv w:val="1"/>
      <w:marLeft w:val="0"/>
      <w:marRight w:val="0"/>
      <w:marTop w:val="0"/>
      <w:marBottom w:val="0"/>
      <w:divBdr>
        <w:top w:val="none" w:sz="0" w:space="0" w:color="auto"/>
        <w:left w:val="none" w:sz="0" w:space="0" w:color="auto"/>
        <w:bottom w:val="none" w:sz="0" w:space="0" w:color="auto"/>
        <w:right w:val="none" w:sz="0" w:space="0" w:color="auto"/>
      </w:divBdr>
    </w:div>
    <w:div w:id="1445223219">
      <w:bodyDiv w:val="1"/>
      <w:marLeft w:val="0"/>
      <w:marRight w:val="0"/>
      <w:marTop w:val="0"/>
      <w:marBottom w:val="0"/>
      <w:divBdr>
        <w:top w:val="none" w:sz="0" w:space="0" w:color="auto"/>
        <w:left w:val="none" w:sz="0" w:space="0" w:color="auto"/>
        <w:bottom w:val="none" w:sz="0" w:space="0" w:color="auto"/>
        <w:right w:val="none" w:sz="0" w:space="0" w:color="auto"/>
      </w:divBdr>
    </w:div>
    <w:div w:id="1446004410">
      <w:bodyDiv w:val="1"/>
      <w:marLeft w:val="0"/>
      <w:marRight w:val="0"/>
      <w:marTop w:val="0"/>
      <w:marBottom w:val="0"/>
      <w:divBdr>
        <w:top w:val="none" w:sz="0" w:space="0" w:color="auto"/>
        <w:left w:val="none" w:sz="0" w:space="0" w:color="auto"/>
        <w:bottom w:val="none" w:sz="0" w:space="0" w:color="auto"/>
        <w:right w:val="none" w:sz="0" w:space="0" w:color="auto"/>
      </w:divBdr>
    </w:div>
    <w:div w:id="1447001416">
      <w:bodyDiv w:val="1"/>
      <w:marLeft w:val="0"/>
      <w:marRight w:val="0"/>
      <w:marTop w:val="0"/>
      <w:marBottom w:val="0"/>
      <w:divBdr>
        <w:top w:val="none" w:sz="0" w:space="0" w:color="auto"/>
        <w:left w:val="none" w:sz="0" w:space="0" w:color="auto"/>
        <w:bottom w:val="none" w:sz="0" w:space="0" w:color="auto"/>
        <w:right w:val="none" w:sz="0" w:space="0" w:color="auto"/>
      </w:divBdr>
    </w:div>
    <w:div w:id="1456558126">
      <w:bodyDiv w:val="1"/>
      <w:marLeft w:val="0"/>
      <w:marRight w:val="0"/>
      <w:marTop w:val="0"/>
      <w:marBottom w:val="0"/>
      <w:divBdr>
        <w:top w:val="none" w:sz="0" w:space="0" w:color="auto"/>
        <w:left w:val="none" w:sz="0" w:space="0" w:color="auto"/>
        <w:bottom w:val="none" w:sz="0" w:space="0" w:color="auto"/>
        <w:right w:val="none" w:sz="0" w:space="0" w:color="auto"/>
      </w:divBdr>
    </w:div>
    <w:div w:id="1464229900">
      <w:bodyDiv w:val="1"/>
      <w:marLeft w:val="0"/>
      <w:marRight w:val="0"/>
      <w:marTop w:val="0"/>
      <w:marBottom w:val="0"/>
      <w:divBdr>
        <w:top w:val="none" w:sz="0" w:space="0" w:color="auto"/>
        <w:left w:val="none" w:sz="0" w:space="0" w:color="auto"/>
        <w:bottom w:val="none" w:sz="0" w:space="0" w:color="auto"/>
        <w:right w:val="none" w:sz="0" w:space="0" w:color="auto"/>
      </w:divBdr>
    </w:div>
    <w:div w:id="1465661636">
      <w:bodyDiv w:val="1"/>
      <w:marLeft w:val="0"/>
      <w:marRight w:val="0"/>
      <w:marTop w:val="0"/>
      <w:marBottom w:val="0"/>
      <w:divBdr>
        <w:top w:val="none" w:sz="0" w:space="0" w:color="auto"/>
        <w:left w:val="none" w:sz="0" w:space="0" w:color="auto"/>
        <w:bottom w:val="none" w:sz="0" w:space="0" w:color="auto"/>
        <w:right w:val="none" w:sz="0" w:space="0" w:color="auto"/>
      </w:divBdr>
    </w:div>
    <w:div w:id="1481730833">
      <w:bodyDiv w:val="1"/>
      <w:marLeft w:val="0"/>
      <w:marRight w:val="0"/>
      <w:marTop w:val="0"/>
      <w:marBottom w:val="0"/>
      <w:divBdr>
        <w:top w:val="none" w:sz="0" w:space="0" w:color="auto"/>
        <w:left w:val="none" w:sz="0" w:space="0" w:color="auto"/>
        <w:bottom w:val="none" w:sz="0" w:space="0" w:color="auto"/>
        <w:right w:val="none" w:sz="0" w:space="0" w:color="auto"/>
      </w:divBdr>
      <w:divsChild>
        <w:div w:id="1372996351">
          <w:marLeft w:val="0"/>
          <w:marRight w:val="0"/>
          <w:marTop w:val="0"/>
          <w:marBottom w:val="0"/>
          <w:divBdr>
            <w:top w:val="none" w:sz="0" w:space="0" w:color="auto"/>
            <w:left w:val="none" w:sz="0" w:space="0" w:color="auto"/>
            <w:bottom w:val="none" w:sz="0" w:space="0" w:color="auto"/>
            <w:right w:val="none" w:sz="0" w:space="0" w:color="auto"/>
          </w:divBdr>
          <w:divsChild>
            <w:div w:id="947471290">
              <w:marLeft w:val="0"/>
              <w:marRight w:val="0"/>
              <w:marTop w:val="0"/>
              <w:marBottom w:val="0"/>
              <w:divBdr>
                <w:top w:val="none" w:sz="0" w:space="0" w:color="auto"/>
                <w:left w:val="none" w:sz="0" w:space="0" w:color="auto"/>
                <w:bottom w:val="none" w:sz="0" w:space="0" w:color="auto"/>
                <w:right w:val="none" w:sz="0" w:space="0" w:color="auto"/>
              </w:divBdr>
              <w:divsChild>
                <w:div w:id="1724332371">
                  <w:marLeft w:val="0"/>
                  <w:marRight w:val="0"/>
                  <w:marTop w:val="0"/>
                  <w:marBottom w:val="0"/>
                  <w:divBdr>
                    <w:top w:val="none" w:sz="0" w:space="0" w:color="auto"/>
                    <w:left w:val="none" w:sz="0" w:space="0" w:color="auto"/>
                    <w:bottom w:val="none" w:sz="0" w:space="0" w:color="auto"/>
                    <w:right w:val="none" w:sz="0" w:space="0" w:color="auto"/>
                  </w:divBdr>
                  <w:divsChild>
                    <w:div w:id="1010448224">
                      <w:marLeft w:val="0"/>
                      <w:marRight w:val="0"/>
                      <w:marTop w:val="0"/>
                      <w:marBottom w:val="0"/>
                      <w:divBdr>
                        <w:top w:val="none" w:sz="0" w:space="0" w:color="auto"/>
                        <w:left w:val="none" w:sz="0" w:space="0" w:color="auto"/>
                        <w:bottom w:val="none" w:sz="0" w:space="0" w:color="auto"/>
                        <w:right w:val="none" w:sz="0" w:space="0" w:color="auto"/>
                      </w:divBdr>
                      <w:divsChild>
                        <w:div w:id="237908423">
                          <w:marLeft w:val="0"/>
                          <w:marRight w:val="0"/>
                          <w:marTop w:val="0"/>
                          <w:marBottom w:val="0"/>
                          <w:divBdr>
                            <w:top w:val="none" w:sz="0" w:space="0" w:color="auto"/>
                            <w:left w:val="none" w:sz="0" w:space="0" w:color="auto"/>
                            <w:bottom w:val="none" w:sz="0" w:space="0" w:color="auto"/>
                            <w:right w:val="none" w:sz="0" w:space="0" w:color="auto"/>
                          </w:divBdr>
                          <w:divsChild>
                            <w:div w:id="2024747349">
                              <w:marLeft w:val="0"/>
                              <w:marRight w:val="0"/>
                              <w:marTop w:val="0"/>
                              <w:marBottom w:val="0"/>
                              <w:divBdr>
                                <w:top w:val="none" w:sz="0" w:space="0" w:color="auto"/>
                                <w:left w:val="none" w:sz="0" w:space="0" w:color="auto"/>
                                <w:bottom w:val="none" w:sz="0" w:space="0" w:color="auto"/>
                                <w:right w:val="none" w:sz="0" w:space="0" w:color="auto"/>
                              </w:divBdr>
                              <w:divsChild>
                                <w:div w:id="90179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95495">
                          <w:marLeft w:val="0"/>
                          <w:marRight w:val="0"/>
                          <w:marTop w:val="0"/>
                          <w:marBottom w:val="0"/>
                          <w:divBdr>
                            <w:top w:val="none" w:sz="0" w:space="0" w:color="auto"/>
                            <w:left w:val="none" w:sz="0" w:space="0" w:color="auto"/>
                            <w:bottom w:val="none" w:sz="0" w:space="0" w:color="auto"/>
                            <w:right w:val="none" w:sz="0" w:space="0" w:color="auto"/>
                          </w:divBdr>
                          <w:divsChild>
                            <w:div w:id="822281221">
                              <w:marLeft w:val="0"/>
                              <w:marRight w:val="0"/>
                              <w:marTop w:val="0"/>
                              <w:marBottom w:val="0"/>
                              <w:divBdr>
                                <w:top w:val="none" w:sz="0" w:space="0" w:color="auto"/>
                                <w:left w:val="none" w:sz="0" w:space="0" w:color="auto"/>
                                <w:bottom w:val="none" w:sz="0" w:space="0" w:color="auto"/>
                                <w:right w:val="none" w:sz="0" w:space="0" w:color="auto"/>
                              </w:divBdr>
                              <w:divsChild>
                                <w:div w:id="1255743375">
                                  <w:marLeft w:val="0"/>
                                  <w:marRight w:val="0"/>
                                  <w:marTop w:val="0"/>
                                  <w:marBottom w:val="0"/>
                                  <w:divBdr>
                                    <w:top w:val="none" w:sz="0" w:space="0" w:color="auto"/>
                                    <w:left w:val="none" w:sz="0" w:space="0" w:color="auto"/>
                                    <w:bottom w:val="none" w:sz="0" w:space="0" w:color="auto"/>
                                    <w:right w:val="none" w:sz="0" w:space="0" w:color="auto"/>
                                  </w:divBdr>
                                  <w:divsChild>
                                    <w:div w:id="12157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173798">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31721815">
      <w:bodyDiv w:val="1"/>
      <w:marLeft w:val="0"/>
      <w:marRight w:val="0"/>
      <w:marTop w:val="0"/>
      <w:marBottom w:val="0"/>
      <w:divBdr>
        <w:top w:val="none" w:sz="0" w:space="0" w:color="auto"/>
        <w:left w:val="none" w:sz="0" w:space="0" w:color="auto"/>
        <w:bottom w:val="none" w:sz="0" w:space="0" w:color="auto"/>
        <w:right w:val="none" w:sz="0" w:space="0" w:color="auto"/>
      </w:divBdr>
    </w:div>
    <w:div w:id="1545143978">
      <w:bodyDiv w:val="1"/>
      <w:marLeft w:val="0"/>
      <w:marRight w:val="0"/>
      <w:marTop w:val="0"/>
      <w:marBottom w:val="0"/>
      <w:divBdr>
        <w:top w:val="none" w:sz="0" w:space="0" w:color="auto"/>
        <w:left w:val="none" w:sz="0" w:space="0" w:color="auto"/>
        <w:bottom w:val="none" w:sz="0" w:space="0" w:color="auto"/>
        <w:right w:val="none" w:sz="0" w:space="0" w:color="auto"/>
      </w:divBdr>
    </w:div>
    <w:div w:id="1562981308">
      <w:bodyDiv w:val="1"/>
      <w:marLeft w:val="0"/>
      <w:marRight w:val="0"/>
      <w:marTop w:val="0"/>
      <w:marBottom w:val="0"/>
      <w:divBdr>
        <w:top w:val="none" w:sz="0" w:space="0" w:color="auto"/>
        <w:left w:val="none" w:sz="0" w:space="0" w:color="auto"/>
        <w:bottom w:val="none" w:sz="0" w:space="0" w:color="auto"/>
        <w:right w:val="none" w:sz="0" w:space="0" w:color="auto"/>
      </w:divBdr>
    </w:div>
    <w:div w:id="1584752616">
      <w:bodyDiv w:val="1"/>
      <w:marLeft w:val="0"/>
      <w:marRight w:val="0"/>
      <w:marTop w:val="0"/>
      <w:marBottom w:val="0"/>
      <w:divBdr>
        <w:top w:val="none" w:sz="0" w:space="0" w:color="auto"/>
        <w:left w:val="none" w:sz="0" w:space="0" w:color="auto"/>
        <w:bottom w:val="none" w:sz="0" w:space="0" w:color="auto"/>
        <w:right w:val="none" w:sz="0" w:space="0" w:color="auto"/>
      </w:divBdr>
    </w:div>
    <w:div w:id="1591814404">
      <w:bodyDiv w:val="1"/>
      <w:marLeft w:val="0"/>
      <w:marRight w:val="0"/>
      <w:marTop w:val="0"/>
      <w:marBottom w:val="0"/>
      <w:divBdr>
        <w:top w:val="none" w:sz="0" w:space="0" w:color="auto"/>
        <w:left w:val="none" w:sz="0" w:space="0" w:color="auto"/>
        <w:bottom w:val="none" w:sz="0" w:space="0" w:color="auto"/>
        <w:right w:val="none" w:sz="0" w:space="0" w:color="auto"/>
      </w:divBdr>
    </w:div>
    <w:div w:id="1599681725">
      <w:bodyDiv w:val="1"/>
      <w:marLeft w:val="0"/>
      <w:marRight w:val="0"/>
      <w:marTop w:val="0"/>
      <w:marBottom w:val="0"/>
      <w:divBdr>
        <w:top w:val="none" w:sz="0" w:space="0" w:color="auto"/>
        <w:left w:val="none" w:sz="0" w:space="0" w:color="auto"/>
        <w:bottom w:val="none" w:sz="0" w:space="0" w:color="auto"/>
        <w:right w:val="none" w:sz="0" w:space="0" w:color="auto"/>
      </w:divBdr>
    </w:div>
    <w:div w:id="1604726314">
      <w:bodyDiv w:val="1"/>
      <w:marLeft w:val="0"/>
      <w:marRight w:val="0"/>
      <w:marTop w:val="0"/>
      <w:marBottom w:val="0"/>
      <w:divBdr>
        <w:top w:val="none" w:sz="0" w:space="0" w:color="auto"/>
        <w:left w:val="none" w:sz="0" w:space="0" w:color="auto"/>
        <w:bottom w:val="none" w:sz="0" w:space="0" w:color="auto"/>
        <w:right w:val="none" w:sz="0" w:space="0" w:color="auto"/>
      </w:divBdr>
    </w:div>
    <w:div w:id="1610772890">
      <w:bodyDiv w:val="1"/>
      <w:marLeft w:val="0"/>
      <w:marRight w:val="0"/>
      <w:marTop w:val="0"/>
      <w:marBottom w:val="0"/>
      <w:divBdr>
        <w:top w:val="none" w:sz="0" w:space="0" w:color="auto"/>
        <w:left w:val="none" w:sz="0" w:space="0" w:color="auto"/>
        <w:bottom w:val="none" w:sz="0" w:space="0" w:color="auto"/>
        <w:right w:val="none" w:sz="0" w:space="0" w:color="auto"/>
      </w:divBdr>
    </w:div>
    <w:div w:id="1611156362">
      <w:bodyDiv w:val="1"/>
      <w:marLeft w:val="0"/>
      <w:marRight w:val="0"/>
      <w:marTop w:val="0"/>
      <w:marBottom w:val="0"/>
      <w:divBdr>
        <w:top w:val="none" w:sz="0" w:space="0" w:color="auto"/>
        <w:left w:val="none" w:sz="0" w:space="0" w:color="auto"/>
        <w:bottom w:val="none" w:sz="0" w:space="0" w:color="auto"/>
        <w:right w:val="none" w:sz="0" w:space="0" w:color="auto"/>
      </w:divBdr>
    </w:div>
    <w:div w:id="1616060167">
      <w:bodyDiv w:val="1"/>
      <w:marLeft w:val="0"/>
      <w:marRight w:val="0"/>
      <w:marTop w:val="0"/>
      <w:marBottom w:val="0"/>
      <w:divBdr>
        <w:top w:val="none" w:sz="0" w:space="0" w:color="auto"/>
        <w:left w:val="none" w:sz="0" w:space="0" w:color="auto"/>
        <w:bottom w:val="none" w:sz="0" w:space="0" w:color="auto"/>
        <w:right w:val="none" w:sz="0" w:space="0" w:color="auto"/>
      </w:divBdr>
    </w:div>
    <w:div w:id="1641642876">
      <w:bodyDiv w:val="1"/>
      <w:marLeft w:val="0"/>
      <w:marRight w:val="0"/>
      <w:marTop w:val="0"/>
      <w:marBottom w:val="0"/>
      <w:divBdr>
        <w:top w:val="none" w:sz="0" w:space="0" w:color="auto"/>
        <w:left w:val="none" w:sz="0" w:space="0" w:color="auto"/>
        <w:bottom w:val="none" w:sz="0" w:space="0" w:color="auto"/>
        <w:right w:val="none" w:sz="0" w:space="0" w:color="auto"/>
      </w:divBdr>
    </w:div>
    <w:div w:id="1661345564">
      <w:bodyDiv w:val="1"/>
      <w:marLeft w:val="0"/>
      <w:marRight w:val="0"/>
      <w:marTop w:val="0"/>
      <w:marBottom w:val="0"/>
      <w:divBdr>
        <w:top w:val="none" w:sz="0" w:space="0" w:color="auto"/>
        <w:left w:val="none" w:sz="0" w:space="0" w:color="auto"/>
        <w:bottom w:val="none" w:sz="0" w:space="0" w:color="auto"/>
        <w:right w:val="none" w:sz="0" w:space="0" w:color="auto"/>
      </w:divBdr>
    </w:div>
    <w:div w:id="1662809870">
      <w:bodyDiv w:val="1"/>
      <w:marLeft w:val="0"/>
      <w:marRight w:val="0"/>
      <w:marTop w:val="0"/>
      <w:marBottom w:val="0"/>
      <w:divBdr>
        <w:top w:val="none" w:sz="0" w:space="0" w:color="auto"/>
        <w:left w:val="none" w:sz="0" w:space="0" w:color="auto"/>
        <w:bottom w:val="none" w:sz="0" w:space="0" w:color="auto"/>
        <w:right w:val="none" w:sz="0" w:space="0" w:color="auto"/>
      </w:divBdr>
    </w:div>
    <w:div w:id="1678385714">
      <w:bodyDiv w:val="1"/>
      <w:marLeft w:val="0"/>
      <w:marRight w:val="0"/>
      <w:marTop w:val="0"/>
      <w:marBottom w:val="0"/>
      <w:divBdr>
        <w:top w:val="none" w:sz="0" w:space="0" w:color="auto"/>
        <w:left w:val="none" w:sz="0" w:space="0" w:color="auto"/>
        <w:bottom w:val="none" w:sz="0" w:space="0" w:color="auto"/>
        <w:right w:val="none" w:sz="0" w:space="0" w:color="auto"/>
      </w:divBdr>
    </w:div>
    <w:div w:id="1726951723">
      <w:bodyDiv w:val="1"/>
      <w:marLeft w:val="0"/>
      <w:marRight w:val="0"/>
      <w:marTop w:val="0"/>
      <w:marBottom w:val="0"/>
      <w:divBdr>
        <w:top w:val="none" w:sz="0" w:space="0" w:color="auto"/>
        <w:left w:val="none" w:sz="0" w:space="0" w:color="auto"/>
        <w:bottom w:val="none" w:sz="0" w:space="0" w:color="auto"/>
        <w:right w:val="none" w:sz="0" w:space="0" w:color="auto"/>
      </w:divBdr>
    </w:div>
    <w:div w:id="1759591359">
      <w:bodyDiv w:val="1"/>
      <w:marLeft w:val="0"/>
      <w:marRight w:val="0"/>
      <w:marTop w:val="0"/>
      <w:marBottom w:val="0"/>
      <w:divBdr>
        <w:top w:val="none" w:sz="0" w:space="0" w:color="auto"/>
        <w:left w:val="none" w:sz="0" w:space="0" w:color="auto"/>
        <w:bottom w:val="none" w:sz="0" w:space="0" w:color="auto"/>
        <w:right w:val="none" w:sz="0" w:space="0" w:color="auto"/>
      </w:divBdr>
    </w:div>
    <w:div w:id="1792899210">
      <w:bodyDiv w:val="1"/>
      <w:marLeft w:val="0"/>
      <w:marRight w:val="0"/>
      <w:marTop w:val="0"/>
      <w:marBottom w:val="0"/>
      <w:divBdr>
        <w:top w:val="none" w:sz="0" w:space="0" w:color="auto"/>
        <w:left w:val="none" w:sz="0" w:space="0" w:color="auto"/>
        <w:bottom w:val="none" w:sz="0" w:space="0" w:color="auto"/>
        <w:right w:val="none" w:sz="0" w:space="0" w:color="auto"/>
      </w:divBdr>
    </w:div>
    <w:div w:id="1798142218">
      <w:bodyDiv w:val="1"/>
      <w:marLeft w:val="0"/>
      <w:marRight w:val="0"/>
      <w:marTop w:val="0"/>
      <w:marBottom w:val="0"/>
      <w:divBdr>
        <w:top w:val="none" w:sz="0" w:space="0" w:color="auto"/>
        <w:left w:val="none" w:sz="0" w:space="0" w:color="auto"/>
        <w:bottom w:val="none" w:sz="0" w:space="0" w:color="auto"/>
        <w:right w:val="none" w:sz="0" w:space="0" w:color="auto"/>
      </w:divBdr>
    </w:div>
    <w:div w:id="1846750787">
      <w:bodyDiv w:val="1"/>
      <w:marLeft w:val="0"/>
      <w:marRight w:val="0"/>
      <w:marTop w:val="0"/>
      <w:marBottom w:val="0"/>
      <w:divBdr>
        <w:top w:val="none" w:sz="0" w:space="0" w:color="auto"/>
        <w:left w:val="none" w:sz="0" w:space="0" w:color="auto"/>
        <w:bottom w:val="none" w:sz="0" w:space="0" w:color="auto"/>
        <w:right w:val="none" w:sz="0" w:space="0" w:color="auto"/>
      </w:divBdr>
    </w:div>
    <w:div w:id="1847552201">
      <w:bodyDiv w:val="1"/>
      <w:marLeft w:val="0"/>
      <w:marRight w:val="0"/>
      <w:marTop w:val="0"/>
      <w:marBottom w:val="0"/>
      <w:divBdr>
        <w:top w:val="none" w:sz="0" w:space="0" w:color="auto"/>
        <w:left w:val="none" w:sz="0" w:space="0" w:color="auto"/>
        <w:bottom w:val="none" w:sz="0" w:space="0" w:color="auto"/>
        <w:right w:val="none" w:sz="0" w:space="0" w:color="auto"/>
      </w:divBdr>
    </w:div>
    <w:div w:id="1867478382">
      <w:bodyDiv w:val="1"/>
      <w:marLeft w:val="0"/>
      <w:marRight w:val="0"/>
      <w:marTop w:val="0"/>
      <w:marBottom w:val="0"/>
      <w:divBdr>
        <w:top w:val="none" w:sz="0" w:space="0" w:color="auto"/>
        <w:left w:val="none" w:sz="0" w:space="0" w:color="auto"/>
        <w:bottom w:val="none" w:sz="0" w:space="0" w:color="auto"/>
        <w:right w:val="none" w:sz="0" w:space="0" w:color="auto"/>
      </w:divBdr>
    </w:div>
    <w:div w:id="1870214944">
      <w:bodyDiv w:val="1"/>
      <w:marLeft w:val="0"/>
      <w:marRight w:val="0"/>
      <w:marTop w:val="0"/>
      <w:marBottom w:val="0"/>
      <w:divBdr>
        <w:top w:val="none" w:sz="0" w:space="0" w:color="auto"/>
        <w:left w:val="none" w:sz="0" w:space="0" w:color="auto"/>
        <w:bottom w:val="none" w:sz="0" w:space="0" w:color="auto"/>
        <w:right w:val="none" w:sz="0" w:space="0" w:color="auto"/>
      </w:divBdr>
    </w:div>
    <w:div w:id="1888567506">
      <w:bodyDiv w:val="1"/>
      <w:marLeft w:val="0"/>
      <w:marRight w:val="0"/>
      <w:marTop w:val="0"/>
      <w:marBottom w:val="0"/>
      <w:divBdr>
        <w:top w:val="none" w:sz="0" w:space="0" w:color="auto"/>
        <w:left w:val="none" w:sz="0" w:space="0" w:color="auto"/>
        <w:bottom w:val="none" w:sz="0" w:space="0" w:color="auto"/>
        <w:right w:val="none" w:sz="0" w:space="0" w:color="auto"/>
      </w:divBdr>
    </w:div>
    <w:div w:id="1889803421">
      <w:bodyDiv w:val="1"/>
      <w:marLeft w:val="0"/>
      <w:marRight w:val="0"/>
      <w:marTop w:val="0"/>
      <w:marBottom w:val="0"/>
      <w:divBdr>
        <w:top w:val="none" w:sz="0" w:space="0" w:color="auto"/>
        <w:left w:val="none" w:sz="0" w:space="0" w:color="auto"/>
        <w:bottom w:val="none" w:sz="0" w:space="0" w:color="auto"/>
        <w:right w:val="none" w:sz="0" w:space="0" w:color="auto"/>
      </w:divBdr>
    </w:div>
    <w:div w:id="1896891814">
      <w:bodyDiv w:val="1"/>
      <w:marLeft w:val="0"/>
      <w:marRight w:val="0"/>
      <w:marTop w:val="0"/>
      <w:marBottom w:val="0"/>
      <w:divBdr>
        <w:top w:val="none" w:sz="0" w:space="0" w:color="auto"/>
        <w:left w:val="none" w:sz="0" w:space="0" w:color="auto"/>
        <w:bottom w:val="none" w:sz="0" w:space="0" w:color="auto"/>
        <w:right w:val="none" w:sz="0" w:space="0" w:color="auto"/>
      </w:divBdr>
    </w:div>
    <w:div w:id="1920626787">
      <w:bodyDiv w:val="1"/>
      <w:marLeft w:val="0"/>
      <w:marRight w:val="0"/>
      <w:marTop w:val="0"/>
      <w:marBottom w:val="0"/>
      <w:divBdr>
        <w:top w:val="none" w:sz="0" w:space="0" w:color="auto"/>
        <w:left w:val="none" w:sz="0" w:space="0" w:color="auto"/>
        <w:bottom w:val="none" w:sz="0" w:space="0" w:color="auto"/>
        <w:right w:val="none" w:sz="0" w:space="0" w:color="auto"/>
      </w:divBdr>
    </w:div>
    <w:div w:id="1940330707">
      <w:bodyDiv w:val="1"/>
      <w:marLeft w:val="0"/>
      <w:marRight w:val="0"/>
      <w:marTop w:val="0"/>
      <w:marBottom w:val="0"/>
      <w:divBdr>
        <w:top w:val="none" w:sz="0" w:space="0" w:color="auto"/>
        <w:left w:val="none" w:sz="0" w:space="0" w:color="auto"/>
        <w:bottom w:val="none" w:sz="0" w:space="0" w:color="auto"/>
        <w:right w:val="none" w:sz="0" w:space="0" w:color="auto"/>
      </w:divBdr>
    </w:div>
    <w:div w:id="1941448077">
      <w:bodyDiv w:val="1"/>
      <w:marLeft w:val="0"/>
      <w:marRight w:val="0"/>
      <w:marTop w:val="0"/>
      <w:marBottom w:val="0"/>
      <w:divBdr>
        <w:top w:val="none" w:sz="0" w:space="0" w:color="auto"/>
        <w:left w:val="none" w:sz="0" w:space="0" w:color="auto"/>
        <w:bottom w:val="none" w:sz="0" w:space="0" w:color="auto"/>
        <w:right w:val="none" w:sz="0" w:space="0" w:color="auto"/>
      </w:divBdr>
    </w:div>
    <w:div w:id="1947737865">
      <w:bodyDiv w:val="1"/>
      <w:marLeft w:val="0"/>
      <w:marRight w:val="0"/>
      <w:marTop w:val="0"/>
      <w:marBottom w:val="0"/>
      <w:divBdr>
        <w:top w:val="none" w:sz="0" w:space="0" w:color="auto"/>
        <w:left w:val="none" w:sz="0" w:space="0" w:color="auto"/>
        <w:bottom w:val="none" w:sz="0" w:space="0" w:color="auto"/>
        <w:right w:val="none" w:sz="0" w:space="0" w:color="auto"/>
      </w:divBdr>
    </w:div>
    <w:div w:id="1966810193">
      <w:bodyDiv w:val="1"/>
      <w:marLeft w:val="0"/>
      <w:marRight w:val="0"/>
      <w:marTop w:val="0"/>
      <w:marBottom w:val="0"/>
      <w:divBdr>
        <w:top w:val="none" w:sz="0" w:space="0" w:color="auto"/>
        <w:left w:val="none" w:sz="0" w:space="0" w:color="auto"/>
        <w:bottom w:val="none" w:sz="0" w:space="0" w:color="auto"/>
        <w:right w:val="none" w:sz="0" w:space="0" w:color="auto"/>
      </w:divBdr>
    </w:div>
    <w:div w:id="2001733756">
      <w:bodyDiv w:val="1"/>
      <w:marLeft w:val="0"/>
      <w:marRight w:val="0"/>
      <w:marTop w:val="0"/>
      <w:marBottom w:val="0"/>
      <w:divBdr>
        <w:top w:val="none" w:sz="0" w:space="0" w:color="auto"/>
        <w:left w:val="none" w:sz="0" w:space="0" w:color="auto"/>
        <w:bottom w:val="none" w:sz="0" w:space="0" w:color="auto"/>
        <w:right w:val="none" w:sz="0" w:space="0" w:color="auto"/>
      </w:divBdr>
    </w:div>
    <w:div w:id="2005694011">
      <w:bodyDiv w:val="1"/>
      <w:marLeft w:val="0"/>
      <w:marRight w:val="0"/>
      <w:marTop w:val="0"/>
      <w:marBottom w:val="0"/>
      <w:divBdr>
        <w:top w:val="none" w:sz="0" w:space="0" w:color="auto"/>
        <w:left w:val="none" w:sz="0" w:space="0" w:color="auto"/>
        <w:bottom w:val="none" w:sz="0" w:space="0" w:color="auto"/>
        <w:right w:val="none" w:sz="0" w:space="0" w:color="auto"/>
      </w:divBdr>
    </w:div>
    <w:div w:id="2014332499">
      <w:bodyDiv w:val="1"/>
      <w:marLeft w:val="0"/>
      <w:marRight w:val="0"/>
      <w:marTop w:val="0"/>
      <w:marBottom w:val="0"/>
      <w:divBdr>
        <w:top w:val="none" w:sz="0" w:space="0" w:color="auto"/>
        <w:left w:val="none" w:sz="0" w:space="0" w:color="auto"/>
        <w:bottom w:val="none" w:sz="0" w:space="0" w:color="auto"/>
        <w:right w:val="none" w:sz="0" w:space="0" w:color="auto"/>
      </w:divBdr>
    </w:div>
    <w:div w:id="2037776770">
      <w:bodyDiv w:val="1"/>
      <w:marLeft w:val="0"/>
      <w:marRight w:val="0"/>
      <w:marTop w:val="0"/>
      <w:marBottom w:val="0"/>
      <w:divBdr>
        <w:top w:val="none" w:sz="0" w:space="0" w:color="auto"/>
        <w:left w:val="none" w:sz="0" w:space="0" w:color="auto"/>
        <w:bottom w:val="none" w:sz="0" w:space="0" w:color="auto"/>
        <w:right w:val="none" w:sz="0" w:space="0" w:color="auto"/>
      </w:divBdr>
    </w:div>
    <w:div w:id="2049328467">
      <w:bodyDiv w:val="1"/>
      <w:marLeft w:val="0"/>
      <w:marRight w:val="0"/>
      <w:marTop w:val="0"/>
      <w:marBottom w:val="0"/>
      <w:divBdr>
        <w:top w:val="none" w:sz="0" w:space="0" w:color="auto"/>
        <w:left w:val="none" w:sz="0" w:space="0" w:color="auto"/>
        <w:bottom w:val="none" w:sz="0" w:space="0" w:color="auto"/>
        <w:right w:val="none" w:sz="0" w:space="0" w:color="auto"/>
      </w:divBdr>
    </w:div>
    <w:div w:id="2061898953">
      <w:bodyDiv w:val="1"/>
      <w:marLeft w:val="0"/>
      <w:marRight w:val="0"/>
      <w:marTop w:val="0"/>
      <w:marBottom w:val="0"/>
      <w:divBdr>
        <w:top w:val="none" w:sz="0" w:space="0" w:color="auto"/>
        <w:left w:val="none" w:sz="0" w:space="0" w:color="auto"/>
        <w:bottom w:val="none" w:sz="0" w:space="0" w:color="auto"/>
        <w:right w:val="none" w:sz="0" w:space="0" w:color="auto"/>
      </w:divBdr>
    </w:div>
    <w:div w:id="2067410333">
      <w:bodyDiv w:val="1"/>
      <w:marLeft w:val="0"/>
      <w:marRight w:val="0"/>
      <w:marTop w:val="0"/>
      <w:marBottom w:val="0"/>
      <w:divBdr>
        <w:top w:val="none" w:sz="0" w:space="0" w:color="auto"/>
        <w:left w:val="none" w:sz="0" w:space="0" w:color="auto"/>
        <w:bottom w:val="none" w:sz="0" w:space="0" w:color="auto"/>
        <w:right w:val="none" w:sz="0" w:space="0" w:color="auto"/>
      </w:divBdr>
    </w:div>
    <w:div w:id="2074233360">
      <w:bodyDiv w:val="1"/>
      <w:marLeft w:val="0"/>
      <w:marRight w:val="0"/>
      <w:marTop w:val="0"/>
      <w:marBottom w:val="0"/>
      <w:divBdr>
        <w:top w:val="none" w:sz="0" w:space="0" w:color="auto"/>
        <w:left w:val="none" w:sz="0" w:space="0" w:color="auto"/>
        <w:bottom w:val="none" w:sz="0" w:space="0" w:color="auto"/>
        <w:right w:val="none" w:sz="0" w:space="0" w:color="auto"/>
      </w:divBdr>
    </w:div>
    <w:div w:id="2087915932">
      <w:bodyDiv w:val="1"/>
      <w:marLeft w:val="0"/>
      <w:marRight w:val="0"/>
      <w:marTop w:val="0"/>
      <w:marBottom w:val="0"/>
      <w:divBdr>
        <w:top w:val="none" w:sz="0" w:space="0" w:color="auto"/>
        <w:left w:val="none" w:sz="0" w:space="0" w:color="auto"/>
        <w:bottom w:val="none" w:sz="0" w:space="0" w:color="auto"/>
        <w:right w:val="none" w:sz="0" w:space="0" w:color="auto"/>
      </w:divBdr>
    </w:div>
    <w:div w:id="2099862573">
      <w:bodyDiv w:val="1"/>
      <w:marLeft w:val="0"/>
      <w:marRight w:val="0"/>
      <w:marTop w:val="0"/>
      <w:marBottom w:val="0"/>
      <w:divBdr>
        <w:top w:val="none" w:sz="0" w:space="0" w:color="auto"/>
        <w:left w:val="none" w:sz="0" w:space="0" w:color="auto"/>
        <w:bottom w:val="none" w:sz="0" w:space="0" w:color="auto"/>
        <w:right w:val="none" w:sz="0" w:space="0" w:color="auto"/>
      </w:divBdr>
    </w:div>
    <w:div w:id="2108884938">
      <w:bodyDiv w:val="1"/>
      <w:marLeft w:val="0"/>
      <w:marRight w:val="0"/>
      <w:marTop w:val="0"/>
      <w:marBottom w:val="0"/>
      <w:divBdr>
        <w:top w:val="none" w:sz="0" w:space="0" w:color="auto"/>
        <w:left w:val="none" w:sz="0" w:space="0" w:color="auto"/>
        <w:bottom w:val="none" w:sz="0" w:space="0" w:color="auto"/>
        <w:right w:val="none" w:sz="0" w:space="0" w:color="auto"/>
      </w:divBdr>
    </w:div>
    <w:div w:id="2121678079">
      <w:bodyDiv w:val="1"/>
      <w:marLeft w:val="0"/>
      <w:marRight w:val="0"/>
      <w:marTop w:val="0"/>
      <w:marBottom w:val="0"/>
      <w:divBdr>
        <w:top w:val="none" w:sz="0" w:space="0" w:color="auto"/>
        <w:left w:val="none" w:sz="0" w:space="0" w:color="auto"/>
        <w:bottom w:val="none" w:sz="0" w:space="0" w:color="auto"/>
        <w:right w:val="none" w:sz="0" w:space="0" w:color="auto"/>
      </w:divBdr>
    </w:div>
    <w:div w:id="2124691615">
      <w:bodyDiv w:val="1"/>
      <w:marLeft w:val="0"/>
      <w:marRight w:val="0"/>
      <w:marTop w:val="0"/>
      <w:marBottom w:val="0"/>
      <w:divBdr>
        <w:top w:val="none" w:sz="0" w:space="0" w:color="auto"/>
        <w:left w:val="none" w:sz="0" w:space="0" w:color="auto"/>
        <w:bottom w:val="none" w:sz="0" w:space="0" w:color="auto"/>
        <w:right w:val="none" w:sz="0" w:space="0" w:color="auto"/>
      </w:divBdr>
      <w:divsChild>
        <w:div w:id="1730880104">
          <w:marLeft w:val="0"/>
          <w:marRight w:val="0"/>
          <w:marTop w:val="0"/>
          <w:marBottom w:val="0"/>
          <w:divBdr>
            <w:top w:val="none" w:sz="0" w:space="0" w:color="auto"/>
            <w:left w:val="none" w:sz="0" w:space="0" w:color="auto"/>
            <w:bottom w:val="none" w:sz="0" w:space="0" w:color="auto"/>
            <w:right w:val="none" w:sz="0" w:space="0" w:color="auto"/>
          </w:divBdr>
          <w:divsChild>
            <w:div w:id="542015016">
              <w:marLeft w:val="0"/>
              <w:marRight w:val="0"/>
              <w:marTop w:val="0"/>
              <w:marBottom w:val="0"/>
              <w:divBdr>
                <w:top w:val="none" w:sz="0" w:space="0" w:color="auto"/>
                <w:left w:val="none" w:sz="0" w:space="0" w:color="auto"/>
                <w:bottom w:val="none" w:sz="0" w:space="0" w:color="auto"/>
                <w:right w:val="none" w:sz="0" w:space="0" w:color="auto"/>
              </w:divBdr>
              <w:divsChild>
                <w:div w:id="115880110">
                  <w:marLeft w:val="0"/>
                  <w:marRight w:val="0"/>
                  <w:marTop w:val="0"/>
                  <w:marBottom w:val="0"/>
                  <w:divBdr>
                    <w:top w:val="none" w:sz="0" w:space="0" w:color="auto"/>
                    <w:left w:val="none" w:sz="0" w:space="0" w:color="auto"/>
                    <w:bottom w:val="none" w:sz="0" w:space="0" w:color="auto"/>
                    <w:right w:val="none" w:sz="0" w:space="0" w:color="auto"/>
                  </w:divBdr>
                  <w:divsChild>
                    <w:div w:id="169176892">
                      <w:marLeft w:val="0"/>
                      <w:marRight w:val="0"/>
                      <w:marTop w:val="0"/>
                      <w:marBottom w:val="0"/>
                      <w:divBdr>
                        <w:top w:val="none" w:sz="0" w:space="0" w:color="auto"/>
                        <w:left w:val="none" w:sz="0" w:space="0" w:color="auto"/>
                        <w:bottom w:val="none" w:sz="0" w:space="0" w:color="auto"/>
                        <w:right w:val="none" w:sz="0" w:space="0" w:color="auto"/>
                      </w:divBdr>
                      <w:divsChild>
                        <w:div w:id="549539479">
                          <w:marLeft w:val="0"/>
                          <w:marRight w:val="0"/>
                          <w:marTop w:val="0"/>
                          <w:marBottom w:val="0"/>
                          <w:divBdr>
                            <w:top w:val="none" w:sz="0" w:space="0" w:color="auto"/>
                            <w:left w:val="none" w:sz="0" w:space="0" w:color="auto"/>
                            <w:bottom w:val="none" w:sz="0" w:space="0" w:color="auto"/>
                            <w:right w:val="none" w:sz="0" w:space="0" w:color="auto"/>
                          </w:divBdr>
                          <w:divsChild>
                            <w:div w:id="697196868">
                              <w:marLeft w:val="0"/>
                              <w:marRight w:val="0"/>
                              <w:marTop w:val="0"/>
                              <w:marBottom w:val="0"/>
                              <w:divBdr>
                                <w:top w:val="none" w:sz="0" w:space="0" w:color="auto"/>
                                <w:left w:val="none" w:sz="0" w:space="0" w:color="auto"/>
                                <w:bottom w:val="none" w:sz="0" w:space="0" w:color="auto"/>
                                <w:right w:val="none" w:sz="0" w:space="0" w:color="auto"/>
                              </w:divBdr>
                              <w:divsChild>
                                <w:div w:id="527179866">
                                  <w:marLeft w:val="0"/>
                                  <w:marRight w:val="0"/>
                                  <w:marTop w:val="0"/>
                                  <w:marBottom w:val="0"/>
                                  <w:divBdr>
                                    <w:top w:val="none" w:sz="0" w:space="0" w:color="auto"/>
                                    <w:left w:val="none" w:sz="0" w:space="0" w:color="auto"/>
                                    <w:bottom w:val="none" w:sz="0" w:space="0" w:color="auto"/>
                                    <w:right w:val="none" w:sz="0" w:space="0" w:color="auto"/>
                                  </w:divBdr>
                                  <w:divsChild>
                                    <w:div w:id="84417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469221">
                          <w:marLeft w:val="0"/>
                          <w:marRight w:val="0"/>
                          <w:marTop w:val="0"/>
                          <w:marBottom w:val="0"/>
                          <w:divBdr>
                            <w:top w:val="none" w:sz="0" w:space="0" w:color="auto"/>
                            <w:left w:val="none" w:sz="0" w:space="0" w:color="auto"/>
                            <w:bottom w:val="none" w:sz="0" w:space="0" w:color="auto"/>
                            <w:right w:val="none" w:sz="0" w:space="0" w:color="auto"/>
                          </w:divBdr>
                          <w:divsChild>
                            <w:div w:id="824975672">
                              <w:marLeft w:val="0"/>
                              <w:marRight w:val="0"/>
                              <w:marTop w:val="0"/>
                              <w:marBottom w:val="0"/>
                              <w:divBdr>
                                <w:top w:val="none" w:sz="0" w:space="0" w:color="auto"/>
                                <w:left w:val="none" w:sz="0" w:space="0" w:color="auto"/>
                                <w:bottom w:val="none" w:sz="0" w:space="0" w:color="auto"/>
                                <w:right w:val="none" w:sz="0" w:space="0" w:color="auto"/>
                              </w:divBdr>
                              <w:divsChild>
                                <w:div w:id="10665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08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E109AC6D8825498C60AAA2A4504ABB" ma:contentTypeVersion="14" ma:contentTypeDescription="Create a new document." ma:contentTypeScope="" ma:versionID="fa7878eb41b2585144dede246e066a5b">
  <xsd:schema xmlns:xsd="http://www.w3.org/2001/XMLSchema" xmlns:xs="http://www.w3.org/2001/XMLSchema" xmlns:p="http://schemas.microsoft.com/office/2006/metadata/properties" xmlns:ns2="a1112e56-2832-42be-a945-0dc5bf5802b2" xmlns:ns3="d89666b6-eb5f-416f-9481-684ff84b7fbb" targetNamespace="http://schemas.microsoft.com/office/2006/metadata/properties" ma:root="true" ma:fieldsID="c825b2b41e8ed66673c2c8c638b658ed" ns2:_="" ns3:_="">
    <xsd:import namespace="a1112e56-2832-42be-a945-0dc5bf5802b2"/>
    <xsd:import namespace="d89666b6-eb5f-416f-9481-684ff84b7f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12e56-2832-42be-a945-0dc5bf580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f18342c-3873-4b17-a030-b3de3da2e17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666b6-eb5f-416f-9481-684ff84b7f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77c90c-e952-4336-a4dc-6a7712c64890}" ma:internalName="TaxCatchAll" ma:showField="CatchAllData" ma:web="d89666b6-eb5f-416f-9481-684ff84b7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9666b6-eb5f-416f-9481-684ff84b7fbb" xsi:nil="true"/>
    <lcf76f155ced4ddcb4097134ff3c332f xmlns="a1112e56-2832-42be-a945-0dc5bf5802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BE501F-5862-4889-BF9D-BA4D92014942}">
  <ds:schemaRefs>
    <ds:schemaRef ds:uri="http://schemas.openxmlformats.org/officeDocument/2006/bibliography"/>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3CB984DF-02D3-482E-8FDC-EC35726D8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12e56-2832-42be-a945-0dc5bf5802b2"/>
    <ds:schemaRef ds:uri="d89666b6-eb5f-416f-9481-684ff84b7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89666b6-eb5f-416f-9481-684ff84b7fbb"/>
    <ds:schemaRef ds:uri="a1112e56-2832-42be-a945-0dc5bf5802b2"/>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110</Pages>
  <Words>59237</Words>
  <Characters>337657</Characters>
  <Application>Microsoft Office Word</Application>
  <DocSecurity>0</DocSecurity>
  <Lines>2813</Lines>
  <Paragraphs>792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435.2023.ro</vt:lpstr>
      <vt:lpstr>435.2023.ro</vt:lpstr>
    </vt:vector>
  </TitlesOfParts>
  <Company>Cancelaria Guvernului</Company>
  <LinksUpToDate>false</LinksUpToDate>
  <CharactersWithSpaces>396102</CharactersWithSpaces>
  <SharedDoc>false</SharedDoc>
  <HLinks>
    <vt:vector size="6" baseType="variant">
      <vt:variant>
        <vt:i4>6619155</vt:i4>
      </vt:variant>
      <vt:variant>
        <vt:i4>0</vt:i4>
      </vt:variant>
      <vt:variant>
        <vt:i4>0</vt:i4>
      </vt:variant>
      <vt:variant>
        <vt:i4>5</vt:i4>
      </vt:variant>
      <vt:variant>
        <vt:lpwstr>https://www.legis.md/cautare/getResults?doc_id=141173&amp;lang=ro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Bratu Mariana</cp:lastModifiedBy>
  <cp:revision>13</cp:revision>
  <cp:lastPrinted>2025-05-19T06:16:00Z</cp:lastPrinted>
  <dcterms:created xsi:type="dcterms:W3CDTF">2026-06-25T08:07:00Z</dcterms:created>
  <dcterms:modified xsi:type="dcterms:W3CDTF">2026-06-26T09:25:00Z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pul documentului">
    <vt:lpwstr>Aviz</vt:lpwstr>
  </property>
  <property fmtid="{D5CDD505-2E9C-101B-9397-08002B2CF9AE}" pid="3" name="MSIP_Label_5c4e35d5-db9c-4c03-801d-f4783407a705_Enabled">
    <vt:lpwstr>true</vt:lpwstr>
  </property>
  <property fmtid="{D5CDD505-2E9C-101B-9397-08002B2CF9AE}" pid="4" name="MSIP_Label_5c4e35d5-db9c-4c03-801d-f4783407a705_SetDate">
    <vt:lpwstr>2025-03-05T09:41:36Z</vt:lpwstr>
  </property>
  <property fmtid="{D5CDD505-2E9C-101B-9397-08002B2CF9AE}" pid="5" name="MSIP_Label_5c4e35d5-db9c-4c03-801d-f4783407a705_Method">
    <vt:lpwstr>Standard</vt:lpwstr>
  </property>
  <property fmtid="{D5CDD505-2E9C-101B-9397-08002B2CF9AE}" pid="6" name="MSIP_Label_5c4e35d5-db9c-4c03-801d-f4783407a705_Name">
    <vt:lpwstr>[MFA] Default</vt:lpwstr>
  </property>
  <property fmtid="{D5CDD505-2E9C-101B-9397-08002B2CF9AE}" pid="7" name="MSIP_Label_5c4e35d5-db9c-4c03-801d-f4783407a705_SiteId">
    <vt:lpwstr>8e0fb675-40bd-4ab4-adce-8720cfc45ba7</vt:lpwstr>
  </property>
  <property fmtid="{D5CDD505-2E9C-101B-9397-08002B2CF9AE}" pid="8" name="MSIP_Label_5c4e35d5-db9c-4c03-801d-f4783407a705_ActionId">
    <vt:lpwstr>39d650d2-6a72-4f1b-8851-5d3b5444c324</vt:lpwstr>
  </property>
  <property fmtid="{D5CDD505-2E9C-101B-9397-08002B2CF9AE}" pid="9" name="MSIP_Label_5c4e35d5-db9c-4c03-801d-f4783407a705_ContentBits">
    <vt:lpwstr>0</vt:lpwstr>
  </property>
  <property fmtid="{D5CDD505-2E9C-101B-9397-08002B2CF9AE}" pid="10" name="MSIP_Label_5c4e35d5-db9c-4c03-801d-f4783407a705_Tag">
    <vt:lpwstr>10, 3, 0, 2</vt:lpwstr>
  </property>
  <property fmtid="{D5CDD505-2E9C-101B-9397-08002B2CF9AE}" pid="11" name="MediaServiceImageTags">
    <vt:lpwstr/>
  </property>
  <property fmtid="{D5CDD505-2E9C-101B-9397-08002B2CF9AE}" pid="12" name="ContentTypeId">
    <vt:lpwstr>0x01010073E109AC6D8825498C60AAA2A4504ABB</vt:lpwstr>
  </property>
  <property fmtid="{D5CDD505-2E9C-101B-9397-08002B2CF9AE}" pid="13" name="MSIP_Label_38962dcf-d39f-4edc-a396-338a56ba9170_Enabled">
    <vt:lpwstr>true</vt:lpwstr>
  </property>
  <property fmtid="{D5CDD505-2E9C-101B-9397-08002B2CF9AE}" pid="14" name="MSIP_Label_38962dcf-d39f-4edc-a396-338a56ba9170_SetDate">
    <vt:lpwstr>2026-05-25T14:34:56Z</vt:lpwstr>
  </property>
  <property fmtid="{D5CDD505-2E9C-101B-9397-08002B2CF9AE}" pid="15" name="MSIP_Label_38962dcf-d39f-4edc-a396-338a56ba9170_Method">
    <vt:lpwstr>Privileged</vt:lpwstr>
  </property>
  <property fmtid="{D5CDD505-2E9C-101B-9397-08002B2CF9AE}" pid="16" name="MSIP_Label_38962dcf-d39f-4edc-a396-338a56ba9170_Name">
    <vt:lpwstr>NONE</vt:lpwstr>
  </property>
  <property fmtid="{D5CDD505-2E9C-101B-9397-08002B2CF9AE}" pid="17" name="MSIP_Label_38962dcf-d39f-4edc-a396-338a56ba9170_SiteId">
    <vt:lpwstr>5887d430-0034-4561-b771-12c77faf2fa0</vt:lpwstr>
  </property>
  <property fmtid="{D5CDD505-2E9C-101B-9397-08002B2CF9AE}" pid="18" name="MSIP_Label_38962dcf-d39f-4edc-a396-338a56ba9170_ActionId">
    <vt:lpwstr>cb81999f-eeb9-465d-be9b-0845184f2305</vt:lpwstr>
  </property>
  <property fmtid="{D5CDD505-2E9C-101B-9397-08002B2CF9AE}" pid="19" name="MSIP_Label_38962dcf-d39f-4edc-a396-338a56ba9170_ContentBits">
    <vt:lpwstr>0</vt:lpwstr>
  </property>
</Properties>
</file>