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BE0CA" w14:textId="77777777" w:rsidR="00350897" w:rsidRPr="00426A01" w:rsidRDefault="00350897" w:rsidP="00872FA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o-RO"/>
          <w14:ligatures w14:val="none"/>
        </w:rPr>
      </w:pPr>
      <w:r w:rsidRPr="00426A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o-RO"/>
          <w14:ligatures w14:val="none"/>
        </w:rPr>
        <w:t>NOTA DE FUNDAMENTARE</w:t>
      </w:r>
    </w:p>
    <w:p w14:paraId="0B2CB647" w14:textId="76612A02" w:rsidR="00426A01" w:rsidRPr="00426A01" w:rsidRDefault="001C219E" w:rsidP="00872FA6">
      <w:pPr>
        <w:tabs>
          <w:tab w:val="center" w:pos="810"/>
          <w:tab w:val="left" w:pos="72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  <w:r w:rsidRPr="00426A01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la proiectul hotărârii Guvernului </w:t>
      </w:r>
      <w:r w:rsidR="00426A01" w:rsidRPr="00426A01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cu privire la constituirea și organizarea activității Comisiei Naționale de Management al Crizelor și a Comisiilor regionale,  teritoriale și locale de management al situațiilor de criză și a Centrelor operaționale de coordonare ale acestora</w:t>
      </w:r>
    </w:p>
    <w:p w14:paraId="49B826E1" w14:textId="77777777" w:rsidR="001C219E" w:rsidRPr="00426A01" w:rsidRDefault="001C219E" w:rsidP="00872FA6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B1F4B" w:rsidRPr="00426A01" w14:paraId="766440E7" w14:textId="77777777" w:rsidTr="00E267F9">
        <w:tc>
          <w:tcPr>
            <w:tcW w:w="9344" w:type="dxa"/>
            <w:shd w:val="clear" w:color="auto" w:fill="A5C9EB" w:themeFill="text2" w:themeFillTint="40"/>
          </w:tcPr>
          <w:p w14:paraId="4634E5E4" w14:textId="4879B177" w:rsidR="002B1F4B" w:rsidRPr="00426A01" w:rsidRDefault="002B1F4B" w:rsidP="00872FA6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  <w:t>1. Denumirea autorului și, după caz, a/al participanților la elaborarea proiectului actului normativ</w:t>
            </w:r>
          </w:p>
        </w:tc>
      </w:tr>
      <w:tr w:rsidR="002B1F4B" w:rsidRPr="00426A01" w14:paraId="44F8FABC" w14:textId="77777777" w:rsidTr="002B1F4B">
        <w:tc>
          <w:tcPr>
            <w:tcW w:w="9344" w:type="dxa"/>
          </w:tcPr>
          <w:p w14:paraId="7F1ADF64" w14:textId="7E78BAD6" w:rsidR="002B1F4B" w:rsidRPr="00426A01" w:rsidRDefault="001C219E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Proiectul hotărârii Guvernului privind constituirea Comisiei Naționale de Management al Crizelor și aprobarea cadrului normativ aferent este elaborat de către Centrul Național de Management al Crizelor.</w:t>
            </w:r>
          </w:p>
        </w:tc>
      </w:tr>
      <w:tr w:rsidR="002B1F4B" w:rsidRPr="00426A01" w14:paraId="38187260" w14:textId="77777777" w:rsidTr="00E267F9">
        <w:tc>
          <w:tcPr>
            <w:tcW w:w="9344" w:type="dxa"/>
            <w:shd w:val="clear" w:color="auto" w:fill="A5C9EB" w:themeFill="text2" w:themeFillTint="40"/>
          </w:tcPr>
          <w:p w14:paraId="5DB65CF1" w14:textId="3E0403EC" w:rsidR="002B1F4B" w:rsidRPr="00426A01" w:rsidRDefault="002B1F4B" w:rsidP="00872FA6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  <w:t>2. Condițiile ce au impus elaborarea proiectului actului normativ</w:t>
            </w:r>
          </w:p>
        </w:tc>
      </w:tr>
      <w:tr w:rsidR="002B1F4B" w:rsidRPr="00426A01" w14:paraId="6E736DF8" w14:textId="77777777" w:rsidTr="00E267F9">
        <w:tc>
          <w:tcPr>
            <w:tcW w:w="9344" w:type="dxa"/>
            <w:shd w:val="clear" w:color="auto" w:fill="DAE9F7" w:themeFill="text2" w:themeFillTint="1A"/>
          </w:tcPr>
          <w:p w14:paraId="0A5EB5DC" w14:textId="192E4A94" w:rsidR="002B1F4B" w:rsidRPr="00426A01" w:rsidRDefault="002B1F4B" w:rsidP="00872FA6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  <w:t>2.1. Temeiul legal sau, după caz, sursa proiectului actului normativ</w:t>
            </w:r>
          </w:p>
        </w:tc>
      </w:tr>
      <w:tr w:rsidR="002B1F4B" w:rsidRPr="00426A01" w14:paraId="0EDCFD87" w14:textId="77777777" w:rsidTr="002B1F4B">
        <w:tc>
          <w:tcPr>
            <w:tcW w:w="9344" w:type="dxa"/>
          </w:tcPr>
          <w:p w14:paraId="10CEF1D2" w14:textId="77777777" w:rsidR="001C219E" w:rsidRPr="00426A01" w:rsidRDefault="001C219E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Necesitatea elaborării proiectului derivă din prevederile Legii nr. 248/2025 privind managementul situațiilor de criză, care instituie cadrul juridic general pentru organizarea mecanismului național de management al crizelor și stabilește atribuțiile autorităților și instituțiilor publice implicate.</w:t>
            </w:r>
          </w:p>
          <w:p w14:paraId="6E1FC247" w14:textId="77777777" w:rsidR="001C219E" w:rsidRPr="00426A01" w:rsidRDefault="001C219E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Potrivit dispozițiilor legale, Comisia Națională de Management al Crizelor reprezintă forul strategic responsabil de coordonarea, comanda și controlul strategic al răspunsului la crize, precum și de definirea efectelor strategice urmărite.</w:t>
            </w:r>
          </w:p>
          <w:p w14:paraId="64756F38" w14:textId="77777777" w:rsidR="00426A01" w:rsidRPr="00426A01" w:rsidRDefault="00426A01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Totodată, proiectul stabilește cadrul instituțional unitar pentru organizarea și funcționarea comisiilor regionale, teritoriale și locale de management al situațiilor de criză și a centrelor operaționale de coordonare ale acestora, în conformitate cu art. 35 și 37 din Legea nr. 248/2025.</w:t>
            </w:r>
          </w:p>
          <w:p w14:paraId="1EB7DE6F" w14:textId="067C2A75" w:rsidR="002B1F4B" w:rsidRPr="00426A01" w:rsidRDefault="001C219E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În acest context, promovarea proiectului are drept scop operaționalizarea cadrului normativ primar prin instituirea mecanismelor instituționale necesare aplicării eficiente a prevederilor legale.</w:t>
            </w:r>
          </w:p>
        </w:tc>
      </w:tr>
      <w:tr w:rsidR="00CF2668" w:rsidRPr="00426A01" w14:paraId="0AD9CCBF" w14:textId="77777777" w:rsidTr="00E267F9">
        <w:tc>
          <w:tcPr>
            <w:tcW w:w="9344" w:type="dxa"/>
            <w:shd w:val="clear" w:color="auto" w:fill="DAE9F7" w:themeFill="text2" w:themeFillTint="1A"/>
          </w:tcPr>
          <w:p w14:paraId="5859DF56" w14:textId="2762074F" w:rsidR="00CF2668" w:rsidRPr="00426A01" w:rsidRDefault="00CF2668" w:rsidP="00872FA6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2B1F4B" w:rsidRPr="00426A01" w14:paraId="6E831D50" w14:textId="77777777" w:rsidTr="002B1F4B">
        <w:tc>
          <w:tcPr>
            <w:tcW w:w="9344" w:type="dxa"/>
          </w:tcPr>
          <w:p w14:paraId="3F8E0A02" w14:textId="77777777" w:rsidR="006E5725" w:rsidRPr="00426A01" w:rsidRDefault="006E5725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În contextul actual, caracterizat prin instituirea stării de urgență la nivel național, devine critică asigurarea funcționării unui mecanism decizional strategic capabil să coordoneze răspunsul integrat al autorităților și instituțiilor publice.</w:t>
            </w:r>
          </w:p>
          <w:p w14:paraId="4722CBDD" w14:textId="77777777" w:rsidR="006E5725" w:rsidRPr="00426A01" w:rsidRDefault="006E5725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În lipsa constituirii Comisiei Naționale de Management al Crizelor, mecanismul național de management al crizelor este lipsit de un for decizional strategic funcțional, ceea ce generează următoarele riscuri:</w:t>
            </w:r>
          </w:p>
          <w:p w14:paraId="1CF3AEA9" w14:textId="77777777" w:rsidR="006E5725" w:rsidRPr="00426A01" w:rsidRDefault="006E5725" w:rsidP="00872FA6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 xml:space="preserve">fragmentarea procesului decizional la nivel interinstituțional; </w:t>
            </w:r>
          </w:p>
          <w:p w14:paraId="4B8046E9" w14:textId="77777777" w:rsidR="006E5725" w:rsidRPr="00426A01" w:rsidRDefault="006E5725" w:rsidP="00872FA6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 xml:space="preserve">lipsa unei coordonări unitare a răspunsului la nivel strategic; </w:t>
            </w:r>
          </w:p>
          <w:p w14:paraId="132D375B" w14:textId="77777777" w:rsidR="006E5725" w:rsidRPr="00426A01" w:rsidRDefault="006E5725" w:rsidP="00872FA6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lastRenderedPageBreak/>
              <w:t xml:space="preserve">dificultăți în definirea și urmărirea efectelor strategice ale măsurilor adoptate; </w:t>
            </w:r>
          </w:p>
          <w:p w14:paraId="48B16850" w14:textId="77777777" w:rsidR="006E5725" w:rsidRPr="00426A01" w:rsidRDefault="006E5725" w:rsidP="00872FA6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 xml:space="preserve">întârzierea adoptării deciziilor necesare în situații cu impact major; </w:t>
            </w:r>
          </w:p>
          <w:p w14:paraId="58FB9F20" w14:textId="77777777" w:rsidR="006E5725" w:rsidRPr="00426A01" w:rsidRDefault="006E5725" w:rsidP="00872FA6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 xml:space="preserve">utilizarea necoordonată a resurselor disponibile la nivel național. </w:t>
            </w:r>
          </w:p>
          <w:p w14:paraId="48147534" w14:textId="2B9DBC2E" w:rsidR="006E5725" w:rsidRPr="00426A01" w:rsidRDefault="006E5725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Deși Centrul Național de Management al Crizelor asigură suportul analitic și informațional, acesta nu poate substitui rolul decizional strategic atribuit Comisiei prin Legea nr. 248/2025 privind managementul situațiilor de criză.</w:t>
            </w:r>
          </w:p>
          <w:p w14:paraId="53E118EB" w14:textId="77777777" w:rsidR="006E5725" w:rsidRPr="00426A01" w:rsidRDefault="006E5725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Astfel, în absența Comisiei, există un deficit instituțional la nivelul mecanismului de guvernanță a crizelor, care afectează capacitatea statului de a răspunde eficient și coordonat la situații de urgență și crize complexe.</w:t>
            </w:r>
          </w:p>
          <w:p w14:paraId="7D85BEB7" w14:textId="77777777" w:rsidR="006E5725" w:rsidRPr="00426A01" w:rsidRDefault="006E5725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În aceste condiții, instituirea de urgență a Comisiei Naționale de Management al Crizelor reprezintă o măsură necesară pentru asigurarea funcționării mecanismului național de management al crizelor în conformitate cu prevederile legale și cu exigențele situației actuale.</w:t>
            </w:r>
          </w:p>
          <w:p w14:paraId="4EF6D62B" w14:textId="6D23118A" w:rsidR="002B1F4B" w:rsidRPr="00426A01" w:rsidRDefault="002B1F4B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ro-RO"/>
                <w14:ligatures w14:val="none"/>
              </w:rPr>
            </w:pPr>
          </w:p>
        </w:tc>
      </w:tr>
      <w:tr w:rsidR="00CF2668" w:rsidRPr="00426A01" w14:paraId="1103CB6B" w14:textId="77777777" w:rsidTr="00E267F9">
        <w:tc>
          <w:tcPr>
            <w:tcW w:w="9344" w:type="dxa"/>
            <w:shd w:val="clear" w:color="auto" w:fill="A5C9EB" w:themeFill="text2" w:themeFillTint="40"/>
          </w:tcPr>
          <w:p w14:paraId="2AEAE945" w14:textId="71AF5F04" w:rsidR="00CF2668" w:rsidRPr="00426A01" w:rsidRDefault="00CF2668" w:rsidP="00872FA6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  <w:lastRenderedPageBreak/>
              <w:t>3. Obiectivele urmărite și soluțiile propuse</w:t>
            </w:r>
          </w:p>
        </w:tc>
      </w:tr>
      <w:tr w:rsidR="00CF2668" w:rsidRPr="00426A01" w14:paraId="0B4221FC" w14:textId="77777777" w:rsidTr="00E267F9">
        <w:tc>
          <w:tcPr>
            <w:tcW w:w="9344" w:type="dxa"/>
            <w:shd w:val="clear" w:color="auto" w:fill="DAE9F7" w:themeFill="text2" w:themeFillTint="1A"/>
          </w:tcPr>
          <w:p w14:paraId="26CFC194" w14:textId="24E59505" w:rsidR="00CF2668" w:rsidRPr="00426A01" w:rsidRDefault="00CF2668" w:rsidP="00872FA6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  <w:t>3.1. Principalele prevederi ale proiectului și evidențierea elementelor noi</w:t>
            </w:r>
          </w:p>
        </w:tc>
      </w:tr>
      <w:tr w:rsidR="00CF2668" w:rsidRPr="00426A01" w14:paraId="10442881" w14:textId="77777777" w:rsidTr="002B1F4B">
        <w:tc>
          <w:tcPr>
            <w:tcW w:w="9344" w:type="dxa"/>
          </w:tcPr>
          <w:p w14:paraId="70661A14" w14:textId="77777777" w:rsidR="001C219E" w:rsidRPr="00426A01" w:rsidRDefault="001C219E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Proiectul de hotărâre are ca obiectiv instituirea cadrului normativ necesar funcționării Comisiei Naționale de Management al Crizelor, în conformitate cu prevederile Legii nr. 248/2025.</w:t>
            </w:r>
          </w:p>
          <w:p w14:paraId="18035479" w14:textId="77777777" w:rsidR="001C219E" w:rsidRPr="00426A01" w:rsidRDefault="001C219E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În acest sens, proiectul prevede:</w:t>
            </w:r>
          </w:p>
          <w:p w14:paraId="52CC6C50" w14:textId="77777777" w:rsidR="001C219E" w:rsidRPr="00426A01" w:rsidRDefault="001C219E" w:rsidP="00872FA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 xml:space="preserve">constituirea Comisiei Naționale de Management al Crizelor ca organ colegial cu rol strategic; </w:t>
            </w:r>
          </w:p>
          <w:p w14:paraId="07642869" w14:textId="77777777" w:rsidR="001C219E" w:rsidRPr="00426A01" w:rsidRDefault="001C219E" w:rsidP="00872FA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 xml:space="preserve">aprobarea componenței Comisiei, în format restrâns și flexibil, adaptat modelului european; </w:t>
            </w:r>
          </w:p>
          <w:p w14:paraId="286EF47A" w14:textId="77777777" w:rsidR="001C219E" w:rsidRPr="00426A01" w:rsidRDefault="001C219E" w:rsidP="00872FA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 xml:space="preserve">aprobarea regulamentului de organizare și funcționare, care stabilește mecanismele de lucru, procesul decizional și relațiile interinstituționale; </w:t>
            </w:r>
          </w:p>
          <w:p w14:paraId="43A5A5DE" w14:textId="77777777" w:rsidR="001C219E" w:rsidRPr="00426A01" w:rsidRDefault="001C219E" w:rsidP="00872FA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 xml:space="preserve">aprobarea unui regulament-cadru pentru comisiile teritoriale și locale, care asigură aplicarea principiului subsidiarității și oferă autonomie autorităților administrației publice locale; </w:t>
            </w:r>
          </w:p>
          <w:p w14:paraId="44D8FC4E" w14:textId="77777777" w:rsidR="001C219E" w:rsidRPr="00426A01" w:rsidRDefault="001C219E" w:rsidP="00872FA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 xml:space="preserve">instituirea unui mecanism clar de cooperare între nivelul strategic (Comisia) și nivelul operațional (autoritățile competente și instituțiile principale); </w:t>
            </w:r>
          </w:p>
          <w:p w14:paraId="53542130" w14:textId="77777777" w:rsidR="001C219E" w:rsidRPr="00426A01" w:rsidRDefault="001C219E" w:rsidP="00872FA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 xml:space="preserve">asigurarea delimitării clare între funcțiile strategice și cele operaționale în managementul situațiilor de criză. </w:t>
            </w:r>
          </w:p>
          <w:p w14:paraId="5D8A1B02" w14:textId="77777777" w:rsidR="001C219E" w:rsidRPr="00426A01" w:rsidRDefault="001C219E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Proiectul introduce un model modern de guvernanță a crizelor, bazat pe coordonare strategică, flexibilitate instituțională și integrarea informațiilor la nivel național.</w:t>
            </w:r>
          </w:p>
          <w:p w14:paraId="76F960C6" w14:textId="77777777" w:rsidR="00CF2668" w:rsidRPr="00426A01" w:rsidRDefault="00E41212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 xml:space="preserve">Adoptarea proiectului asigură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funcționalizarea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 xml:space="preserve"> imediată a mecanismului strategic de coordonare în contextul stării de urgență.</w:t>
            </w:r>
          </w:p>
          <w:p w14:paraId="20845882" w14:textId="622C11C3" w:rsidR="00426A01" w:rsidRPr="00426A01" w:rsidRDefault="00426A01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lastRenderedPageBreak/>
              <w:t>În procesul avizării, proiectul a fost ajustat în vederea asigurării conformității cu prevederile Legii nr. 248/2025, delimitării competențelor strategice și operaționale, consolidării rolului Centrului Național de Management al Crizelor în procesul de secretariat și suport operațional, precum și uniformizării terminologiei și mecanismelor decizionale. T</w:t>
            </w:r>
            <w:r w:rsidRPr="00426A0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otodată, proiectul prevede instituirea centrelor operaționale de coordonare pentru sprijinirea activității comisiilor regionale, teritoriale  de management al situațiilor de criză.</w:t>
            </w:r>
          </w:p>
        </w:tc>
      </w:tr>
      <w:tr w:rsidR="002B1F4B" w:rsidRPr="00426A01" w14:paraId="5CA0B59F" w14:textId="77777777" w:rsidTr="00E267F9">
        <w:tc>
          <w:tcPr>
            <w:tcW w:w="9344" w:type="dxa"/>
            <w:shd w:val="clear" w:color="auto" w:fill="DAE9F7" w:themeFill="text2" w:themeFillTint="1A"/>
          </w:tcPr>
          <w:p w14:paraId="37088345" w14:textId="52C19B04" w:rsidR="002B1F4B" w:rsidRPr="00426A01" w:rsidRDefault="00CF2668" w:rsidP="00872FA6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  <w:lastRenderedPageBreak/>
              <w:t>3.2. Opțiunile alternative analizate și motivele pentru care acestea nu au fost luate în considerare</w:t>
            </w:r>
          </w:p>
        </w:tc>
      </w:tr>
      <w:tr w:rsidR="00CF2668" w:rsidRPr="00426A01" w14:paraId="423E1894" w14:textId="77777777" w:rsidTr="002B1F4B">
        <w:tc>
          <w:tcPr>
            <w:tcW w:w="9344" w:type="dxa"/>
          </w:tcPr>
          <w:p w14:paraId="0764BB1F" w14:textId="77777777" w:rsidR="001C219E" w:rsidRPr="00426A01" w:rsidRDefault="001C219E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În procesul de elaborare au fost analizate următoarele opțiuni:</w:t>
            </w:r>
          </w:p>
          <w:p w14:paraId="3E6B36A7" w14:textId="77777777" w:rsidR="001C219E" w:rsidRPr="00426A01" w:rsidRDefault="001C219E" w:rsidP="00872FA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 xml:space="preserve">menținerea cadrului normativ existent (HG nr. 1340/2001), care nu asigură conformitatea cu Legea nr. 248/2025; </w:t>
            </w:r>
          </w:p>
          <w:p w14:paraId="321C8CD2" w14:textId="77777777" w:rsidR="001C219E" w:rsidRPr="00426A01" w:rsidRDefault="001C219E" w:rsidP="00872FA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 xml:space="preserve">modificarea parțială a cadrului existent, care nu ar permite restructurarea necesară a mecanismului instituțional; </w:t>
            </w:r>
          </w:p>
          <w:p w14:paraId="0C531A33" w14:textId="77777777" w:rsidR="001C219E" w:rsidRPr="00426A01" w:rsidRDefault="001C219E" w:rsidP="00872FA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 xml:space="preserve">instituirea unui nou cadru normativ, în conformitate cu legea, fără crearea unor structuri suplimentare sau creșterea costurilor. </w:t>
            </w:r>
          </w:p>
          <w:p w14:paraId="6B20DC0F" w14:textId="77777777" w:rsidR="001C219E" w:rsidRPr="00426A01" w:rsidRDefault="001C219E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Varianta propusă a fost selectată deoarece permite alinierea completă la cadrul legal, asigurând totodată eficiența utilizării resurselor existente.</w:t>
            </w:r>
          </w:p>
          <w:p w14:paraId="0B407110" w14:textId="732902FE" w:rsidR="00CF2668" w:rsidRPr="00426A01" w:rsidRDefault="00CF2668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</w:p>
        </w:tc>
      </w:tr>
      <w:tr w:rsidR="00CF2668" w:rsidRPr="00426A01" w14:paraId="413CB548" w14:textId="77777777" w:rsidTr="00E267F9">
        <w:tc>
          <w:tcPr>
            <w:tcW w:w="9344" w:type="dxa"/>
            <w:shd w:val="clear" w:color="auto" w:fill="A5C9EB" w:themeFill="text2" w:themeFillTint="40"/>
          </w:tcPr>
          <w:p w14:paraId="49AB071D" w14:textId="0FEA4BAD" w:rsidR="00CF2668" w:rsidRPr="00426A01" w:rsidRDefault="00CF2668" w:rsidP="00872FA6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  <w:t>4. Analiza impactului de reglementare</w:t>
            </w:r>
          </w:p>
        </w:tc>
      </w:tr>
      <w:tr w:rsidR="00CF2668" w:rsidRPr="00426A01" w14:paraId="427550BF" w14:textId="77777777" w:rsidTr="00E267F9">
        <w:tc>
          <w:tcPr>
            <w:tcW w:w="9344" w:type="dxa"/>
            <w:shd w:val="clear" w:color="auto" w:fill="DAE9F7" w:themeFill="text2" w:themeFillTint="1A"/>
          </w:tcPr>
          <w:p w14:paraId="1B31040E" w14:textId="4CAFD0CE" w:rsidR="00CF2668" w:rsidRPr="00426A01" w:rsidRDefault="00CF2668" w:rsidP="00872FA6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  <w:t>4.1. Impactul asupra sectorului public</w:t>
            </w:r>
          </w:p>
        </w:tc>
      </w:tr>
      <w:tr w:rsidR="00CF2668" w:rsidRPr="00426A01" w14:paraId="5C064528" w14:textId="77777777" w:rsidTr="002B1F4B">
        <w:tc>
          <w:tcPr>
            <w:tcW w:w="9344" w:type="dxa"/>
          </w:tcPr>
          <w:p w14:paraId="2090547F" w14:textId="74EDF203" w:rsidR="00E41212" w:rsidRPr="00426A01" w:rsidRDefault="001C219E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Proiectul contribuie la consolidarea capacității instituționale a autorităților publice în domeniul managementului situațiilor de criză și la îmbunătățirea coordonării interinstituționale la nivel strategic</w:t>
            </w:r>
            <w:r w:rsidR="00E41212"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 xml:space="preserve"> și </w:t>
            </w:r>
            <w:r w:rsidR="00E41212" w:rsidRPr="00426A0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contribuie la asigurarea capacității statului de reacție coordonată în condițiile stării de urgență.</w:t>
            </w:r>
            <w:r w:rsidR="00426A0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</w:t>
            </w:r>
            <w:proofErr w:type="spellStart"/>
            <w:r w:rsidR="00426A0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acemenea</w:t>
            </w:r>
            <w:proofErr w:type="spellEnd"/>
            <w:r w:rsidR="00426A0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p</w:t>
            </w:r>
            <w:proofErr w:type="spellStart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>roiectul</w:t>
            </w:r>
            <w:proofErr w:type="spellEnd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>contribuie</w:t>
            </w:r>
            <w:proofErr w:type="spellEnd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>consolidarea</w:t>
            </w:r>
            <w:proofErr w:type="spellEnd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>mecanismului</w:t>
            </w:r>
            <w:proofErr w:type="spellEnd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>național</w:t>
            </w:r>
            <w:proofErr w:type="spellEnd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 xml:space="preserve"> de management al </w:t>
            </w:r>
            <w:proofErr w:type="spellStart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>situațiilor</w:t>
            </w:r>
            <w:proofErr w:type="spellEnd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>criză</w:t>
            </w:r>
            <w:proofErr w:type="spellEnd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>prin</w:t>
            </w:r>
            <w:proofErr w:type="spellEnd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>instituirea</w:t>
            </w:r>
            <w:proofErr w:type="spellEnd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>unui</w:t>
            </w:r>
            <w:proofErr w:type="spellEnd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>cadru</w:t>
            </w:r>
            <w:proofErr w:type="spellEnd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>unitar</w:t>
            </w:r>
            <w:proofErr w:type="spellEnd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>coordonare</w:t>
            </w:r>
            <w:proofErr w:type="spellEnd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>strategică</w:t>
            </w:r>
            <w:proofErr w:type="spellEnd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>nivel</w:t>
            </w:r>
            <w:proofErr w:type="spellEnd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>național</w:t>
            </w:r>
            <w:proofErr w:type="spellEnd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 xml:space="preserve">, regional </w:t>
            </w:r>
            <w:proofErr w:type="spellStart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="00426A01" w:rsidRPr="00426A01">
              <w:rPr>
                <w:rFonts w:ascii="Times New Roman" w:hAnsi="Times New Roman" w:cs="Times New Roman"/>
                <w:sz w:val="28"/>
                <w:szCs w:val="28"/>
              </w:rPr>
              <w:t xml:space="preserve"> local.</w:t>
            </w:r>
          </w:p>
        </w:tc>
      </w:tr>
      <w:tr w:rsidR="00CF2668" w:rsidRPr="00426A01" w14:paraId="53CF8D9E" w14:textId="77777777" w:rsidTr="00E267F9">
        <w:tc>
          <w:tcPr>
            <w:tcW w:w="9344" w:type="dxa"/>
            <w:shd w:val="clear" w:color="auto" w:fill="DAE9F7" w:themeFill="text2" w:themeFillTint="1A"/>
          </w:tcPr>
          <w:p w14:paraId="00839AA0" w14:textId="4C43448E" w:rsidR="00CF2668" w:rsidRPr="00426A01" w:rsidRDefault="00CF2668" w:rsidP="00872FA6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  <w:t>4.2. Impactul financiar și argumentarea costurilor estimative</w:t>
            </w:r>
          </w:p>
        </w:tc>
      </w:tr>
      <w:tr w:rsidR="00080BAE" w:rsidRPr="00426A01" w14:paraId="303B4F49" w14:textId="77777777" w:rsidTr="002B1F4B">
        <w:tc>
          <w:tcPr>
            <w:tcW w:w="9344" w:type="dxa"/>
          </w:tcPr>
          <w:p w14:paraId="0B15180E" w14:textId="77777777" w:rsidR="001C219E" w:rsidRPr="00426A01" w:rsidRDefault="001C219E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Implementarea proiectului nu implică alocarea de resurse financiare suplimentare de la bugetul de stat.</w:t>
            </w:r>
          </w:p>
          <w:p w14:paraId="0A711B91" w14:textId="2B35EB04" w:rsidR="00080BAE" w:rsidRPr="00426A01" w:rsidRDefault="001C219E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Activitatea Comisiei și a structurilor asociate se va desfășura în limitele resurselor existente ale autorităților și instituțiilor publice implicate.</w:t>
            </w:r>
          </w:p>
        </w:tc>
      </w:tr>
      <w:tr w:rsidR="00080BAE" w:rsidRPr="00426A01" w14:paraId="6864B681" w14:textId="77777777" w:rsidTr="00E267F9">
        <w:tc>
          <w:tcPr>
            <w:tcW w:w="9344" w:type="dxa"/>
            <w:shd w:val="clear" w:color="auto" w:fill="DAE9F7" w:themeFill="text2" w:themeFillTint="1A"/>
          </w:tcPr>
          <w:p w14:paraId="1226750A" w14:textId="1F6C1584" w:rsidR="00080BAE" w:rsidRPr="00426A01" w:rsidRDefault="00080BAE" w:rsidP="00872FA6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  <w:t>4.3. Impactul asupra sectorului privat</w:t>
            </w:r>
          </w:p>
        </w:tc>
      </w:tr>
      <w:tr w:rsidR="00080BAE" w:rsidRPr="00426A01" w14:paraId="3978A6B6" w14:textId="77777777" w:rsidTr="002B1F4B">
        <w:tc>
          <w:tcPr>
            <w:tcW w:w="9344" w:type="dxa"/>
          </w:tcPr>
          <w:p w14:paraId="5B8FDF5C" w14:textId="10823BE7" w:rsidR="00080BAE" w:rsidRPr="00426A01" w:rsidRDefault="00080BAE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Nu este aplicabil.</w:t>
            </w:r>
          </w:p>
        </w:tc>
      </w:tr>
      <w:tr w:rsidR="00080BAE" w:rsidRPr="00426A01" w14:paraId="63DFE8FB" w14:textId="77777777" w:rsidTr="00E267F9">
        <w:tc>
          <w:tcPr>
            <w:tcW w:w="9344" w:type="dxa"/>
            <w:shd w:val="clear" w:color="auto" w:fill="DAE9F7" w:themeFill="text2" w:themeFillTint="1A"/>
          </w:tcPr>
          <w:p w14:paraId="4C89F745" w14:textId="2DB58038" w:rsidR="00080BAE" w:rsidRPr="00426A01" w:rsidRDefault="00080BAE" w:rsidP="00872FA6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  <w:t>4.4. Impactul social</w:t>
            </w:r>
          </w:p>
        </w:tc>
      </w:tr>
      <w:tr w:rsidR="00080BAE" w:rsidRPr="00426A01" w14:paraId="41A7347E" w14:textId="77777777" w:rsidTr="002B1F4B">
        <w:tc>
          <w:tcPr>
            <w:tcW w:w="9344" w:type="dxa"/>
          </w:tcPr>
          <w:p w14:paraId="77318423" w14:textId="2CAE1702" w:rsidR="00080BAE" w:rsidRPr="00426A01" w:rsidRDefault="00080BAE" w:rsidP="00872FA6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Nu este aplicabil.</w:t>
            </w:r>
          </w:p>
        </w:tc>
      </w:tr>
      <w:tr w:rsidR="00080BAE" w:rsidRPr="00426A01" w14:paraId="0971DF3A" w14:textId="77777777" w:rsidTr="00E267F9">
        <w:tc>
          <w:tcPr>
            <w:tcW w:w="9344" w:type="dxa"/>
            <w:shd w:val="clear" w:color="auto" w:fill="DAE9F7" w:themeFill="text2" w:themeFillTint="1A"/>
          </w:tcPr>
          <w:p w14:paraId="4F2CEC4B" w14:textId="363CD06E" w:rsidR="00080BAE" w:rsidRPr="00426A01" w:rsidRDefault="00080BAE" w:rsidP="00872FA6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  <w:t>4.4.1. Impactul asupra datelor cu caracter personal</w:t>
            </w:r>
          </w:p>
        </w:tc>
      </w:tr>
      <w:tr w:rsidR="00080BAE" w:rsidRPr="00426A01" w14:paraId="68A1FD59" w14:textId="77777777" w:rsidTr="002B1F4B">
        <w:tc>
          <w:tcPr>
            <w:tcW w:w="9344" w:type="dxa"/>
          </w:tcPr>
          <w:p w14:paraId="4ECB4EFC" w14:textId="2704ABAD" w:rsidR="00080BAE" w:rsidRPr="00426A01" w:rsidRDefault="00080BAE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lastRenderedPageBreak/>
              <w:t>Nu este aplicabil.</w:t>
            </w:r>
          </w:p>
        </w:tc>
      </w:tr>
      <w:tr w:rsidR="00080BAE" w:rsidRPr="00426A01" w14:paraId="50D4D13A" w14:textId="77777777" w:rsidTr="00E267F9">
        <w:tc>
          <w:tcPr>
            <w:tcW w:w="9344" w:type="dxa"/>
            <w:shd w:val="clear" w:color="auto" w:fill="DAE9F7" w:themeFill="text2" w:themeFillTint="1A"/>
          </w:tcPr>
          <w:p w14:paraId="6E807351" w14:textId="793AE2B0" w:rsidR="00080BAE" w:rsidRPr="00426A01" w:rsidRDefault="00080BAE" w:rsidP="00872FA6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  <w:t>4.4.2. Impactul asupra echității și egalității de gen</w:t>
            </w:r>
          </w:p>
        </w:tc>
      </w:tr>
      <w:tr w:rsidR="00080BAE" w:rsidRPr="00426A01" w14:paraId="52486402" w14:textId="77777777" w:rsidTr="002B1F4B">
        <w:tc>
          <w:tcPr>
            <w:tcW w:w="9344" w:type="dxa"/>
          </w:tcPr>
          <w:p w14:paraId="2A1A695A" w14:textId="631767C8" w:rsidR="00080BAE" w:rsidRPr="00426A01" w:rsidRDefault="00080BAE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Nu este aplicabil.</w:t>
            </w:r>
          </w:p>
        </w:tc>
      </w:tr>
      <w:tr w:rsidR="00080BAE" w:rsidRPr="00426A01" w14:paraId="6422694B" w14:textId="77777777" w:rsidTr="00E267F9">
        <w:tc>
          <w:tcPr>
            <w:tcW w:w="9344" w:type="dxa"/>
            <w:shd w:val="clear" w:color="auto" w:fill="DAE9F7" w:themeFill="text2" w:themeFillTint="1A"/>
          </w:tcPr>
          <w:p w14:paraId="4053A65F" w14:textId="13F54896" w:rsidR="00080BAE" w:rsidRPr="00426A01" w:rsidRDefault="00080BAE" w:rsidP="00872FA6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  <w:t>4.5. Impactul asupra mediului</w:t>
            </w:r>
          </w:p>
        </w:tc>
      </w:tr>
      <w:tr w:rsidR="00080BAE" w:rsidRPr="00426A01" w14:paraId="711A2EBD" w14:textId="77777777" w:rsidTr="002B1F4B">
        <w:tc>
          <w:tcPr>
            <w:tcW w:w="9344" w:type="dxa"/>
          </w:tcPr>
          <w:p w14:paraId="68391652" w14:textId="43EE6FAB" w:rsidR="00080BAE" w:rsidRPr="00426A01" w:rsidRDefault="00080BAE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Nu este aplicabil.</w:t>
            </w:r>
          </w:p>
        </w:tc>
      </w:tr>
      <w:tr w:rsidR="00080BAE" w:rsidRPr="00426A01" w14:paraId="20F4323E" w14:textId="77777777" w:rsidTr="00E267F9">
        <w:tc>
          <w:tcPr>
            <w:tcW w:w="9344" w:type="dxa"/>
            <w:shd w:val="clear" w:color="auto" w:fill="DAE9F7" w:themeFill="text2" w:themeFillTint="1A"/>
          </w:tcPr>
          <w:p w14:paraId="35E157DB" w14:textId="2D3ED069" w:rsidR="00080BAE" w:rsidRPr="00426A01" w:rsidRDefault="00080BAE" w:rsidP="00872FA6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  <w:t>4.6. Alte impacturi și informații relevante</w:t>
            </w:r>
          </w:p>
        </w:tc>
      </w:tr>
      <w:tr w:rsidR="00CF2668" w:rsidRPr="00426A01" w14:paraId="4888FB8A" w14:textId="77777777" w:rsidTr="002B1F4B">
        <w:tc>
          <w:tcPr>
            <w:tcW w:w="9344" w:type="dxa"/>
          </w:tcPr>
          <w:p w14:paraId="66398AA6" w14:textId="5DCE0517" w:rsidR="00CF2668" w:rsidRPr="00426A01" w:rsidRDefault="00CF2668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Nu este aplicabil.</w:t>
            </w:r>
          </w:p>
        </w:tc>
      </w:tr>
      <w:tr w:rsidR="00CF2668" w:rsidRPr="00426A01" w14:paraId="72ADC7D3" w14:textId="77777777" w:rsidTr="00E267F9">
        <w:tc>
          <w:tcPr>
            <w:tcW w:w="9344" w:type="dxa"/>
            <w:shd w:val="clear" w:color="auto" w:fill="A5C9EB" w:themeFill="text2" w:themeFillTint="40"/>
          </w:tcPr>
          <w:p w14:paraId="0F455A81" w14:textId="3920B0C4" w:rsidR="00CF2668" w:rsidRPr="00426A01" w:rsidRDefault="00CF2668" w:rsidP="00872FA6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  <w:t>5. Compatibilitatea proiectului actului normativ cu legislația UE</w:t>
            </w:r>
          </w:p>
        </w:tc>
      </w:tr>
      <w:tr w:rsidR="00CF2668" w:rsidRPr="00426A01" w14:paraId="77ECA357" w14:textId="77777777" w:rsidTr="002B1F4B">
        <w:tc>
          <w:tcPr>
            <w:tcW w:w="9344" w:type="dxa"/>
          </w:tcPr>
          <w:p w14:paraId="578DD9E2" w14:textId="362A2260" w:rsidR="00CF2668" w:rsidRPr="00426A01" w:rsidRDefault="00CF2668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Nu este aplicabil.</w:t>
            </w:r>
          </w:p>
        </w:tc>
      </w:tr>
      <w:tr w:rsidR="00CF2668" w:rsidRPr="00426A01" w14:paraId="44541DA1" w14:textId="77777777" w:rsidTr="00E267F9">
        <w:tc>
          <w:tcPr>
            <w:tcW w:w="9344" w:type="dxa"/>
            <w:shd w:val="clear" w:color="auto" w:fill="DAE9F7" w:themeFill="text2" w:themeFillTint="1A"/>
          </w:tcPr>
          <w:p w14:paraId="33D66E59" w14:textId="2218219D" w:rsidR="00CF2668" w:rsidRPr="00426A01" w:rsidRDefault="00CF2668" w:rsidP="00872FA6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  <w:t>5.1. Măsuri normative necesare pentru transpunerea actelor juridice ale UE în legislația națională</w:t>
            </w:r>
          </w:p>
        </w:tc>
      </w:tr>
      <w:tr w:rsidR="00CF2668" w:rsidRPr="00426A01" w14:paraId="07FAC621" w14:textId="77777777" w:rsidTr="002B1F4B">
        <w:tc>
          <w:tcPr>
            <w:tcW w:w="9344" w:type="dxa"/>
          </w:tcPr>
          <w:p w14:paraId="78AC6064" w14:textId="4373851A" w:rsidR="00CF2668" w:rsidRPr="00426A01" w:rsidRDefault="001C219E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Proiectul nu are drept scop transpunerea legislației Uniunii Europene, însă este compatibil cu bunele practici europene în domeniul managementului situațiilor de criză.</w:t>
            </w:r>
          </w:p>
        </w:tc>
      </w:tr>
      <w:tr w:rsidR="00CF2668" w:rsidRPr="00426A01" w14:paraId="725A126B" w14:textId="77777777" w:rsidTr="00E267F9">
        <w:tc>
          <w:tcPr>
            <w:tcW w:w="9344" w:type="dxa"/>
            <w:shd w:val="clear" w:color="auto" w:fill="DAE9F7" w:themeFill="text2" w:themeFillTint="1A"/>
          </w:tcPr>
          <w:p w14:paraId="6DB921FF" w14:textId="6D5AD85F" w:rsidR="00CF2668" w:rsidRPr="00426A01" w:rsidRDefault="00CF2668" w:rsidP="00872FA6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  <w:t>5.2. Măsuri normative care urmăresc crearea cadrului juridic intern necesar pentru implementarea legislației UE</w:t>
            </w:r>
          </w:p>
        </w:tc>
      </w:tr>
      <w:tr w:rsidR="00CF2668" w:rsidRPr="00426A01" w14:paraId="48FBFB60" w14:textId="77777777" w:rsidTr="002B1F4B">
        <w:tc>
          <w:tcPr>
            <w:tcW w:w="9344" w:type="dxa"/>
          </w:tcPr>
          <w:p w14:paraId="53B45A60" w14:textId="5F14C528" w:rsidR="00CF2668" w:rsidRPr="00426A01" w:rsidRDefault="00293959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Este compatibil</w:t>
            </w:r>
          </w:p>
        </w:tc>
      </w:tr>
      <w:tr w:rsidR="00CF2668" w:rsidRPr="00426A01" w14:paraId="0D392B25" w14:textId="77777777" w:rsidTr="00E267F9">
        <w:tc>
          <w:tcPr>
            <w:tcW w:w="9344" w:type="dxa"/>
            <w:shd w:val="clear" w:color="auto" w:fill="A5C9EB" w:themeFill="text2" w:themeFillTint="40"/>
          </w:tcPr>
          <w:p w14:paraId="0E1D1848" w14:textId="75971BFD" w:rsidR="00CF2668" w:rsidRPr="00426A01" w:rsidRDefault="00CF2668" w:rsidP="00872FA6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  <w:t>6. Avizarea și consultarea publică a proiectului actului normativ</w:t>
            </w:r>
          </w:p>
        </w:tc>
      </w:tr>
      <w:tr w:rsidR="00CF2668" w:rsidRPr="00426A01" w14:paraId="2406F5C5" w14:textId="77777777" w:rsidTr="002B1F4B">
        <w:tc>
          <w:tcPr>
            <w:tcW w:w="9344" w:type="dxa"/>
          </w:tcPr>
          <w:p w14:paraId="1E9DBA76" w14:textId="102E9520" w:rsidR="00CF2668" w:rsidRPr="00426A01" w:rsidRDefault="00426A01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Proiectul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fost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supus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procedurii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de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avizare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și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consultare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publică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în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conformitate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cu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prevederile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legislației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în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vigoare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Observațiile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și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propunerile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recepționate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din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partea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autorităților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publice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au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fost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examinate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și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după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caz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integrate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în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textul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proiectului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fapt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reflectat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în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tabelul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de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sinteză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CF2668" w:rsidRPr="00426A01" w14:paraId="62D3547B" w14:textId="77777777" w:rsidTr="00E267F9">
        <w:tc>
          <w:tcPr>
            <w:tcW w:w="9344" w:type="dxa"/>
            <w:shd w:val="clear" w:color="auto" w:fill="A5C9EB" w:themeFill="text2" w:themeFillTint="40"/>
          </w:tcPr>
          <w:p w14:paraId="4EDF2D22" w14:textId="196F6618" w:rsidR="00CF2668" w:rsidRPr="00426A01" w:rsidRDefault="00CF2668" w:rsidP="00872FA6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  <w:t>7. Concluziile expertizelor</w:t>
            </w:r>
          </w:p>
        </w:tc>
      </w:tr>
      <w:tr w:rsidR="00CF2668" w:rsidRPr="00426A01" w14:paraId="760EB936" w14:textId="77777777" w:rsidTr="002B1F4B">
        <w:tc>
          <w:tcPr>
            <w:tcW w:w="9344" w:type="dxa"/>
          </w:tcPr>
          <w:p w14:paraId="5E40C692" w14:textId="61AC7278" w:rsidR="00CF2668" w:rsidRPr="00426A01" w:rsidRDefault="00CF2668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Proiectul urmează a fi supus expertizei anticorupție și expertizei juridice în conformitate cu art. 36 și 37 din Legea nr. 100/2017 cu privire la actele normative.</w:t>
            </w:r>
          </w:p>
        </w:tc>
      </w:tr>
      <w:tr w:rsidR="00CF2668" w:rsidRPr="00426A01" w14:paraId="03787A69" w14:textId="77777777" w:rsidTr="00E267F9">
        <w:tc>
          <w:tcPr>
            <w:tcW w:w="9344" w:type="dxa"/>
            <w:shd w:val="clear" w:color="auto" w:fill="A5C9EB" w:themeFill="text2" w:themeFillTint="40"/>
          </w:tcPr>
          <w:p w14:paraId="0EAC4FA7" w14:textId="399BDE2F" w:rsidR="00CF2668" w:rsidRPr="00426A01" w:rsidRDefault="00CF2668" w:rsidP="00872FA6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  <w:t>8. Modul de încorporare a actului în cadrul normativ existent</w:t>
            </w:r>
          </w:p>
        </w:tc>
      </w:tr>
      <w:tr w:rsidR="00CF2668" w:rsidRPr="00426A01" w14:paraId="2CEF4304" w14:textId="77777777" w:rsidTr="002B1F4B">
        <w:tc>
          <w:tcPr>
            <w:tcW w:w="9344" w:type="dxa"/>
          </w:tcPr>
          <w:p w14:paraId="0681643E" w14:textId="031AEAB2" w:rsidR="00CF2668" w:rsidRPr="00426A01" w:rsidRDefault="00426A01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Adoptarea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proiectului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conduce la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instituirea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unui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nou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cadru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normativ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în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domeniul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managementului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situațiilor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de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criză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inclusiv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prin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abrogarea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Hotărârii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Guvernului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nr. 1340/2001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și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Hotărârii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Guvernului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nr. 803/2018, precum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și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prin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operarea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modificărilor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necesare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în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alte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acte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normative </w:t>
            </w:r>
            <w:proofErr w:type="spellStart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subordonate</w:t>
            </w:r>
            <w:proofErr w:type="spellEnd"/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CF2668" w:rsidRPr="00426A01" w14:paraId="392DA92C" w14:textId="77777777" w:rsidTr="00E267F9">
        <w:tc>
          <w:tcPr>
            <w:tcW w:w="9344" w:type="dxa"/>
            <w:shd w:val="clear" w:color="auto" w:fill="A5C9EB" w:themeFill="text2" w:themeFillTint="40"/>
          </w:tcPr>
          <w:p w14:paraId="7D90DAFA" w14:textId="163F3316" w:rsidR="00CF2668" w:rsidRPr="00426A01" w:rsidRDefault="00CF2668" w:rsidP="00872FA6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  <w:t>9. Măsurile necesare pentru implementarea prevederilor proiectului actului normativ</w:t>
            </w:r>
          </w:p>
        </w:tc>
      </w:tr>
      <w:tr w:rsidR="00CF2668" w:rsidRPr="00426A01" w14:paraId="40CD9046" w14:textId="77777777" w:rsidTr="002B1F4B">
        <w:tc>
          <w:tcPr>
            <w:tcW w:w="9344" w:type="dxa"/>
          </w:tcPr>
          <w:p w14:paraId="4691E9C1" w14:textId="77777777" w:rsidR="001C219E" w:rsidRPr="00426A01" w:rsidRDefault="001C219E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Implementarea proiectului presupune:</w:t>
            </w:r>
          </w:p>
          <w:p w14:paraId="66C158D1" w14:textId="77777777" w:rsidR="001C219E" w:rsidRPr="00426A01" w:rsidRDefault="001C219E" w:rsidP="00872FA6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 xml:space="preserve">constituirea Comisiei; </w:t>
            </w:r>
          </w:p>
          <w:p w14:paraId="2279439D" w14:textId="77777777" w:rsidR="001C219E" w:rsidRPr="00426A01" w:rsidRDefault="001C219E" w:rsidP="00872FA6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 xml:space="preserve">aprobarea componenței și regulamentelor; </w:t>
            </w:r>
          </w:p>
          <w:p w14:paraId="1A4F5D62" w14:textId="13D25D65" w:rsidR="00971F1D" w:rsidRPr="00971F1D" w:rsidRDefault="00971F1D" w:rsidP="00872FA6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MD"/>
                <w14:ligatures w14:val="none"/>
              </w:rPr>
            </w:pPr>
            <w:r w:rsidRPr="00971F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MD"/>
                <w14:ligatures w14:val="none"/>
              </w:rPr>
              <w:t xml:space="preserve">constituirea comisiilor regionale/teritoriale/locale; </w:t>
            </w:r>
          </w:p>
          <w:p w14:paraId="71BE306C" w14:textId="6E174111" w:rsidR="00971F1D" w:rsidRPr="00971F1D" w:rsidRDefault="00971F1D" w:rsidP="00872FA6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MD"/>
                <w14:ligatures w14:val="none"/>
              </w:rPr>
            </w:pPr>
            <w:r w:rsidRPr="00971F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MD"/>
                <w14:ligatures w14:val="none"/>
              </w:rPr>
              <w:t xml:space="preserve">constituirea COC; </w:t>
            </w:r>
          </w:p>
          <w:p w14:paraId="285490F1" w14:textId="6262FFF6" w:rsidR="00971F1D" w:rsidRPr="00971F1D" w:rsidRDefault="00971F1D" w:rsidP="00872FA6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MD"/>
                <w14:ligatures w14:val="none"/>
              </w:rPr>
            </w:pPr>
            <w:r w:rsidRPr="00971F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MD"/>
                <w14:ligatures w14:val="none"/>
              </w:rPr>
              <w:t xml:space="preserve">desemnarea secretariatelor; </w:t>
            </w:r>
          </w:p>
          <w:p w14:paraId="229B1244" w14:textId="332B91C5" w:rsidR="00971F1D" w:rsidRPr="00426A01" w:rsidRDefault="00971F1D" w:rsidP="00872FA6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971F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MD"/>
                <w14:ligatures w14:val="none"/>
              </w:rPr>
              <w:lastRenderedPageBreak/>
              <w:t>ajustarea actelor interne ale autorităților.</w:t>
            </w:r>
          </w:p>
          <w:p w14:paraId="1B2A4CB6" w14:textId="5B3C97B6" w:rsidR="00CF2668" w:rsidRPr="00426A01" w:rsidRDefault="001C219E" w:rsidP="00872F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426A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Aceste măsuri se vor realiza în limitele resurselor existente.</w:t>
            </w:r>
          </w:p>
        </w:tc>
      </w:tr>
    </w:tbl>
    <w:p w14:paraId="13C57980" w14:textId="7278A8F5" w:rsidR="00350897" w:rsidRPr="00426A01" w:rsidRDefault="00350897" w:rsidP="00872FA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03E13BCE" w14:textId="19F6A6DB" w:rsidR="00350897" w:rsidRPr="00426A01" w:rsidRDefault="00350897" w:rsidP="00872FA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284157FD" w14:textId="77777777" w:rsidR="00E267F9" w:rsidRPr="00426A01" w:rsidRDefault="00E267F9" w:rsidP="00872F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  <w:r w:rsidRPr="00426A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 xml:space="preserve">Director general al Centrului </w:t>
      </w:r>
    </w:p>
    <w:p w14:paraId="78DCFB9E" w14:textId="7F5B377F" w:rsidR="00E267F9" w:rsidRPr="00426A01" w:rsidRDefault="00E267F9" w:rsidP="00872F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  <w:r w:rsidRPr="00426A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Național de Management al Crizelor                                            Serghei DIACONU</w:t>
      </w:r>
    </w:p>
    <w:p w14:paraId="40E43E47" w14:textId="77777777" w:rsidR="00E267F9" w:rsidRPr="00426A01" w:rsidRDefault="00E267F9" w:rsidP="00872F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</w:p>
    <w:p w14:paraId="6A36D3ED" w14:textId="77777777" w:rsidR="00350897" w:rsidRPr="00426A01" w:rsidRDefault="00350897" w:rsidP="00872F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350897" w:rsidRPr="00426A01" w:rsidSect="007C1BD9">
      <w:pgSz w:w="11906" w:h="16838"/>
      <w:pgMar w:top="1134" w:right="851" w:bottom="1134" w:left="1701" w:header="114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8DAA7" w14:textId="77777777" w:rsidR="00CA5E65" w:rsidRDefault="00CA5E65" w:rsidP="00CF2668">
      <w:pPr>
        <w:spacing w:after="0" w:line="240" w:lineRule="auto"/>
      </w:pPr>
      <w:r>
        <w:separator/>
      </w:r>
    </w:p>
  </w:endnote>
  <w:endnote w:type="continuationSeparator" w:id="0">
    <w:p w14:paraId="43888931" w14:textId="77777777" w:rsidR="00CA5E65" w:rsidRDefault="00CA5E65" w:rsidP="00CF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D34E5" w14:textId="77777777" w:rsidR="00CA5E65" w:rsidRDefault="00CA5E65" w:rsidP="00CF2668">
      <w:pPr>
        <w:spacing w:after="0" w:line="240" w:lineRule="auto"/>
      </w:pPr>
      <w:r>
        <w:separator/>
      </w:r>
    </w:p>
  </w:footnote>
  <w:footnote w:type="continuationSeparator" w:id="0">
    <w:p w14:paraId="6B992FE8" w14:textId="77777777" w:rsidR="00CA5E65" w:rsidRDefault="00CA5E65" w:rsidP="00CF2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86"/>
    <w:multiLevelType w:val="multilevel"/>
    <w:tmpl w:val="9D4862D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B6287"/>
    <w:multiLevelType w:val="multilevel"/>
    <w:tmpl w:val="A98863F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17262"/>
    <w:multiLevelType w:val="multilevel"/>
    <w:tmpl w:val="E1D0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95CC3"/>
    <w:multiLevelType w:val="multilevel"/>
    <w:tmpl w:val="A25ADE8E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A66FD"/>
    <w:multiLevelType w:val="multilevel"/>
    <w:tmpl w:val="FE522B3A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58146E"/>
    <w:multiLevelType w:val="multilevel"/>
    <w:tmpl w:val="D3AA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3B7D1C"/>
    <w:multiLevelType w:val="multilevel"/>
    <w:tmpl w:val="C4EA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197FD5"/>
    <w:multiLevelType w:val="hybridMultilevel"/>
    <w:tmpl w:val="851290D0"/>
    <w:lvl w:ilvl="0" w:tplc="6DA251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143B7"/>
    <w:multiLevelType w:val="multilevel"/>
    <w:tmpl w:val="EF98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91146"/>
    <w:multiLevelType w:val="multilevel"/>
    <w:tmpl w:val="D706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0E202D"/>
    <w:multiLevelType w:val="multilevel"/>
    <w:tmpl w:val="0780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07100"/>
    <w:multiLevelType w:val="multilevel"/>
    <w:tmpl w:val="25EADE0E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656524"/>
    <w:multiLevelType w:val="multilevel"/>
    <w:tmpl w:val="C480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288542">
    <w:abstractNumId w:val="8"/>
  </w:num>
  <w:num w:numId="2" w16cid:durableId="517349938">
    <w:abstractNumId w:val="9"/>
  </w:num>
  <w:num w:numId="3" w16cid:durableId="646401810">
    <w:abstractNumId w:val="7"/>
  </w:num>
  <w:num w:numId="4" w16cid:durableId="1009917050">
    <w:abstractNumId w:val="2"/>
  </w:num>
  <w:num w:numId="5" w16cid:durableId="752169054">
    <w:abstractNumId w:val="5"/>
  </w:num>
  <w:num w:numId="6" w16cid:durableId="1880894201">
    <w:abstractNumId w:val="6"/>
  </w:num>
  <w:num w:numId="7" w16cid:durableId="853034235">
    <w:abstractNumId w:val="10"/>
  </w:num>
  <w:num w:numId="8" w16cid:durableId="1951233857">
    <w:abstractNumId w:val="3"/>
  </w:num>
  <w:num w:numId="9" w16cid:durableId="1277178555">
    <w:abstractNumId w:val="4"/>
  </w:num>
  <w:num w:numId="10" w16cid:durableId="1391727063">
    <w:abstractNumId w:val="11"/>
  </w:num>
  <w:num w:numId="11" w16cid:durableId="486282097">
    <w:abstractNumId w:val="12"/>
  </w:num>
  <w:num w:numId="12" w16cid:durableId="315915467">
    <w:abstractNumId w:val="1"/>
  </w:num>
  <w:num w:numId="13" w16cid:durableId="142398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97"/>
    <w:rsid w:val="000726F6"/>
    <w:rsid w:val="00080BAE"/>
    <w:rsid w:val="000D47A3"/>
    <w:rsid w:val="001C219E"/>
    <w:rsid w:val="002444FA"/>
    <w:rsid w:val="002710BC"/>
    <w:rsid w:val="00293959"/>
    <w:rsid w:val="002B1F4B"/>
    <w:rsid w:val="002F320B"/>
    <w:rsid w:val="00341061"/>
    <w:rsid w:val="00350897"/>
    <w:rsid w:val="003D6655"/>
    <w:rsid w:val="00426A01"/>
    <w:rsid w:val="004C3CA9"/>
    <w:rsid w:val="005177F2"/>
    <w:rsid w:val="005D2609"/>
    <w:rsid w:val="00693B2E"/>
    <w:rsid w:val="006E3A2C"/>
    <w:rsid w:val="006E5725"/>
    <w:rsid w:val="00754888"/>
    <w:rsid w:val="00797E78"/>
    <w:rsid w:val="007C1BD9"/>
    <w:rsid w:val="007C2C6C"/>
    <w:rsid w:val="00872FA6"/>
    <w:rsid w:val="0088534D"/>
    <w:rsid w:val="008A24E8"/>
    <w:rsid w:val="008D1066"/>
    <w:rsid w:val="008F6108"/>
    <w:rsid w:val="00937846"/>
    <w:rsid w:val="00946640"/>
    <w:rsid w:val="00963E4B"/>
    <w:rsid w:val="00965133"/>
    <w:rsid w:val="00971F1D"/>
    <w:rsid w:val="00A6797A"/>
    <w:rsid w:val="00B21052"/>
    <w:rsid w:val="00B661D3"/>
    <w:rsid w:val="00B853D2"/>
    <w:rsid w:val="00C67474"/>
    <w:rsid w:val="00CA5E65"/>
    <w:rsid w:val="00CF2668"/>
    <w:rsid w:val="00D31B6D"/>
    <w:rsid w:val="00D73551"/>
    <w:rsid w:val="00DB4190"/>
    <w:rsid w:val="00E267F9"/>
    <w:rsid w:val="00E41212"/>
    <w:rsid w:val="00E73D75"/>
    <w:rsid w:val="00EF7AD2"/>
    <w:rsid w:val="00F24B3B"/>
    <w:rsid w:val="00F6467C"/>
    <w:rsid w:val="00FC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42F1E3"/>
  <w15:chartTrackingRefBased/>
  <w15:docId w15:val="{B086F80E-CF9D-E944-AC02-AAC1D06A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0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0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50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50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50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89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50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50897"/>
    <w:rPr>
      <w:b/>
      <w:bCs/>
    </w:rPr>
  </w:style>
  <w:style w:type="character" w:customStyle="1" w:styleId="whitespace-normal">
    <w:name w:val="whitespace-normal"/>
    <w:basedOn w:val="DefaultParagraphFont"/>
    <w:rsid w:val="00350897"/>
  </w:style>
  <w:style w:type="character" w:customStyle="1" w:styleId="relative">
    <w:name w:val="relative"/>
    <w:basedOn w:val="DefaultParagraphFont"/>
    <w:rsid w:val="002F320B"/>
  </w:style>
  <w:style w:type="paragraph" w:customStyle="1" w:styleId="not-prose">
    <w:name w:val="not-prose"/>
    <w:basedOn w:val="Normal"/>
    <w:rsid w:val="002F3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E73D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3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3D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3D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D7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B1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2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668"/>
  </w:style>
  <w:style w:type="paragraph" w:styleId="Footer">
    <w:name w:val="footer"/>
    <w:basedOn w:val="Normal"/>
    <w:link w:val="FooterChar"/>
    <w:uiPriority w:val="99"/>
    <w:unhideWhenUsed/>
    <w:rsid w:val="00CF2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292D0-F112-4967-B96A-26E939C1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5</Pages>
  <Words>1393</Words>
  <Characters>7944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Valuta</dc:creator>
  <cp:keywords/>
  <dc:description/>
  <cp:lastModifiedBy>Valuta Vera</cp:lastModifiedBy>
  <cp:revision>12</cp:revision>
  <dcterms:created xsi:type="dcterms:W3CDTF">2026-03-02T08:53:00Z</dcterms:created>
  <dcterms:modified xsi:type="dcterms:W3CDTF">2026-05-26T04:00:00Z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551cdf99-f04a-4406-9583-d7339a33e858</vt:lpwstr>
  </property>
</Properties>
</file>