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jc w:val="right"/>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Proiect</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PARLAMENTUL REPUBLICII MOLDOVA</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LEGE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pentru modificarea unor acte normative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highlight w:val="white"/>
          <w:rtl w:val="0"/>
        </w:rPr>
        <w:t xml:space="preserve">alinierea legislației la prevederile Convenției Organizației Internaționale a Muncii nr. 156/1981</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_________________________________________________________</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Parlamentul adoptă prezenta lege organică.</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 I.</w:t>
      </w:r>
      <w:r w:rsidDel="00000000" w:rsidR="00000000" w:rsidRPr="00000000">
        <w:rPr>
          <w:rFonts w:ascii="Times New Roman" w:cs="Times New Roman" w:eastAsia="Times New Roman" w:hAnsi="Times New Roman"/>
          <w:sz w:val="28"/>
          <w:szCs w:val="28"/>
          <w:rtl w:val="0"/>
        </w:rPr>
        <w:t xml:space="preserve"> – Codul muncii al Republicii Moldova nr.154/2003 (Monitorul Oficial al Republicii Moldova, 2003, nr.159–162, art. 648), cu modificările ulterioare, se modifică după cum urmează:</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8"/>
          <w:szCs w:val="28"/>
          <w:rtl w:val="0"/>
        </w:rPr>
        <w:t xml:space="preserve">La articolul 1, după noțiunea „salariat” se introduce o noțiune nouă cu următorul cuprins: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„Salariat cu responsabilități familiale - salariatul care are responsabilități de întreținere, îngrijire, asistență sau sprijin financiar față de unul ori mai mulți membri ai familiei, inclusiv ascendenți, descendenți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soț/soție, persoane cu dizabilități aflate în întreținere (părinți, copii), precum și rude de gradul doi în linie colaterală, și ale cărui responsabilități familiale afectează sau pot afecta activitatea profesională.”</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w:t>
      </w:r>
      <w:r w:rsidDel="00000000" w:rsidR="00000000" w:rsidRPr="00000000">
        <w:rPr>
          <w:rFonts w:ascii="Times New Roman" w:cs="Times New Roman" w:eastAsia="Times New Roman" w:hAnsi="Times New Roman"/>
          <w:sz w:val="28"/>
          <w:szCs w:val="28"/>
          <w:rtl w:val="0"/>
        </w:rPr>
        <w:tab/>
        <w:t xml:space="preserve">La articolul 47, alineatul (2) după cuvântul „domiciliu”, se introduc cuvintele ,,responsabilități familiale”.</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884"/>
          <w:tab w:val="left" w:leader="none" w:pos="1196"/>
        </w:tabs>
        <w:spacing w:after="0" w:before="0" w:line="240" w:lineRule="auto"/>
        <w:ind w:left="-180" w:right="0" w:firstLine="99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w:t>
      </w:r>
      <w:r w:rsidDel="00000000" w:rsidR="00000000" w:rsidRPr="00000000">
        <w:rPr>
          <w:rFonts w:ascii="Times New Roman" w:cs="Times New Roman" w:eastAsia="Times New Roman" w:hAnsi="Times New Roman"/>
          <w:sz w:val="28"/>
          <w:szCs w:val="28"/>
          <w:rtl w:val="0"/>
        </w:rPr>
        <w:t xml:space="preserve"> La articolul 103, alineatul (6) după cuvântul „</w:t>
      </w:r>
      <w:r w:rsidDel="00000000" w:rsidR="00000000" w:rsidRPr="00000000">
        <w:rPr>
          <w:rFonts w:ascii="Times New Roman" w:cs="Times New Roman" w:eastAsia="Times New Roman" w:hAnsi="Times New Roman"/>
          <w:sz w:val="28"/>
          <w:szCs w:val="28"/>
          <w:rtl w:val="0"/>
        </w:rPr>
        <w:t xml:space="preserve">accentuate</w:t>
      </w:r>
      <w:r w:rsidDel="00000000" w:rsidR="00000000" w:rsidRPr="00000000">
        <w:rPr>
          <w:rFonts w:ascii="Times New Roman" w:cs="Times New Roman" w:eastAsia="Times New Roman" w:hAnsi="Times New Roman"/>
          <w:sz w:val="28"/>
          <w:szCs w:val="28"/>
          <w:rtl w:val="0"/>
        </w:rPr>
        <w:t xml:space="preserve">”, se introduc cuvintele ,,</w:t>
      </w:r>
      <w:r w:rsidDel="00000000" w:rsidR="00000000" w:rsidRPr="00000000">
        <w:rPr>
          <w:rFonts w:ascii="Times New Roman" w:cs="Times New Roman" w:eastAsia="Times New Roman" w:hAnsi="Times New Roman"/>
          <w:sz w:val="28"/>
          <w:szCs w:val="28"/>
          <w:highlight w:val="white"/>
          <w:rtl w:val="0"/>
        </w:rPr>
        <w:t xml:space="preserve">părinții </w:t>
      </w:r>
      <w:r w:rsidDel="00000000" w:rsidR="00000000" w:rsidRPr="00000000">
        <w:rPr>
          <w:rFonts w:ascii="Times New Roman" w:cs="Times New Roman" w:eastAsia="Times New Roman" w:hAnsi="Times New Roman"/>
          <w:sz w:val="28"/>
          <w:szCs w:val="28"/>
          <w:rtl w:val="0"/>
        </w:rPr>
        <w:t xml:space="preserve">sin</w:t>
      </w:r>
      <w:r w:rsidDel="00000000" w:rsidR="00000000" w:rsidRPr="00000000">
        <w:rPr>
          <w:rFonts w:ascii="Times New Roman" w:cs="Times New Roman" w:eastAsia="Times New Roman" w:hAnsi="Times New Roman"/>
          <w:sz w:val="28"/>
          <w:szCs w:val="28"/>
          <w:highlight w:val="white"/>
          <w:rtl w:val="0"/>
        </w:rPr>
        <w:t xml:space="preserve">guri </w:t>
      </w:r>
      <w:r w:rsidDel="00000000" w:rsidR="00000000" w:rsidRPr="00000000">
        <w:rPr>
          <w:rFonts w:ascii="Times New Roman" w:cs="Times New Roman" w:eastAsia="Times New Roman" w:hAnsi="Times New Roman"/>
          <w:sz w:val="28"/>
          <w:szCs w:val="28"/>
          <w:highlight w:val="white"/>
          <w:rtl w:val="0"/>
        </w:rPr>
        <w:t xml:space="preserve">care au copii în vârstă de până la 16 ani</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 II.</w:t>
      </w:r>
      <w:r w:rsidDel="00000000" w:rsidR="00000000" w:rsidRPr="00000000">
        <w:rPr>
          <w:rFonts w:ascii="Times New Roman" w:cs="Times New Roman" w:eastAsia="Times New Roman" w:hAnsi="Times New Roman"/>
          <w:sz w:val="28"/>
          <w:szCs w:val="28"/>
          <w:rtl w:val="0"/>
        </w:rPr>
        <w:t xml:space="preserve"> – La articolul 5, alineatul (2), litera c) din Legea nr. 156/1998 privind sistemul public de pensii (republicată în Monitorul Oficial al Republicii Moldova, 2004, nr. 42–44, art. 247), cu modificările ulterioare, după cuvintele ,,indemnizaţie pentru incapacitate temporară de muncă” se introduce textul ,,de indemnizație de maternitate, de indemnizație paternală,”.</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 III.</w:t>
      </w:r>
      <w:r w:rsidDel="00000000" w:rsidR="00000000" w:rsidRPr="00000000">
        <w:rPr>
          <w:rFonts w:ascii="Times New Roman" w:cs="Times New Roman" w:eastAsia="Times New Roman" w:hAnsi="Times New Roman"/>
          <w:sz w:val="28"/>
          <w:szCs w:val="28"/>
          <w:rtl w:val="0"/>
        </w:rPr>
        <w:t xml:space="preserve"> – (1) Prezenta lege intră în vigoare la expirarea termenului de 3 luni de la data publicării în Monitorul Oficial al Republicii Moldova.</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Guvernul, în termen de 3 luni de la data publicării prezentei legi în Monitorul Oficial al Republicii Moldova, va aduce actele sale normative în concordanţă cu aceasta.</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left="-180" w:firstLine="99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Președintele Parlamentului</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tabs>
          <w:tab w:val="left" w:leader="none" w:pos="884"/>
          <w:tab w:val="left" w:leader="none" w:pos="1196"/>
        </w:tabs>
        <w:ind w:firstLine="810"/>
        <w:jc w:val="left"/>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19">
      <w:pPr>
        <w:ind w:left="283.46456692913375" w:right="431.81102362204797" w:firstLine="0"/>
        <w:rPr>
          <w:rFonts w:ascii="Times New Roman" w:cs="Times New Roman" w:eastAsia="Times New Roman" w:hAnsi="Times New Roman"/>
          <w:i w:val="1"/>
          <w:iCs w:val="1"/>
        </w:rPr>
      </w:pPr>
      <w:r w:rsidDel="00000000" w:rsidR="00000000" w:rsidRPr="00000000">
        <w:rPr>
          <w:rtl w:val="0"/>
        </w:rPr>
      </w:r>
    </w:p>
    <w:sectPr>
      <w:pgSz w:h="16838" w:w="11906" w:orient="portrait"/>
      <w:pgMar w:bottom="567" w:top="567" w:left="1133.858267716535" w:right="1567.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lay">
    <w:embedRegular w:fontKey="{00000000-0000-0000-0000-000000000000}" r:id="rId1" w:subsetted="0"/>
    <w:embedBold w:fontKey="{00000000-0000-0000-0000-000000000000}" r:id="rId2" w:subsetted="0"/>
  </w:font>
  <w:font w:name="Palatino Linotyp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1"/>
        <w:szCs w:val="21"/>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alatinoLinotype-regular.ttf"/><Relationship Id="rId4" Type="http://schemas.openxmlformats.org/officeDocument/2006/relationships/font" Target="fonts/PalatinoLinotype-bold.ttf"/><Relationship Id="rId5" Type="http://schemas.openxmlformats.org/officeDocument/2006/relationships/font" Target="fonts/PalatinoLinotype-italic.ttf"/><Relationship Id="rId6"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