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3C991" w14:textId="77777777" w:rsidR="00FC4B79" w:rsidRDefault="00000000">
      <w:pPr>
        <w:pBdr>
          <w:top w:val="none" w:sz="0" w:space="0" w:color="000000"/>
          <w:left w:val="none" w:sz="0" w:space="0" w:color="000000"/>
          <w:bottom w:val="none" w:sz="0" w:space="0" w:color="000000"/>
          <w:right w:val="none" w:sz="0" w:space="0" w:color="000000"/>
        </w:pBdr>
        <w:tabs>
          <w:tab w:val="left" w:pos="884"/>
          <w:tab w:val="left" w:pos="1196"/>
        </w:tabs>
        <w:spacing w:before="200" w:after="20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6"/>
          <w:szCs w:val="26"/>
        </w:rPr>
        <w:t>NOTA DE FUNDAMENTARE</w:t>
      </w:r>
    </w:p>
    <w:p w14:paraId="6E38A07B" w14:textId="77777777" w:rsidR="00FC4B79" w:rsidRDefault="00000000">
      <w:pPr>
        <w:pBdr>
          <w:top w:val="none" w:sz="0" w:space="0" w:color="000000"/>
          <w:left w:val="none" w:sz="0" w:space="0" w:color="000000"/>
          <w:bottom w:val="none" w:sz="0" w:space="0" w:color="000000"/>
          <w:right w:val="none" w:sz="0" w:space="0" w:color="000000"/>
        </w:pBdr>
        <w:tabs>
          <w:tab w:val="left" w:pos="884"/>
          <w:tab w:val="left" w:pos="1196"/>
        </w:tabs>
        <w:spacing w:before="200" w:after="20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la proiectul de lege pentru modificarea unor acte normative în domeniul raporturilor de muncă, securității și sănătății în muncă și egalității de tratament</w:t>
      </w:r>
    </w:p>
    <w:tbl>
      <w:tblPr>
        <w:tblStyle w:val="a5"/>
        <w:tblW w:w="9030" w:type="dxa"/>
        <w:tblInd w:w="75" w:type="dxa"/>
        <w:tblBorders>
          <w:top w:val="nil"/>
          <w:left w:val="nil"/>
          <w:bottom w:val="nil"/>
          <w:right w:val="nil"/>
          <w:insideH w:val="nil"/>
          <w:insideV w:val="nil"/>
        </w:tblBorders>
        <w:tblLayout w:type="fixed"/>
        <w:tblLook w:val="0400" w:firstRow="0" w:lastRow="0" w:firstColumn="0" w:lastColumn="0" w:noHBand="0" w:noVBand="1"/>
      </w:tblPr>
      <w:tblGrid>
        <w:gridCol w:w="9030"/>
      </w:tblGrid>
      <w:tr w:rsidR="00FC4B79" w14:paraId="56AC016C" w14:textId="77777777">
        <w:trPr>
          <w:trHeight w:val="582"/>
        </w:trPr>
        <w:tc>
          <w:tcPr>
            <w:tcW w:w="9030" w:type="dxa"/>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0D71829A" w14:textId="77777777" w:rsidR="00FC4B79" w:rsidRDefault="00000000">
            <w:pPr>
              <w:spacing w:before="200" w:after="200" w:line="240" w:lineRule="auto"/>
              <w:ind w:firstLine="709"/>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1. Denumirea sau numele autorului și, după caz, a/al participanților la elaborarea proiectului actului normativ</w:t>
            </w:r>
          </w:p>
        </w:tc>
      </w:tr>
      <w:tr w:rsidR="00FC4B79" w14:paraId="0B8266AD" w14:textId="77777777">
        <w:trPr>
          <w:trHeight w:val="953"/>
        </w:trPr>
        <w:tc>
          <w:tcPr>
            <w:tcW w:w="903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FBF5DE9" w14:textId="77777777" w:rsidR="00FC4B79" w:rsidRDefault="00000000">
            <w:pPr>
              <w:spacing w:before="200" w:after="200" w:line="240" w:lineRule="auto"/>
              <w:ind w:firstLine="63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rPr>
              <w:t xml:space="preserve">Proiectul de lege pentru modificarea </w:t>
            </w:r>
            <w:r>
              <w:rPr>
                <w:rFonts w:ascii="Times New Roman" w:eastAsia="Times New Roman" w:hAnsi="Times New Roman" w:cs="Times New Roman"/>
                <w:b/>
                <w:bCs/>
                <w:sz w:val="26"/>
                <w:szCs w:val="26"/>
              </w:rPr>
              <w:t>unor acte normative în domeniul raporturilor de muncă, securității și sănătății în muncă și egalității de tratament</w:t>
            </w:r>
            <w:r>
              <w:rPr>
                <w:rFonts w:ascii="Times New Roman" w:eastAsia="Times New Roman" w:hAnsi="Times New Roman" w:cs="Times New Roman"/>
                <w:sz w:val="26"/>
                <w:szCs w:val="26"/>
              </w:rPr>
              <w:t xml:space="preserve"> (în continuare - Proiect de lege) a fost elaborat de către Ministerul Muncii și Protecției Sociale (în continuare - MMPS). La elaborarea Proiectului de lege au fost antrenați 2 experți delegați de către partenerii de dezvoltare din cadrul Centrului de Drept al Avocaților</w:t>
            </w:r>
            <w:r>
              <w:rPr>
                <w:rFonts w:ascii="Times New Roman" w:eastAsia="Times New Roman" w:hAnsi="Times New Roman" w:cs="Times New Roman"/>
                <w:sz w:val="26"/>
                <w:szCs w:val="26"/>
                <w:highlight w:val="white"/>
              </w:rPr>
              <w:t xml:space="preserve">. </w:t>
            </w:r>
          </w:p>
        </w:tc>
      </w:tr>
      <w:tr w:rsidR="00FC4B79" w14:paraId="1AD3EBDF" w14:textId="77777777">
        <w:tc>
          <w:tcPr>
            <w:tcW w:w="9030" w:type="dxa"/>
            <w:tcBorders>
              <w:top w:val="nil"/>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24A9A2B6" w14:textId="77777777" w:rsidR="00FC4B79" w:rsidRDefault="00000000">
            <w:pPr>
              <w:spacing w:before="200" w:after="200" w:line="240" w:lineRule="auto"/>
              <w:ind w:firstLine="709"/>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2. Condițiile ce au impus elaborarea proiectului actului normativ</w:t>
            </w:r>
          </w:p>
        </w:tc>
      </w:tr>
      <w:tr w:rsidR="00FC4B79" w14:paraId="4D972669" w14:textId="77777777">
        <w:tc>
          <w:tcPr>
            <w:tcW w:w="903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4F0C95FD" w14:textId="77777777" w:rsidR="00FC4B79" w:rsidRDefault="00000000">
            <w:pPr>
              <w:spacing w:before="200" w:after="200" w:line="240" w:lineRule="auto"/>
              <w:ind w:firstLine="709"/>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2.1. Temeiul legal sau, după caz, sursa proiectului actului normativ</w:t>
            </w:r>
          </w:p>
          <w:p w14:paraId="30E2EBCB" w14:textId="77777777" w:rsidR="00FC4B79" w:rsidRDefault="00000000">
            <w:pPr>
              <w:spacing w:before="200" w:after="20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Elaborarea Proiectului de lege derivă din Programul național de aderare a Republicii Moldova la Uniunea Europeană pe anii 2025-2029 (PNA), Capitolul 2 - Libera circulație a lucrătorilor (Anexa A - pct.8) și Capitolul 19 - Politica socială și ocuparea forței de muncă (Anexa A </w:t>
            </w:r>
            <w:r>
              <w:rPr>
                <w:rFonts w:ascii="Times New Roman" w:eastAsia="Times New Roman" w:hAnsi="Times New Roman" w:cs="Times New Roman"/>
                <w:sz w:val="26"/>
                <w:szCs w:val="26"/>
                <w:highlight w:val="white"/>
              </w:rPr>
              <w:t xml:space="preserve">- pct.10, </w:t>
            </w:r>
            <w:r>
              <w:rPr>
                <w:rFonts w:ascii="Times New Roman" w:eastAsia="Times New Roman" w:hAnsi="Times New Roman" w:cs="Times New Roman"/>
                <w:sz w:val="26"/>
                <w:szCs w:val="26"/>
              </w:rPr>
              <w:t>pct.15, pct.41, pct.47, pct.50, pct.51, pct.58), aprobat prin Hotărârea Guvernului nr.306/2025, cu modificările ulterioare.</w:t>
            </w:r>
          </w:p>
          <w:p w14:paraId="0C7C9F45" w14:textId="77777777" w:rsidR="00FC4B79" w:rsidRDefault="00000000">
            <w:pPr>
              <w:spacing w:before="200" w:after="200" w:line="240" w:lineRule="auto"/>
              <w:ind w:firstLine="709"/>
              <w:jc w:val="both"/>
              <w:rPr>
                <w:rFonts w:ascii="Times New Roman" w:eastAsia="Times New Roman" w:hAnsi="Times New Roman" w:cs="Times New Roman"/>
                <w:b/>
                <w:bCs/>
                <w:sz w:val="26"/>
                <w:szCs w:val="26"/>
                <w:highlight w:val="white"/>
              </w:rPr>
            </w:pPr>
            <w:r>
              <w:rPr>
                <w:rFonts w:ascii="Times New Roman" w:eastAsia="Times New Roman" w:hAnsi="Times New Roman" w:cs="Times New Roman"/>
                <w:sz w:val="26"/>
                <w:szCs w:val="26"/>
              </w:rPr>
              <w:t xml:space="preserve">Proiectul de lege în cauză asigură transpunerea unor prevederi din mai multe Directive UE, după cum urmează: </w:t>
            </w:r>
            <w:r>
              <w:rPr>
                <w:rFonts w:ascii="Times New Roman" w:eastAsia="Times New Roman" w:hAnsi="Times New Roman" w:cs="Times New Roman"/>
                <w:b/>
                <w:bCs/>
                <w:sz w:val="26"/>
                <w:szCs w:val="26"/>
              </w:rPr>
              <w:t xml:space="preserve">Directiva </w:t>
            </w:r>
            <w:r>
              <w:rPr>
                <w:rFonts w:ascii="Times New Roman" w:eastAsia="Times New Roman" w:hAnsi="Times New Roman" w:cs="Times New Roman"/>
                <w:b/>
                <w:bCs/>
                <w:sz w:val="26"/>
                <w:szCs w:val="26"/>
                <w:highlight w:val="white"/>
              </w:rPr>
              <w:t>89/391/CEE</w:t>
            </w:r>
            <w:r>
              <w:rPr>
                <w:rFonts w:ascii="Times New Roman" w:eastAsia="Times New Roman" w:hAnsi="Times New Roman" w:cs="Times New Roman"/>
                <w:b/>
                <w:bCs/>
                <w:sz w:val="26"/>
                <w:szCs w:val="26"/>
              </w:rPr>
              <w:t xml:space="preserve">, </w:t>
            </w:r>
            <w:r>
              <w:rPr>
                <w:rFonts w:ascii="Times New Roman" w:eastAsia="Times New Roman" w:hAnsi="Times New Roman" w:cs="Times New Roman"/>
                <w:b/>
                <w:bCs/>
                <w:sz w:val="26"/>
                <w:szCs w:val="26"/>
                <w:highlight w:val="white"/>
              </w:rPr>
              <w:t>Directiva 91/383/CEE, Directiva 92/85/CEE, Directiva 2000/43/CE, Directiva 2000/78/CE, Directiva 2002/14/CE, Directiva 2008/104/CE,</w:t>
            </w:r>
            <w:r>
              <w:rPr>
                <w:rFonts w:ascii="Times New Roman" w:eastAsia="Times New Roman" w:hAnsi="Times New Roman" w:cs="Times New Roman"/>
                <w:sz w:val="26"/>
                <w:szCs w:val="26"/>
                <w:highlight w:val="white"/>
              </w:rPr>
              <w:t xml:space="preserve"> precum și creează cadrul necesar aplicării </w:t>
            </w:r>
            <w:r>
              <w:rPr>
                <w:rFonts w:ascii="Times New Roman" w:eastAsia="Times New Roman" w:hAnsi="Times New Roman" w:cs="Times New Roman"/>
                <w:b/>
                <w:bCs/>
                <w:sz w:val="26"/>
                <w:szCs w:val="26"/>
                <w:highlight w:val="white"/>
              </w:rPr>
              <w:t>Regulamentului (UE) 2019/1149.</w:t>
            </w:r>
          </w:p>
          <w:p w14:paraId="23F6C959" w14:textId="77777777" w:rsidR="00FC4B79" w:rsidRDefault="00000000">
            <w:pPr>
              <w:spacing w:before="200" w:after="200" w:line="240" w:lineRule="auto"/>
              <w:ind w:firstLine="709"/>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În ceea ce privește modificarea art. 103 alin. (3) din Codul muncii, proiectul are ca temei prevederile art. 17 și 18 din Directiva 2003/88/CE din 4 noiembrie 2003 privind anumite aspecte ale organizării timpului de lucru, care permit derogări de la art. 8 al Directivei menționate </w:t>
            </w:r>
            <w:r>
              <w:rPr>
                <w:rFonts w:ascii="Times New Roman" w:eastAsia="Times New Roman" w:hAnsi="Times New Roman" w:cs="Times New Roman"/>
                <w:i/>
                <w:iCs/>
                <w:sz w:val="26"/>
                <w:szCs w:val="26"/>
                <w:highlight w:val="white"/>
              </w:rPr>
              <w:t>(reglementează durata muncii de noapte)</w:t>
            </w:r>
            <w:r>
              <w:rPr>
                <w:rFonts w:ascii="Times New Roman" w:eastAsia="Times New Roman" w:hAnsi="Times New Roman" w:cs="Times New Roman"/>
                <w:sz w:val="26"/>
                <w:szCs w:val="26"/>
                <w:highlight w:val="white"/>
              </w:rPr>
              <w:t>, transpusă prin Legea nr. 193/2025, precum și necesitatea corelării prevederilor art. 103 din Codul muncii cu alte dispoziții ale Codului muncii (art. 99, 100 și 101). În mod particular, modificarea este determinată de dificultățile constatate în aplicarea practică a normelor privind munca de noapte și de necesitatea eliminării lacunelor normative existente.</w:t>
            </w:r>
            <w:r>
              <w:rPr>
                <w:rFonts w:ascii="Times New Roman" w:eastAsia="Times New Roman" w:hAnsi="Times New Roman" w:cs="Times New Roman"/>
                <w:sz w:val="28"/>
                <w:szCs w:val="28"/>
                <w:highlight w:val="white"/>
              </w:rPr>
              <w:t xml:space="preserve">  </w:t>
            </w:r>
          </w:p>
        </w:tc>
      </w:tr>
      <w:tr w:rsidR="00FC4B79" w14:paraId="0F734BF7" w14:textId="77777777">
        <w:trPr>
          <w:trHeight w:val="311"/>
        </w:trPr>
        <w:tc>
          <w:tcPr>
            <w:tcW w:w="9030" w:type="dxa"/>
            <w:tcBorders>
              <w:top w:val="nil"/>
              <w:left w:val="single" w:sz="8" w:space="0" w:color="000000"/>
              <w:bottom w:val="single" w:sz="8" w:space="0" w:color="000000"/>
              <w:right w:val="single" w:sz="8" w:space="0" w:color="000000"/>
            </w:tcBorders>
            <w:shd w:val="clear" w:color="auto" w:fill="EDEDED"/>
            <w:tcMar>
              <w:top w:w="0" w:type="dxa"/>
              <w:left w:w="108" w:type="dxa"/>
              <w:bottom w:w="0" w:type="dxa"/>
              <w:right w:w="108" w:type="dxa"/>
            </w:tcMar>
          </w:tcPr>
          <w:p w14:paraId="3AA96422" w14:textId="77777777" w:rsidR="00FC4B79" w:rsidRDefault="00000000">
            <w:pPr>
              <w:spacing w:before="200" w:after="200" w:line="240" w:lineRule="auto"/>
              <w:ind w:firstLine="709"/>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2.2. Descrierea situației actuale și a problemelor care impun intervenția, inclusiv a cadrului normativ aplicabil și a deficiențelor/lacunelor normative</w:t>
            </w:r>
          </w:p>
        </w:tc>
      </w:tr>
      <w:tr w:rsidR="00FC4B79" w14:paraId="26498BAE" w14:textId="77777777">
        <w:tc>
          <w:tcPr>
            <w:tcW w:w="903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5535ED83" w14:textId="77777777" w:rsidR="00FC4B79" w:rsidRDefault="00000000">
            <w:pPr>
              <w:spacing w:line="240" w:lineRule="auto"/>
              <w:ind w:firstLine="708"/>
              <w:jc w:val="both"/>
              <w:rPr>
                <w:rFonts w:ascii="Times New Roman" w:eastAsia="Times New Roman" w:hAnsi="Times New Roman" w:cs="Times New Roman"/>
                <w:sz w:val="26"/>
                <w:szCs w:val="26"/>
                <w:u w:val="single"/>
              </w:rPr>
            </w:pPr>
            <w:r>
              <w:rPr>
                <w:rFonts w:ascii="Times New Roman" w:eastAsia="Times New Roman" w:hAnsi="Times New Roman" w:cs="Times New Roman"/>
                <w:b/>
                <w:bCs/>
                <w:i/>
                <w:iCs/>
                <w:sz w:val="26"/>
                <w:szCs w:val="26"/>
              </w:rPr>
              <w:lastRenderedPageBreak/>
              <w:t xml:space="preserve">Directiva 89/391/CEE </w:t>
            </w:r>
            <w:r>
              <w:rPr>
                <w:rFonts w:ascii="Times New Roman" w:eastAsia="Times New Roman" w:hAnsi="Times New Roman" w:cs="Times New Roman"/>
                <w:i/>
                <w:iCs/>
                <w:sz w:val="26"/>
                <w:szCs w:val="26"/>
                <w:highlight w:val="white"/>
              </w:rPr>
              <w:t>privind punerea în aplicare de măsuri pentru promovarea îmbunătățirii securității și sănătății lucrătorilor la locul de muncă</w:t>
            </w:r>
          </w:p>
          <w:p w14:paraId="10E5AFEE" w14:textId="77777777" w:rsidR="00FC4B79" w:rsidRDefault="00000000">
            <w:pPr>
              <w:spacing w:line="240" w:lineRule="auto"/>
              <w:ind w:firstLine="630"/>
              <w:jc w:val="both"/>
              <w:rPr>
                <w:rFonts w:ascii="Times New Roman" w:eastAsia="Times New Roman" w:hAnsi="Times New Roman" w:cs="Times New Roman"/>
                <w:sz w:val="26"/>
                <w:szCs w:val="26"/>
                <w:u w:val="single"/>
              </w:rPr>
            </w:pPr>
            <w:r>
              <w:rPr>
                <w:rFonts w:ascii="Times New Roman" w:eastAsia="Times New Roman" w:hAnsi="Times New Roman" w:cs="Times New Roman"/>
                <w:sz w:val="26"/>
                <w:szCs w:val="26"/>
                <w:u w:val="single"/>
              </w:rPr>
              <w:t>Cadrul normativ:</w:t>
            </w:r>
          </w:p>
          <w:p w14:paraId="569B022B" w14:textId="77777777" w:rsidR="00FC4B79" w:rsidRDefault="00000000">
            <w:pPr>
              <w:spacing w:line="240" w:lineRule="auto"/>
              <w:ind w:firstLine="63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Prevederile Directivei 89/391/CEE sunt transpuse în legislația națională prin </w:t>
            </w:r>
            <w:r>
              <w:rPr>
                <w:rFonts w:ascii="Times New Roman" w:eastAsia="Times New Roman" w:hAnsi="Times New Roman" w:cs="Times New Roman"/>
                <w:b/>
                <w:bCs/>
                <w:sz w:val="26"/>
                <w:szCs w:val="26"/>
              </w:rPr>
              <w:t>Legea securității și sănătății în muncă nr. 186/2008</w:t>
            </w:r>
            <w:r>
              <w:rPr>
                <w:rFonts w:ascii="Times New Roman" w:eastAsia="Times New Roman" w:hAnsi="Times New Roman" w:cs="Times New Roman"/>
                <w:sz w:val="26"/>
                <w:szCs w:val="26"/>
              </w:rPr>
              <w:t>, care stabilește cadrul general pentru asigurarea securității și sănătății lucrătorilor la locul de muncă, inclusiv obligațiile angajatorilor și ale lucrătorilor, precum și atribuțiile autorităților competente în domeniu.</w:t>
            </w:r>
          </w:p>
          <w:p w14:paraId="13AF1B1E" w14:textId="77777777" w:rsidR="00FC4B79" w:rsidRDefault="00000000">
            <w:pPr>
              <w:spacing w:line="240" w:lineRule="auto"/>
              <w:ind w:firstLine="63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u w:val="single"/>
              </w:rPr>
              <w:t>Probleme</w:t>
            </w:r>
            <w:r>
              <w:rPr>
                <w:rFonts w:ascii="Times New Roman" w:eastAsia="Times New Roman" w:hAnsi="Times New Roman" w:cs="Times New Roman"/>
                <w:sz w:val="26"/>
                <w:szCs w:val="26"/>
              </w:rPr>
              <w:t>:</w:t>
            </w:r>
          </w:p>
          <w:p w14:paraId="3FB00C2A" w14:textId="77777777" w:rsidR="00FC4B79" w:rsidRDefault="00000000">
            <w:pPr>
              <w:spacing w:line="240" w:lineRule="auto"/>
              <w:ind w:firstLine="63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reglementarea națională nu reflectă în mod expres aplicarea principiilor generale de prevenire asupra tuturor riscurilor pentru securitatea și sănătatea lucrătorilor la locul de muncă, fiind utilizată o terminologie susceptibilă de a restrânge domeniul de aplicare la riscuri de natură profesională;</w:t>
            </w:r>
          </w:p>
          <w:p w14:paraId="5FCF7EEC" w14:textId="77777777" w:rsidR="00FC4B79" w:rsidRDefault="00000000">
            <w:pPr>
              <w:spacing w:line="240" w:lineRule="auto"/>
              <w:ind w:firstLine="63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lipsa unui mecanism normativ distinct privind raportarea periodică către Comisia Europeană a informațiilor referitoare la implementarea cadrului național în domeniul securității și sănătății în muncă;</w:t>
            </w:r>
          </w:p>
          <w:p w14:paraId="36451181" w14:textId="77777777" w:rsidR="00FC4B79" w:rsidRDefault="00000000">
            <w:pPr>
              <w:spacing w:line="240" w:lineRule="auto"/>
              <w:ind w:firstLine="63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existența unor necorelări normative generate de modificările recente (Legea nr. 311/2025) privind competențele autorităților de control în domeniul muncii și securității și sănătății în muncă.</w:t>
            </w:r>
          </w:p>
          <w:p w14:paraId="12BD5FAD" w14:textId="77777777" w:rsidR="00FC4B79" w:rsidRDefault="00FC4B79">
            <w:pPr>
              <w:spacing w:line="240" w:lineRule="auto"/>
              <w:ind w:firstLine="630"/>
              <w:jc w:val="both"/>
              <w:rPr>
                <w:rFonts w:ascii="Times New Roman" w:eastAsia="Times New Roman" w:hAnsi="Times New Roman" w:cs="Times New Roman"/>
                <w:b/>
                <w:bCs/>
                <w:i/>
                <w:iCs/>
                <w:sz w:val="26"/>
                <w:szCs w:val="26"/>
              </w:rPr>
            </w:pPr>
          </w:p>
          <w:p w14:paraId="060C3336" w14:textId="77777777" w:rsidR="00FC4B79" w:rsidRDefault="00000000">
            <w:pPr>
              <w:spacing w:line="240" w:lineRule="auto"/>
              <w:ind w:firstLine="630"/>
              <w:jc w:val="both"/>
              <w:rPr>
                <w:rFonts w:ascii="Times New Roman" w:eastAsia="Times New Roman" w:hAnsi="Times New Roman" w:cs="Times New Roman"/>
                <w:b/>
                <w:bCs/>
                <w:i/>
                <w:iCs/>
                <w:sz w:val="26"/>
                <w:szCs w:val="26"/>
              </w:rPr>
            </w:pPr>
            <w:r>
              <w:rPr>
                <w:rFonts w:ascii="Times New Roman" w:eastAsia="Times New Roman" w:hAnsi="Times New Roman" w:cs="Times New Roman"/>
                <w:b/>
                <w:bCs/>
                <w:i/>
                <w:iCs/>
                <w:sz w:val="26"/>
                <w:szCs w:val="26"/>
              </w:rPr>
              <w:t>Directiva 91/383/CEE</w:t>
            </w:r>
            <w:r>
              <w:rPr>
                <w:rFonts w:ascii="Times New Roman" w:eastAsia="Times New Roman" w:hAnsi="Times New Roman" w:cs="Times New Roman"/>
                <w:i/>
                <w:iCs/>
                <w:sz w:val="26"/>
                <w:szCs w:val="26"/>
                <w:highlight w:val="white"/>
              </w:rPr>
              <w:t xml:space="preserve"> de completare a măsurilor destinate să promoveze îmbunătățirea securității și sănătății la locul de muncă în cazul lucrătorilor care au un raport de muncă pe durată determinată sau un raport de muncă temporară</w:t>
            </w:r>
          </w:p>
          <w:p w14:paraId="1D155D69" w14:textId="77777777" w:rsidR="00FC4B79" w:rsidRDefault="00000000">
            <w:pPr>
              <w:spacing w:line="240" w:lineRule="auto"/>
              <w:ind w:firstLine="630"/>
              <w:jc w:val="both"/>
              <w:rPr>
                <w:rFonts w:ascii="Times New Roman" w:eastAsia="Times New Roman" w:hAnsi="Times New Roman" w:cs="Times New Roman"/>
                <w:b/>
                <w:bCs/>
                <w:sz w:val="26"/>
                <w:szCs w:val="26"/>
              </w:rPr>
            </w:pPr>
            <w:r>
              <w:rPr>
                <w:rFonts w:ascii="Times New Roman" w:eastAsia="Times New Roman" w:hAnsi="Times New Roman" w:cs="Times New Roman"/>
                <w:sz w:val="26"/>
                <w:szCs w:val="26"/>
                <w:u w:val="single"/>
              </w:rPr>
              <w:t>Cadrul normativ:</w:t>
            </w:r>
          </w:p>
          <w:p w14:paraId="57AD40DC" w14:textId="77777777" w:rsidR="00FC4B79" w:rsidRDefault="00000000">
            <w:pPr>
              <w:spacing w:line="240" w:lineRule="auto"/>
              <w:ind w:firstLine="63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Prevederile Directivei 91/383/CEE sunt transpuse în legislația națională prin </w:t>
            </w:r>
            <w:r>
              <w:rPr>
                <w:rFonts w:ascii="Times New Roman" w:eastAsia="Times New Roman" w:hAnsi="Times New Roman" w:cs="Times New Roman"/>
                <w:b/>
                <w:bCs/>
                <w:sz w:val="26"/>
                <w:szCs w:val="26"/>
              </w:rPr>
              <w:t xml:space="preserve">Legea securității și sănătății în muncă nr. 186/2008 </w:t>
            </w:r>
            <w:r>
              <w:rPr>
                <w:rFonts w:ascii="Times New Roman" w:eastAsia="Times New Roman" w:hAnsi="Times New Roman" w:cs="Times New Roman"/>
                <w:sz w:val="26"/>
                <w:szCs w:val="26"/>
              </w:rPr>
              <w:t xml:space="preserve">și </w:t>
            </w:r>
            <w:r>
              <w:rPr>
                <w:rFonts w:ascii="Times New Roman" w:eastAsia="Times New Roman" w:hAnsi="Times New Roman" w:cs="Times New Roman"/>
                <w:b/>
                <w:bCs/>
                <w:sz w:val="26"/>
                <w:szCs w:val="26"/>
              </w:rPr>
              <w:t>Codul muncii al Republicii Moldova nr. 154/200</w:t>
            </w:r>
            <w:r>
              <w:rPr>
                <w:rFonts w:ascii="Times New Roman" w:eastAsia="Times New Roman" w:hAnsi="Times New Roman" w:cs="Times New Roman"/>
                <w:sz w:val="26"/>
                <w:szCs w:val="26"/>
              </w:rPr>
              <w:t>3, inclusiv prin modificările operate prin Legea nr. 193/2025, care a consolidat cadrul normativ privind protecția salariaților încadrați în baza contractelor individuale de muncă pe durată determinată și a salariaților temporari.</w:t>
            </w:r>
          </w:p>
          <w:p w14:paraId="2C9E2F36" w14:textId="77777777" w:rsidR="00FC4B79" w:rsidRDefault="00000000">
            <w:pPr>
              <w:spacing w:line="240" w:lineRule="auto"/>
              <w:ind w:firstLine="630"/>
              <w:jc w:val="both"/>
              <w:rPr>
                <w:rFonts w:ascii="Times New Roman" w:eastAsia="Times New Roman" w:hAnsi="Times New Roman" w:cs="Times New Roman"/>
                <w:sz w:val="26"/>
                <w:szCs w:val="26"/>
              </w:rPr>
            </w:pPr>
            <w:r>
              <w:rPr>
                <w:rFonts w:ascii="Times New Roman" w:eastAsia="Times New Roman" w:hAnsi="Times New Roman" w:cs="Times New Roman"/>
                <w:sz w:val="26"/>
                <w:szCs w:val="26"/>
                <w:u w:val="single"/>
              </w:rPr>
              <w:t>Probleme:</w:t>
            </w:r>
            <w:r>
              <w:rPr>
                <w:rFonts w:ascii="Times New Roman" w:eastAsia="Times New Roman" w:hAnsi="Times New Roman" w:cs="Times New Roman"/>
                <w:sz w:val="26"/>
                <w:szCs w:val="26"/>
              </w:rPr>
              <w:t xml:space="preserve"> </w:t>
            </w:r>
          </w:p>
          <w:p w14:paraId="4B85E4B0" w14:textId="77777777" w:rsidR="00FC4B79" w:rsidRDefault="00000000">
            <w:pPr>
              <w:spacing w:line="240" w:lineRule="auto"/>
              <w:jc w:val="both"/>
              <w:rPr>
                <w:rFonts w:ascii="Times New Roman" w:eastAsia="Times New Roman" w:hAnsi="Times New Roman" w:cs="Times New Roman"/>
                <w:i/>
                <w:iCs/>
                <w:sz w:val="26"/>
                <w:szCs w:val="26"/>
                <w:u w:val="single"/>
              </w:rPr>
            </w:pPr>
            <w:r>
              <w:rPr>
                <w:rFonts w:ascii="Times New Roman" w:eastAsia="Times New Roman" w:hAnsi="Times New Roman" w:cs="Times New Roman"/>
                <w:i/>
                <w:iCs/>
                <w:sz w:val="26"/>
                <w:szCs w:val="26"/>
              </w:rPr>
              <w:t>(identificate în corespundere cu recomandările experților Comisiei Europene, parvenite de la etapa de consultare a Legii nr.193/2025)</w:t>
            </w:r>
          </w:p>
          <w:p w14:paraId="6AA30502" w14:textId="77777777" w:rsidR="00FC4B79" w:rsidRDefault="00000000">
            <w:pPr>
              <w:spacing w:line="240" w:lineRule="auto"/>
              <w:ind w:firstLine="63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reglementarea insuficient de clară a aplicării principiului egalității de tratament în materie de securitate și sănătate în muncă pentru salariații cu contract individual de muncă pe durată determinată și pentru salariații temporari;</w:t>
            </w:r>
          </w:p>
          <w:p w14:paraId="0B040C19" w14:textId="77777777" w:rsidR="00FC4B79" w:rsidRDefault="00000000">
            <w:pPr>
              <w:spacing w:line="240" w:lineRule="auto"/>
              <w:ind w:firstLine="63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utilizarea unor formulări normative susceptibile de interpretări diferite, în special prin referirea la „măsuri similare de protecție”;</w:t>
            </w:r>
          </w:p>
          <w:p w14:paraId="3550E3EA" w14:textId="77777777" w:rsidR="00FC4B79" w:rsidRDefault="00000000">
            <w:pPr>
              <w:spacing w:line="240" w:lineRule="auto"/>
              <w:ind w:firstLine="63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lipsa unei corelări explicite între normele generale privind securitatea și sănătatea în muncă și regimul juridic aplicabil salariaților temporari.</w:t>
            </w:r>
          </w:p>
          <w:p w14:paraId="7B4450C3" w14:textId="77777777" w:rsidR="00FC4B79" w:rsidRDefault="00000000">
            <w:pPr>
              <w:spacing w:line="240" w:lineRule="auto"/>
              <w:jc w:val="both"/>
              <w:rPr>
                <w:rFonts w:ascii="Times New Roman" w:eastAsia="Times New Roman" w:hAnsi="Times New Roman" w:cs="Times New Roman"/>
                <w:sz w:val="26"/>
                <w:szCs w:val="26"/>
                <w:u w:val="single"/>
              </w:rPr>
            </w:pPr>
            <w:r>
              <w:rPr>
                <w:rFonts w:ascii="Times New Roman" w:eastAsia="Times New Roman" w:hAnsi="Times New Roman" w:cs="Times New Roman"/>
                <w:sz w:val="26"/>
                <w:szCs w:val="26"/>
              </w:rPr>
              <w:t>în corespundere cu recomandările experților Comisiei Europene, parvenite de la etapa de consultare a Legii nr.193/2025.</w:t>
            </w:r>
          </w:p>
          <w:p w14:paraId="06DB30FE" w14:textId="77777777" w:rsidR="00FC4B79" w:rsidRDefault="00FC4B79">
            <w:pPr>
              <w:spacing w:line="240" w:lineRule="auto"/>
              <w:ind w:firstLine="630"/>
              <w:jc w:val="both"/>
              <w:rPr>
                <w:rFonts w:ascii="Times New Roman" w:eastAsia="Times New Roman" w:hAnsi="Times New Roman" w:cs="Times New Roman"/>
                <w:b/>
                <w:bCs/>
                <w:i/>
                <w:iCs/>
                <w:sz w:val="26"/>
                <w:szCs w:val="26"/>
                <w:highlight w:val="white"/>
              </w:rPr>
            </w:pPr>
          </w:p>
          <w:p w14:paraId="21F34655" w14:textId="77777777" w:rsidR="00FC4B79" w:rsidRDefault="00000000">
            <w:pPr>
              <w:spacing w:line="240" w:lineRule="auto"/>
              <w:ind w:firstLine="630"/>
              <w:jc w:val="both"/>
              <w:rPr>
                <w:rFonts w:ascii="Times New Roman" w:eastAsia="Times New Roman" w:hAnsi="Times New Roman" w:cs="Times New Roman"/>
                <w:b/>
                <w:bCs/>
                <w:i/>
                <w:iCs/>
                <w:sz w:val="26"/>
                <w:szCs w:val="26"/>
                <w:highlight w:val="white"/>
              </w:rPr>
            </w:pPr>
            <w:r>
              <w:rPr>
                <w:rFonts w:ascii="Times New Roman" w:eastAsia="Times New Roman" w:hAnsi="Times New Roman" w:cs="Times New Roman"/>
                <w:b/>
                <w:bCs/>
                <w:i/>
                <w:iCs/>
                <w:sz w:val="26"/>
                <w:szCs w:val="26"/>
                <w:highlight w:val="white"/>
              </w:rPr>
              <w:t>Directiva 92/85/CEE</w:t>
            </w:r>
            <w:r>
              <w:rPr>
                <w:rFonts w:ascii="Times New Roman" w:eastAsia="Times New Roman" w:hAnsi="Times New Roman" w:cs="Times New Roman"/>
                <w:i/>
                <w:iCs/>
                <w:sz w:val="26"/>
                <w:szCs w:val="26"/>
                <w:highlight w:val="white"/>
              </w:rPr>
              <w:t xml:space="preserve"> </w:t>
            </w:r>
            <w:r>
              <w:rPr>
                <w:rFonts w:ascii="Times New Roman" w:eastAsia="Times New Roman" w:hAnsi="Times New Roman" w:cs="Times New Roman"/>
                <w:i/>
                <w:iCs/>
                <w:sz w:val="26"/>
                <w:szCs w:val="26"/>
              </w:rPr>
              <w:t>a Consiliului din 19 octombrie 1992 privind introducerea de măsuri pentru promovarea îmbunătățirii securității și a sănătății la locul de muncă în cazul lucrătoarelor gravide, care au născut de curând sau care alăptează</w:t>
            </w:r>
          </w:p>
          <w:p w14:paraId="0CDDFE5A" w14:textId="77777777" w:rsidR="00FC4B79" w:rsidRDefault="00000000">
            <w:pPr>
              <w:spacing w:line="240" w:lineRule="auto"/>
              <w:ind w:firstLine="63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u w:val="single"/>
              </w:rPr>
              <w:t>Cadrul normativ</w:t>
            </w:r>
            <w:r>
              <w:rPr>
                <w:rFonts w:ascii="Times New Roman" w:eastAsia="Times New Roman" w:hAnsi="Times New Roman" w:cs="Times New Roman"/>
                <w:sz w:val="26"/>
                <w:szCs w:val="26"/>
                <w:highlight w:val="white"/>
              </w:rPr>
              <w:t xml:space="preserve">: </w:t>
            </w:r>
          </w:p>
          <w:p w14:paraId="3B738382" w14:textId="77777777" w:rsidR="00FC4B79" w:rsidRDefault="00000000">
            <w:pPr>
              <w:spacing w:line="240" w:lineRule="auto"/>
              <w:ind w:firstLine="63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rPr>
              <w:lastRenderedPageBreak/>
              <w:t xml:space="preserve">Prevederile Directivei 92/85/CEE sunt transpuse în legislația națională prin </w:t>
            </w:r>
            <w:r>
              <w:rPr>
                <w:rFonts w:ascii="Times New Roman" w:eastAsia="Times New Roman" w:hAnsi="Times New Roman" w:cs="Times New Roman"/>
                <w:b/>
                <w:bCs/>
                <w:sz w:val="26"/>
                <w:szCs w:val="26"/>
              </w:rPr>
              <w:t>Legea securității și sănătății în muncă nr. 186/2008, Codul muncii nr. 154/2003</w:t>
            </w:r>
            <w:r>
              <w:rPr>
                <w:rFonts w:ascii="Times New Roman" w:eastAsia="Times New Roman" w:hAnsi="Times New Roman" w:cs="Times New Roman"/>
                <w:sz w:val="26"/>
                <w:szCs w:val="26"/>
              </w:rPr>
              <w:t xml:space="preserve"> și </w:t>
            </w:r>
            <w:r>
              <w:rPr>
                <w:rFonts w:ascii="Times New Roman" w:eastAsia="Times New Roman" w:hAnsi="Times New Roman" w:cs="Times New Roman"/>
                <w:b/>
                <w:bCs/>
                <w:sz w:val="26"/>
                <w:szCs w:val="26"/>
              </w:rPr>
              <w:t xml:space="preserve">HG nr.1408/2016 </w:t>
            </w:r>
            <w:r>
              <w:rPr>
                <w:rFonts w:ascii="Times New Roman" w:eastAsia="Times New Roman" w:hAnsi="Times New Roman" w:cs="Times New Roman"/>
                <w:sz w:val="26"/>
                <w:szCs w:val="26"/>
              </w:rPr>
              <w:t xml:space="preserve">privind </w:t>
            </w:r>
            <w:proofErr w:type="spellStart"/>
            <w:r>
              <w:rPr>
                <w:rFonts w:ascii="Times New Roman" w:eastAsia="Times New Roman" w:hAnsi="Times New Roman" w:cs="Times New Roman"/>
                <w:sz w:val="26"/>
                <w:szCs w:val="26"/>
              </w:rPr>
              <w:t>Cerinţele</w:t>
            </w:r>
            <w:proofErr w:type="spellEnd"/>
            <w:r>
              <w:rPr>
                <w:rFonts w:ascii="Times New Roman" w:eastAsia="Times New Roman" w:hAnsi="Times New Roman" w:cs="Times New Roman"/>
                <w:sz w:val="26"/>
                <w:szCs w:val="26"/>
              </w:rPr>
              <w:t xml:space="preserve"> minime de securitate şi sănătate în muncă pentru </w:t>
            </w:r>
            <w:proofErr w:type="spellStart"/>
            <w:r>
              <w:rPr>
                <w:rFonts w:ascii="Times New Roman" w:eastAsia="Times New Roman" w:hAnsi="Times New Roman" w:cs="Times New Roman"/>
                <w:sz w:val="26"/>
                <w:szCs w:val="26"/>
              </w:rPr>
              <w:t>protecţia</w:t>
            </w:r>
            <w:proofErr w:type="spellEnd"/>
            <w:r>
              <w:rPr>
                <w:rFonts w:ascii="Times New Roman" w:eastAsia="Times New Roman" w:hAnsi="Times New Roman" w:cs="Times New Roman"/>
                <w:sz w:val="26"/>
                <w:szCs w:val="26"/>
              </w:rPr>
              <w:t xml:space="preserve"> salariatelor gravide, care au născut de curând sau care alăptează.</w:t>
            </w:r>
          </w:p>
          <w:p w14:paraId="5988F0A3" w14:textId="77777777" w:rsidR="00FC4B79" w:rsidRDefault="00000000">
            <w:pPr>
              <w:spacing w:line="240" w:lineRule="auto"/>
              <w:ind w:firstLine="63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u w:val="single"/>
              </w:rPr>
              <w:t>Probleme:</w:t>
            </w:r>
            <w:r>
              <w:rPr>
                <w:rFonts w:ascii="Times New Roman" w:eastAsia="Times New Roman" w:hAnsi="Times New Roman" w:cs="Times New Roman"/>
                <w:sz w:val="26"/>
                <w:szCs w:val="26"/>
                <w:highlight w:val="white"/>
              </w:rPr>
              <w:t xml:space="preserve"> cadrul normativ național nu reglementează expres dreptul salariatelor gravide la dispense pentru efectuarea consultațiilor prenatale în timpul programului de muncă, cu menținerea drepturilor salariale.</w:t>
            </w:r>
          </w:p>
          <w:p w14:paraId="758471F5" w14:textId="77777777" w:rsidR="00FC4B79" w:rsidRDefault="00000000">
            <w:pPr>
              <w:spacing w:line="240" w:lineRule="auto"/>
              <w:ind w:firstLine="63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La fel, cadrul normativ național nu reglementează suficient de clar evaluarea riscurilor specifice pentru femeile gravide, lehuze sau care alăptează, inclusiv prin raportare la agenți chimici, fizici și biologici, procedee industriale și condiții de muncă susceptibile să le afecteze securitatea ori sănătatea. Totodată, nu sunt prevăzute expres elementele ce țin de mișcările și pozițiile de muncă, oboseala fizică și psihică ori alte solicitări fizice și mintale, precum și obligația asigurării unor repere metodologice pentru aplicarea uniformă a acestor cerințe.</w:t>
            </w:r>
          </w:p>
          <w:p w14:paraId="7514AE8D" w14:textId="77777777" w:rsidR="00FC4B79" w:rsidRDefault="00FC4B79">
            <w:pPr>
              <w:spacing w:line="240" w:lineRule="auto"/>
              <w:ind w:firstLine="630"/>
              <w:jc w:val="both"/>
              <w:rPr>
                <w:rFonts w:ascii="Times New Roman" w:eastAsia="Times New Roman" w:hAnsi="Times New Roman" w:cs="Times New Roman"/>
                <w:sz w:val="26"/>
                <w:szCs w:val="26"/>
                <w:highlight w:val="white"/>
              </w:rPr>
            </w:pPr>
          </w:p>
          <w:p w14:paraId="35793C74" w14:textId="77777777" w:rsidR="00FC4B79" w:rsidRDefault="00FC4B79">
            <w:pPr>
              <w:spacing w:line="240" w:lineRule="auto"/>
              <w:ind w:firstLine="630"/>
              <w:jc w:val="both"/>
              <w:rPr>
                <w:rFonts w:ascii="Times New Roman" w:eastAsia="Times New Roman" w:hAnsi="Times New Roman" w:cs="Times New Roman"/>
                <w:b/>
                <w:bCs/>
                <w:i/>
                <w:iCs/>
                <w:sz w:val="26"/>
                <w:szCs w:val="26"/>
                <w:highlight w:val="white"/>
              </w:rPr>
            </w:pPr>
          </w:p>
          <w:p w14:paraId="0710F0E8" w14:textId="77777777" w:rsidR="00FC4B79" w:rsidRDefault="00000000">
            <w:pPr>
              <w:spacing w:line="240" w:lineRule="auto"/>
              <w:ind w:firstLine="630"/>
              <w:jc w:val="both"/>
              <w:rPr>
                <w:rFonts w:ascii="Times New Roman" w:eastAsia="Times New Roman" w:hAnsi="Times New Roman" w:cs="Times New Roman"/>
                <w:b/>
                <w:bCs/>
                <w:i/>
                <w:iCs/>
                <w:sz w:val="26"/>
                <w:szCs w:val="26"/>
                <w:highlight w:val="white"/>
              </w:rPr>
            </w:pPr>
            <w:r>
              <w:rPr>
                <w:rFonts w:ascii="Times New Roman" w:eastAsia="Times New Roman" w:hAnsi="Times New Roman" w:cs="Times New Roman"/>
                <w:b/>
                <w:bCs/>
                <w:i/>
                <w:iCs/>
                <w:sz w:val="26"/>
                <w:szCs w:val="26"/>
                <w:highlight w:val="white"/>
              </w:rPr>
              <w:t xml:space="preserve">Directiva 2000/43/CE </w:t>
            </w:r>
            <w:r>
              <w:rPr>
                <w:rFonts w:ascii="Times New Roman" w:eastAsia="Times New Roman" w:hAnsi="Times New Roman" w:cs="Times New Roman"/>
                <w:i/>
                <w:iCs/>
                <w:sz w:val="26"/>
                <w:szCs w:val="26"/>
                <w:highlight w:val="white"/>
              </w:rPr>
              <w:t>a Consiliului din 29 iunie 2000 de punere în aplicare a principiului egalității de tratament între persoane, fără deosebire de rasă sau origine etnică</w:t>
            </w:r>
          </w:p>
          <w:p w14:paraId="2FF6A1B0" w14:textId="77777777" w:rsidR="00FC4B79" w:rsidRDefault="00000000">
            <w:pPr>
              <w:spacing w:line="240" w:lineRule="auto"/>
              <w:ind w:firstLine="63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u w:val="single"/>
              </w:rPr>
              <w:t>Cadrul normativ:</w:t>
            </w:r>
          </w:p>
          <w:p w14:paraId="23A5B9A0" w14:textId="77777777" w:rsidR="00FC4B79" w:rsidRDefault="00000000">
            <w:pPr>
              <w:spacing w:line="240" w:lineRule="auto"/>
              <w:ind w:firstLine="63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Transpunerea parțială a reglementărilor UE privind egalitatea de tratament (rasă și origine etnică) este asigurată prin </w:t>
            </w:r>
            <w:r>
              <w:rPr>
                <w:rFonts w:ascii="Times New Roman" w:eastAsia="Times New Roman" w:hAnsi="Times New Roman" w:cs="Times New Roman"/>
                <w:b/>
                <w:bCs/>
                <w:sz w:val="26"/>
                <w:szCs w:val="26"/>
                <w:highlight w:val="white"/>
              </w:rPr>
              <w:t>Codul muncii nr. 154/2003 (art. 5 și 8)</w:t>
            </w:r>
            <w:r>
              <w:rPr>
                <w:rFonts w:ascii="Times New Roman" w:eastAsia="Times New Roman" w:hAnsi="Times New Roman" w:cs="Times New Roman"/>
                <w:sz w:val="26"/>
                <w:szCs w:val="26"/>
                <w:highlight w:val="white"/>
              </w:rPr>
              <w:t xml:space="preserve"> și </w:t>
            </w:r>
            <w:r>
              <w:rPr>
                <w:rFonts w:ascii="Times New Roman" w:eastAsia="Times New Roman" w:hAnsi="Times New Roman" w:cs="Times New Roman"/>
                <w:b/>
                <w:bCs/>
                <w:sz w:val="26"/>
                <w:szCs w:val="26"/>
                <w:highlight w:val="white"/>
              </w:rPr>
              <w:t>Legea nr. 121/2012 privind asigurarea egalității</w:t>
            </w:r>
            <w:r>
              <w:rPr>
                <w:rFonts w:ascii="Times New Roman" w:eastAsia="Times New Roman" w:hAnsi="Times New Roman" w:cs="Times New Roman"/>
                <w:sz w:val="26"/>
                <w:szCs w:val="26"/>
                <w:highlight w:val="white"/>
              </w:rPr>
              <w:t>, inclusiv conform Tabelului de concordanță prin: Legea nr. 298/2012 privind activitatea Consiliului pentru egalitate, Legea nr. 382/2001 privind drepturile persoanelor aparținând minorităților naționale, Codul penal nr. 985/2002, Codul de procedură civilă nr. 225/2003, Codul contravențional nr. 218/2008, Codul educației nr. 152/2014, Codul administrativ nr. 116/2018.</w:t>
            </w:r>
          </w:p>
          <w:p w14:paraId="27CEFD0D" w14:textId="77777777" w:rsidR="00FC4B79" w:rsidRDefault="00000000">
            <w:pPr>
              <w:spacing w:line="240" w:lineRule="auto"/>
              <w:ind w:firstLine="630"/>
              <w:jc w:val="both"/>
              <w:rPr>
                <w:rFonts w:ascii="Times New Roman" w:eastAsia="Times New Roman" w:hAnsi="Times New Roman" w:cs="Times New Roman"/>
                <w:sz w:val="26"/>
                <w:szCs w:val="26"/>
                <w:highlight w:val="white"/>
                <w:u w:val="single"/>
              </w:rPr>
            </w:pPr>
            <w:r>
              <w:rPr>
                <w:rFonts w:ascii="Times New Roman" w:eastAsia="Times New Roman" w:hAnsi="Times New Roman" w:cs="Times New Roman"/>
                <w:sz w:val="26"/>
                <w:szCs w:val="26"/>
                <w:highlight w:val="white"/>
                <w:u w:val="single"/>
              </w:rPr>
              <w:t>Probleme:</w:t>
            </w:r>
          </w:p>
          <w:p w14:paraId="4ACEB1F7" w14:textId="77777777" w:rsidR="00FC4B79" w:rsidRDefault="00000000">
            <w:pPr>
              <w:spacing w:line="240" w:lineRule="auto"/>
              <w:jc w:val="both"/>
              <w:rPr>
                <w:rFonts w:ascii="Times New Roman" w:eastAsia="Times New Roman" w:hAnsi="Times New Roman" w:cs="Times New Roman"/>
                <w:sz w:val="26"/>
                <w:szCs w:val="26"/>
                <w:highlight w:val="white"/>
                <w:u w:val="single"/>
              </w:rPr>
            </w:pPr>
            <w:r>
              <w:rPr>
                <w:rFonts w:ascii="Times New Roman" w:eastAsia="Times New Roman" w:hAnsi="Times New Roman" w:cs="Times New Roman"/>
                <w:i/>
                <w:iCs/>
                <w:sz w:val="26"/>
                <w:szCs w:val="26"/>
              </w:rPr>
              <w:t>(identificate în corespundere cu recomandările experților Comisiei Europene, parvenite de la etapa de consultare a Tabelului de concordanță la această directivă)</w:t>
            </w:r>
          </w:p>
          <w:p w14:paraId="768E2D30" w14:textId="77777777" w:rsidR="00FC4B79" w:rsidRDefault="00000000">
            <w:pPr>
              <w:spacing w:line="240" w:lineRule="auto"/>
              <w:ind w:firstLine="63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highlight w:val="white"/>
              </w:rPr>
              <w:t>transpunerea parțială a principiului egalității de tratament pe criterii de rasă și origine etnică în domeniul ocupării și muncii;</w:t>
            </w:r>
          </w:p>
          <w:p w14:paraId="4768902F" w14:textId="77777777" w:rsidR="00FC4B79" w:rsidRDefault="00000000">
            <w:pPr>
              <w:spacing w:line="240" w:lineRule="auto"/>
              <w:ind w:firstLine="63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reglementarea dispersată și insuficient sistematizată a criteriilor protejate;</w:t>
            </w:r>
          </w:p>
          <w:p w14:paraId="11703DC2" w14:textId="77777777" w:rsidR="00FC4B79" w:rsidRDefault="00000000">
            <w:pPr>
              <w:spacing w:line="240" w:lineRule="auto"/>
              <w:ind w:firstLine="63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lipsa unei reglementări exhaustive privind aplicarea principiului egalității în toate fazele raportului de muncă și în raporturile conexe acestuia;</w:t>
            </w:r>
          </w:p>
          <w:p w14:paraId="19FDF76C" w14:textId="77777777" w:rsidR="00FC4B79" w:rsidRDefault="00000000">
            <w:pPr>
              <w:spacing w:line="240" w:lineRule="auto"/>
              <w:ind w:firstLine="630"/>
              <w:jc w:val="both"/>
              <w:rPr>
                <w:rFonts w:ascii="Times New Roman" w:eastAsia="Times New Roman" w:hAnsi="Times New Roman" w:cs="Times New Roman"/>
                <w:sz w:val="26"/>
                <w:szCs w:val="26"/>
              </w:rPr>
            </w:pPr>
            <w:r>
              <w:rPr>
                <w:rFonts w:ascii="Times New Roman" w:eastAsia="Times New Roman" w:hAnsi="Times New Roman" w:cs="Times New Roman"/>
                <w:sz w:val="26"/>
                <w:szCs w:val="26"/>
                <w:highlight w:val="white"/>
              </w:rPr>
              <w:t>– riscul aplicării neuniforme a normelor în domeniul ocupării, formării profesionale și relațiilor de muncă.</w:t>
            </w:r>
          </w:p>
          <w:p w14:paraId="3F09A9B3" w14:textId="77777777" w:rsidR="00FC4B79" w:rsidRDefault="00FC4B79">
            <w:pPr>
              <w:spacing w:line="240" w:lineRule="auto"/>
              <w:ind w:firstLine="700"/>
              <w:jc w:val="both"/>
              <w:rPr>
                <w:rFonts w:ascii="Times New Roman" w:eastAsia="Times New Roman" w:hAnsi="Times New Roman" w:cs="Times New Roman"/>
                <w:b/>
                <w:bCs/>
                <w:i/>
                <w:iCs/>
                <w:sz w:val="26"/>
                <w:szCs w:val="26"/>
                <w:highlight w:val="white"/>
              </w:rPr>
            </w:pPr>
          </w:p>
          <w:p w14:paraId="70C00C18" w14:textId="77777777" w:rsidR="00FC4B79" w:rsidRDefault="00000000">
            <w:pPr>
              <w:spacing w:line="240" w:lineRule="auto"/>
              <w:ind w:firstLine="700"/>
              <w:jc w:val="both"/>
              <w:rPr>
                <w:rFonts w:ascii="Times New Roman" w:eastAsia="Times New Roman" w:hAnsi="Times New Roman" w:cs="Times New Roman"/>
                <w:b/>
                <w:bCs/>
                <w:i/>
                <w:iCs/>
                <w:sz w:val="26"/>
                <w:szCs w:val="26"/>
                <w:highlight w:val="white"/>
              </w:rPr>
            </w:pPr>
            <w:r>
              <w:rPr>
                <w:rFonts w:ascii="Times New Roman" w:eastAsia="Times New Roman" w:hAnsi="Times New Roman" w:cs="Times New Roman"/>
                <w:b/>
                <w:bCs/>
                <w:i/>
                <w:iCs/>
                <w:sz w:val="26"/>
                <w:szCs w:val="26"/>
                <w:highlight w:val="white"/>
              </w:rPr>
              <w:t>Directiva 2000/78/CE</w:t>
            </w:r>
            <w:r>
              <w:rPr>
                <w:rFonts w:ascii="Times New Roman" w:eastAsia="Times New Roman" w:hAnsi="Times New Roman" w:cs="Times New Roman"/>
                <w:i/>
                <w:iCs/>
                <w:sz w:val="26"/>
                <w:szCs w:val="26"/>
                <w:highlight w:val="white"/>
              </w:rPr>
              <w:t xml:space="preserve"> a Consiliului din 27 noiembrie 2000 de creare a unui cadru general în favoarea egalității de tratament în ceea ce privește încadrarea în muncă și ocuparea forței de muncă</w:t>
            </w:r>
          </w:p>
          <w:p w14:paraId="129CED48" w14:textId="77777777" w:rsidR="00FC4B79" w:rsidRDefault="00000000">
            <w:pPr>
              <w:spacing w:line="240" w:lineRule="auto"/>
              <w:ind w:firstLine="63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u w:val="single"/>
              </w:rPr>
              <w:t>Cadrul normativ:</w:t>
            </w:r>
          </w:p>
          <w:p w14:paraId="2947A0AD" w14:textId="77777777" w:rsidR="00FC4B79" w:rsidRDefault="00000000">
            <w:pPr>
              <w:spacing w:line="240" w:lineRule="auto"/>
              <w:ind w:firstLine="63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Transpunerea parțială a reglementărilor UE privind egalitatea de tratament în materie de ocupare și muncă este asigurată prin</w:t>
            </w:r>
            <w:r>
              <w:rPr>
                <w:rFonts w:ascii="Times New Roman" w:eastAsia="Times New Roman" w:hAnsi="Times New Roman" w:cs="Times New Roman"/>
                <w:b/>
                <w:bCs/>
                <w:sz w:val="26"/>
                <w:szCs w:val="26"/>
                <w:highlight w:val="white"/>
              </w:rPr>
              <w:t xml:space="preserve"> Codul muncii nr. 154/2003 (art. 5 și 8)</w:t>
            </w:r>
            <w:r>
              <w:rPr>
                <w:rFonts w:ascii="Times New Roman" w:eastAsia="Times New Roman" w:hAnsi="Times New Roman" w:cs="Times New Roman"/>
                <w:sz w:val="26"/>
                <w:szCs w:val="26"/>
                <w:highlight w:val="white"/>
              </w:rPr>
              <w:t xml:space="preserve"> și </w:t>
            </w:r>
            <w:r>
              <w:rPr>
                <w:rFonts w:ascii="Times New Roman" w:eastAsia="Times New Roman" w:hAnsi="Times New Roman" w:cs="Times New Roman"/>
                <w:b/>
                <w:bCs/>
                <w:sz w:val="26"/>
                <w:szCs w:val="26"/>
                <w:highlight w:val="white"/>
              </w:rPr>
              <w:t>Legea nr. 121/2012 privind asigurarea egalității</w:t>
            </w:r>
            <w:r>
              <w:rPr>
                <w:rFonts w:ascii="Times New Roman" w:eastAsia="Times New Roman" w:hAnsi="Times New Roman" w:cs="Times New Roman"/>
                <w:sz w:val="26"/>
                <w:szCs w:val="26"/>
                <w:highlight w:val="white"/>
              </w:rPr>
              <w:t xml:space="preserve">, inclusiv conform Tabelului </w:t>
            </w:r>
            <w:r>
              <w:rPr>
                <w:rFonts w:ascii="Times New Roman" w:eastAsia="Times New Roman" w:hAnsi="Times New Roman" w:cs="Times New Roman"/>
                <w:sz w:val="26"/>
                <w:szCs w:val="26"/>
                <w:highlight w:val="white"/>
              </w:rPr>
              <w:lastRenderedPageBreak/>
              <w:t>de concordanță prin: Legea nr. 105/2018 privind promovarea ocupării forței de muncă și asigurarea de șomaj, Legea nr. 60/2012 privind incluziunea socială a persoanelor cu dizabilități, Legea nr. 298/2012 privind activitatea Consiliului pentru egalitate.</w:t>
            </w:r>
          </w:p>
          <w:p w14:paraId="3BEBC532" w14:textId="77777777" w:rsidR="00FC4B79" w:rsidRDefault="00000000">
            <w:pPr>
              <w:spacing w:line="240" w:lineRule="auto"/>
              <w:ind w:firstLine="630"/>
              <w:jc w:val="both"/>
              <w:rPr>
                <w:rFonts w:ascii="Times New Roman" w:eastAsia="Times New Roman" w:hAnsi="Times New Roman" w:cs="Times New Roman"/>
                <w:b/>
                <w:bCs/>
                <w:sz w:val="26"/>
                <w:szCs w:val="26"/>
                <w:highlight w:val="white"/>
              </w:rPr>
            </w:pPr>
            <w:r>
              <w:rPr>
                <w:rFonts w:ascii="Times New Roman" w:eastAsia="Times New Roman" w:hAnsi="Times New Roman" w:cs="Times New Roman"/>
                <w:sz w:val="26"/>
                <w:szCs w:val="26"/>
                <w:highlight w:val="white"/>
                <w:u w:val="single"/>
              </w:rPr>
              <w:t>Probleme:</w:t>
            </w:r>
            <w:r>
              <w:rPr>
                <w:rFonts w:ascii="Times New Roman" w:eastAsia="Times New Roman" w:hAnsi="Times New Roman" w:cs="Times New Roman"/>
                <w:b/>
                <w:bCs/>
                <w:sz w:val="26"/>
                <w:szCs w:val="26"/>
                <w:highlight w:val="white"/>
              </w:rPr>
              <w:t xml:space="preserve"> </w:t>
            </w:r>
          </w:p>
          <w:p w14:paraId="5EF8D96B" w14:textId="77777777" w:rsidR="00FC4B79" w:rsidRDefault="00000000">
            <w:pPr>
              <w:spacing w:line="240" w:lineRule="auto"/>
              <w:jc w:val="both"/>
              <w:rPr>
                <w:rFonts w:ascii="Times New Roman" w:eastAsia="Times New Roman" w:hAnsi="Times New Roman" w:cs="Times New Roman"/>
                <w:b/>
                <w:bCs/>
                <w:sz w:val="26"/>
                <w:szCs w:val="26"/>
                <w:highlight w:val="white"/>
              </w:rPr>
            </w:pPr>
            <w:r>
              <w:rPr>
                <w:rFonts w:ascii="Times New Roman" w:eastAsia="Times New Roman" w:hAnsi="Times New Roman" w:cs="Times New Roman"/>
                <w:i/>
                <w:iCs/>
                <w:sz w:val="26"/>
                <w:szCs w:val="26"/>
              </w:rPr>
              <w:t>(identificate în corespundere cu recomandările experților Comisiei Europene, parvenite de la etapa de consultare a Tabelului de concordanță la această directivă)</w:t>
            </w:r>
          </w:p>
          <w:p w14:paraId="0BB9B7F0" w14:textId="77777777" w:rsidR="00FC4B79" w:rsidRDefault="00000000">
            <w:pPr>
              <w:spacing w:line="240" w:lineRule="auto"/>
              <w:ind w:firstLine="63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transpunerea parțială a principiului egalității de tratament în materie de ocupare și muncă;</w:t>
            </w:r>
          </w:p>
          <w:p w14:paraId="6ED23266" w14:textId="77777777" w:rsidR="00FC4B79" w:rsidRDefault="00000000">
            <w:pPr>
              <w:spacing w:line="240" w:lineRule="auto"/>
              <w:ind w:firstLine="63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reglementarea insuficient de clară și sistematizată a criteriilor protejate (religie sau convingeri, dizabilitate, vârstă, orientare sexuală);</w:t>
            </w:r>
          </w:p>
          <w:p w14:paraId="10E46673" w14:textId="77777777" w:rsidR="00FC4B79" w:rsidRDefault="00000000">
            <w:pPr>
              <w:spacing w:line="240" w:lineRule="auto"/>
              <w:ind w:firstLine="63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lipsa unei consacrări exprese și coerente a aplicării principiului egalității în toate etapele raportului de muncă și în accesul la formare profesională.</w:t>
            </w:r>
          </w:p>
          <w:p w14:paraId="253AF2C4" w14:textId="77777777" w:rsidR="00FC4B79" w:rsidRDefault="00FC4B79">
            <w:pPr>
              <w:spacing w:line="240" w:lineRule="auto"/>
              <w:ind w:firstLine="630"/>
              <w:jc w:val="both"/>
              <w:rPr>
                <w:rFonts w:ascii="Times New Roman" w:eastAsia="Times New Roman" w:hAnsi="Times New Roman" w:cs="Times New Roman"/>
                <w:b/>
                <w:bCs/>
                <w:i/>
                <w:iCs/>
                <w:sz w:val="26"/>
                <w:szCs w:val="26"/>
                <w:highlight w:val="white"/>
              </w:rPr>
            </w:pPr>
          </w:p>
          <w:p w14:paraId="61800A64" w14:textId="77777777" w:rsidR="00FC4B79" w:rsidRDefault="00000000">
            <w:pPr>
              <w:spacing w:line="240" w:lineRule="auto"/>
              <w:ind w:firstLine="630"/>
              <w:jc w:val="both"/>
              <w:rPr>
                <w:rFonts w:ascii="Times New Roman" w:eastAsia="Times New Roman" w:hAnsi="Times New Roman" w:cs="Times New Roman"/>
                <w:b/>
                <w:bCs/>
                <w:i/>
                <w:iCs/>
                <w:sz w:val="26"/>
                <w:szCs w:val="26"/>
                <w:highlight w:val="white"/>
              </w:rPr>
            </w:pPr>
            <w:r>
              <w:rPr>
                <w:rFonts w:ascii="Times New Roman" w:eastAsia="Times New Roman" w:hAnsi="Times New Roman" w:cs="Times New Roman"/>
                <w:b/>
                <w:bCs/>
                <w:i/>
                <w:iCs/>
                <w:sz w:val="26"/>
                <w:szCs w:val="26"/>
                <w:highlight w:val="white"/>
              </w:rPr>
              <w:t xml:space="preserve">Directiva 2002/14/CE </w:t>
            </w:r>
            <w:r>
              <w:rPr>
                <w:rFonts w:ascii="Times New Roman" w:eastAsia="Times New Roman" w:hAnsi="Times New Roman" w:cs="Times New Roman"/>
                <w:i/>
                <w:iCs/>
                <w:sz w:val="26"/>
                <w:szCs w:val="26"/>
                <w:highlight w:val="white"/>
              </w:rPr>
              <w:t>de stabilire a unui cadru general de informare și consultare a lucrătorilor din Comunitatea Europeană</w:t>
            </w:r>
          </w:p>
          <w:p w14:paraId="081B7938" w14:textId="77777777" w:rsidR="00FC4B79" w:rsidRDefault="00000000">
            <w:pPr>
              <w:spacing w:line="240" w:lineRule="auto"/>
              <w:ind w:firstLine="63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u w:val="single"/>
              </w:rPr>
              <w:t>Cadrul normativ:</w:t>
            </w:r>
          </w:p>
          <w:p w14:paraId="2106197C" w14:textId="77777777" w:rsidR="00FC4B79" w:rsidRDefault="00000000">
            <w:pPr>
              <w:spacing w:line="240" w:lineRule="auto"/>
              <w:ind w:firstLine="630"/>
              <w:jc w:val="both"/>
              <w:rPr>
                <w:rFonts w:ascii="Times New Roman" w:eastAsia="Times New Roman" w:hAnsi="Times New Roman" w:cs="Times New Roman"/>
                <w:b/>
                <w:bCs/>
                <w:sz w:val="26"/>
                <w:szCs w:val="26"/>
                <w:highlight w:val="white"/>
              </w:rPr>
            </w:pPr>
            <w:r>
              <w:rPr>
                <w:rFonts w:ascii="Times New Roman" w:eastAsia="Times New Roman" w:hAnsi="Times New Roman" w:cs="Times New Roman"/>
                <w:sz w:val="26"/>
                <w:szCs w:val="26"/>
                <w:highlight w:val="white"/>
              </w:rPr>
              <w:t xml:space="preserve">Transpunerea Directivei 2002/14/CE privind informarea și consultarea lucrătorilor este realizată practic integral prin </w:t>
            </w:r>
            <w:r>
              <w:rPr>
                <w:rFonts w:ascii="Times New Roman" w:eastAsia="Times New Roman" w:hAnsi="Times New Roman" w:cs="Times New Roman"/>
                <w:b/>
                <w:bCs/>
                <w:sz w:val="26"/>
                <w:szCs w:val="26"/>
                <w:highlight w:val="white"/>
              </w:rPr>
              <w:t xml:space="preserve">art. 42¹ </w:t>
            </w:r>
            <w:r>
              <w:rPr>
                <w:rFonts w:ascii="Times New Roman" w:eastAsia="Times New Roman" w:hAnsi="Times New Roman" w:cs="Times New Roman"/>
                <w:sz w:val="26"/>
                <w:szCs w:val="26"/>
                <w:highlight w:val="white"/>
              </w:rPr>
              <w:t xml:space="preserve">din </w:t>
            </w:r>
            <w:r>
              <w:rPr>
                <w:rFonts w:ascii="Times New Roman" w:eastAsia="Times New Roman" w:hAnsi="Times New Roman" w:cs="Times New Roman"/>
                <w:b/>
                <w:bCs/>
                <w:sz w:val="26"/>
                <w:szCs w:val="26"/>
                <w:highlight w:val="white"/>
              </w:rPr>
              <w:t>Codul muncii nr. 154/2003</w:t>
            </w:r>
            <w:r>
              <w:rPr>
                <w:rFonts w:ascii="Times New Roman" w:eastAsia="Times New Roman" w:hAnsi="Times New Roman" w:cs="Times New Roman"/>
                <w:sz w:val="26"/>
                <w:szCs w:val="26"/>
                <w:highlight w:val="white"/>
              </w:rPr>
              <w:t>, care reglementează dreptul reprezentanților salariaților de a fi informați și consultați înainte de adoptarea deciziilor angajatorului.</w:t>
            </w:r>
          </w:p>
          <w:p w14:paraId="020C701C" w14:textId="77777777" w:rsidR="00FC4B79" w:rsidRDefault="00000000">
            <w:pPr>
              <w:spacing w:line="240" w:lineRule="auto"/>
              <w:ind w:firstLine="630"/>
              <w:jc w:val="both"/>
              <w:rPr>
                <w:rFonts w:ascii="Times New Roman" w:eastAsia="Times New Roman" w:hAnsi="Times New Roman" w:cs="Times New Roman"/>
                <w:sz w:val="26"/>
                <w:szCs w:val="26"/>
                <w:highlight w:val="white"/>
                <w:u w:val="single"/>
              </w:rPr>
            </w:pPr>
            <w:r>
              <w:rPr>
                <w:rFonts w:ascii="Times New Roman" w:eastAsia="Times New Roman" w:hAnsi="Times New Roman" w:cs="Times New Roman"/>
                <w:sz w:val="26"/>
                <w:szCs w:val="26"/>
                <w:highlight w:val="white"/>
                <w:u w:val="single"/>
              </w:rPr>
              <w:t>Probleme:</w:t>
            </w:r>
          </w:p>
          <w:p w14:paraId="32358F48" w14:textId="77777777" w:rsidR="00FC4B79" w:rsidRDefault="00000000">
            <w:pPr>
              <w:spacing w:line="240" w:lineRule="auto"/>
              <w:ind w:firstLine="63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cadrul normativ nu reglementează suficient de clar obligația angajatorului de a consulta reprezentanții salariaților anterior adoptării deciziilor care afectează drepturile și interesele acestora;</w:t>
            </w:r>
          </w:p>
          <w:p w14:paraId="4BC67DF9" w14:textId="77777777" w:rsidR="00FC4B79" w:rsidRDefault="00000000">
            <w:pPr>
              <w:spacing w:line="240" w:lineRule="auto"/>
              <w:ind w:firstLine="63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lipsa unor garanții juridice exprese care să asigure caracterul efectiv al procedurii de informare și consultare, inclusiv obligativitatea formulării unui aviz înainte de adoptarea deciziei;</w:t>
            </w:r>
          </w:p>
          <w:p w14:paraId="18DB8882" w14:textId="77777777" w:rsidR="00FC4B79" w:rsidRDefault="00000000">
            <w:pPr>
              <w:spacing w:line="240" w:lineRule="auto"/>
              <w:ind w:firstLine="63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precizarea angajatorilor în care se aplică procedura de informare și consultare în corelare cu prevederile UE;</w:t>
            </w:r>
          </w:p>
          <w:p w14:paraId="3910AEE8" w14:textId="77777777" w:rsidR="00FC4B79" w:rsidRDefault="00000000">
            <w:pPr>
              <w:spacing w:line="240" w:lineRule="auto"/>
              <w:ind w:firstLine="63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lipsa unor sancțiuni contravenționale specifice pentru încălcarea obligației de informare și consultare a salariaților.</w:t>
            </w:r>
          </w:p>
          <w:p w14:paraId="5012BF4A" w14:textId="77777777" w:rsidR="00FC4B79" w:rsidRDefault="00FC4B79">
            <w:pPr>
              <w:spacing w:line="240" w:lineRule="auto"/>
              <w:ind w:firstLine="630"/>
              <w:jc w:val="both"/>
              <w:rPr>
                <w:rFonts w:ascii="Times New Roman" w:eastAsia="Times New Roman" w:hAnsi="Times New Roman" w:cs="Times New Roman"/>
                <w:b/>
                <w:bCs/>
                <w:i/>
                <w:iCs/>
                <w:sz w:val="26"/>
                <w:szCs w:val="26"/>
                <w:highlight w:val="white"/>
              </w:rPr>
            </w:pPr>
          </w:p>
          <w:p w14:paraId="7A415EE2" w14:textId="77777777" w:rsidR="00FC4B79" w:rsidRDefault="00000000">
            <w:pPr>
              <w:spacing w:line="240" w:lineRule="auto"/>
              <w:ind w:firstLine="630"/>
              <w:jc w:val="both"/>
              <w:rPr>
                <w:rFonts w:ascii="Times New Roman" w:eastAsia="Times New Roman" w:hAnsi="Times New Roman" w:cs="Times New Roman"/>
                <w:b/>
                <w:bCs/>
                <w:sz w:val="26"/>
                <w:szCs w:val="26"/>
                <w:highlight w:val="white"/>
              </w:rPr>
            </w:pPr>
            <w:r>
              <w:rPr>
                <w:rFonts w:ascii="Times New Roman" w:eastAsia="Times New Roman" w:hAnsi="Times New Roman" w:cs="Times New Roman"/>
                <w:b/>
                <w:bCs/>
                <w:i/>
                <w:iCs/>
                <w:sz w:val="26"/>
                <w:szCs w:val="26"/>
                <w:highlight w:val="white"/>
              </w:rPr>
              <w:t xml:space="preserve">Directiva 2008/104/CE </w:t>
            </w:r>
            <w:r>
              <w:rPr>
                <w:rFonts w:ascii="Times New Roman" w:eastAsia="Times New Roman" w:hAnsi="Times New Roman" w:cs="Times New Roman"/>
                <w:i/>
                <w:iCs/>
                <w:sz w:val="26"/>
                <w:szCs w:val="26"/>
                <w:highlight w:val="white"/>
              </w:rPr>
              <w:t>privind munca prin agent de muncă temporară</w:t>
            </w:r>
          </w:p>
          <w:p w14:paraId="38E1FE9C" w14:textId="77777777" w:rsidR="00FC4B79" w:rsidRDefault="00000000">
            <w:pPr>
              <w:spacing w:line="240" w:lineRule="auto"/>
              <w:ind w:firstLine="63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u w:val="single"/>
              </w:rPr>
              <w:t>Cadrul normativ:</w:t>
            </w:r>
            <w:r>
              <w:rPr>
                <w:rFonts w:ascii="Times New Roman" w:eastAsia="Times New Roman" w:hAnsi="Times New Roman" w:cs="Times New Roman"/>
                <w:sz w:val="26"/>
                <w:szCs w:val="26"/>
                <w:highlight w:val="white"/>
              </w:rPr>
              <w:t xml:space="preserve"> </w:t>
            </w:r>
          </w:p>
          <w:p w14:paraId="50F17FE9" w14:textId="77777777" w:rsidR="00FC4B79" w:rsidRDefault="00000000">
            <w:pPr>
              <w:spacing w:line="240" w:lineRule="auto"/>
              <w:ind w:firstLine="63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Transpunerea Directivei 2008/104/CE privind lucrătorii temporari s-a realizat prin </w:t>
            </w:r>
            <w:r>
              <w:rPr>
                <w:rFonts w:ascii="Times New Roman" w:eastAsia="Times New Roman" w:hAnsi="Times New Roman" w:cs="Times New Roman"/>
                <w:b/>
                <w:bCs/>
                <w:sz w:val="26"/>
                <w:szCs w:val="26"/>
                <w:highlight w:val="white"/>
              </w:rPr>
              <w:t>Legea nr. 193/2025</w:t>
            </w:r>
            <w:r>
              <w:rPr>
                <w:rFonts w:ascii="Times New Roman" w:eastAsia="Times New Roman" w:hAnsi="Times New Roman" w:cs="Times New Roman"/>
                <w:sz w:val="26"/>
                <w:szCs w:val="26"/>
                <w:highlight w:val="white"/>
              </w:rPr>
              <w:t xml:space="preserve">, prin modificarea </w:t>
            </w:r>
            <w:r>
              <w:rPr>
                <w:rFonts w:ascii="Times New Roman" w:eastAsia="Times New Roman" w:hAnsi="Times New Roman" w:cs="Times New Roman"/>
                <w:b/>
                <w:bCs/>
                <w:sz w:val="26"/>
                <w:szCs w:val="26"/>
                <w:highlight w:val="white"/>
              </w:rPr>
              <w:t>Codului muncii nr. 154/2003</w:t>
            </w:r>
            <w:r>
              <w:rPr>
                <w:rFonts w:ascii="Times New Roman" w:eastAsia="Times New Roman" w:hAnsi="Times New Roman" w:cs="Times New Roman"/>
                <w:sz w:val="26"/>
                <w:szCs w:val="26"/>
                <w:highlight w:val="white"/>
              </w:rPr>
              <w:t xml:space="preserve">, </w:t>
            </w:r>
            <w:r>
              <w:rPr>
                <w:rFonts w:ascii="Times New Roman" w:eastAsia="Times New Roman" w:hAnsi="Times New Roman" w:cs="Times New Roman"/>
                <w:b/>
                <w:bCs/>
                <w:sz w:val="26"/>
                <w:szCs w:val="26"/>
                <w:highlight w:val="white"/>
              </w:rPr>
              <w:t>Legea securității și sănătății în muncă nr. 186/2008</w:t>
            </w:r>
            <w:r>
              <w:rPr>
                <w:rFonts w:ascii="Times New Roman" w:eastAsia="Times New Roman" w:hAnsi="Times New Roman" w:cs="Times New Roman"/>
                <w:sz w:val="26"/>
                <w:szCs w:val="26"/>
                <w:highlight w:val="white"/>
              </w:rPr>
              <w:t xml:space="preserve"> și </w:t>
            </w:r>
            <w:r>
              <w:rPr>
                <w:rFonts w:ascii="Times New Roman" w:eastAsia="Times New Roman" w:hAnsi="Times New Roman" w:cs="Times New Roman"/>
                <w:b/>
                <w:bCs/>
                <w:sz w:val="26"/>
                <w:szCs w:val="26"/>
                <w:highlight w:val="white"/>
              </w:rPr>
              <w:t>Codul contravențional nr. 218/2008</w:t>
            </w:r>
            <w:r>
              <w:rPr>
                <w:rFonts w:ascii="Times New Roman" w:eastAsia="Times New Roman" w:hAnsi="Times New Roman" w:cs="Times New Roman"/>
                <w:sz w:val="26"/>
                <w:szCs w:val="26"/>
                <w:highlight w:val="white"/>
              </w:rPr>
              <w:t>.</w:t>
            </w:r>
          </w:p>
          <w:p w14:paraId="5BC4F44B" w14:textId="77777777" w:rsidR="00FC4B79" w:rsidRDefault="00000000">
            <w:pPr>
              <w:spacing w:line="240" w:lineRule="auto"/>
              <w:ind w:firstLine="630"/>
              <w:jc w:val="both"/>
              <w:rPr>
                <w:rFonts w:ascii="Times New Roman" w:eastAsia="Times New Roman" w:hAnsi="Times New Roman" w:cs="Times New Roman"/>
                <w:b/>
                <w:bCs/>
                <w:i/>
                <w:iCs/>
                <w:sz w:val="26"/>
                <w:szCs w:val="26"/>
                <w:highlight w:val="white"/>
              </w:rPr>
            </w:pPr>
            <w:r>
              <w:rPr>
                <w:rFonts w:ascii="Times New Roman" w:eastAsia="Times New Roman" w:hAnsi="Times New Roman" w:cs="Times New Roman"/>
                <w:sz w:val="26"/>
                <w:szCs w:val="26"/>
                <w:highlight w:val="white"/>
                <w:u w:val="single"/>
              </w:rPr>
              <w:t>Probleme:</w:t>
            </w:r>
            <w:r>
              <w:rPr>
                <w:rFonts w:ascii="Times New Roman" w:eastAsia="Times New Roman" w:hAnsi="Times New Roman" w:cs="Times New Roman"/>
                <w:sz w:val="26"/>
                <w:szCs w:val="26"/>
                <w:highlight w:val="white"/>
              </w:rPr>
              <w:t xml:space="preserve"> Expresia „și cu caracter temporar” din art. З26</w:t>
            </w:r>
            <w:r>
              <w:rPr>
                <w:rFonts w:ascii="Times New Roman" w:eastAsia="Times New Roman" w:hAnsi="Times New Roman" w:cs="Times New Roman"/>
                <w:sz w:val="26"/>
                <w:szCs w:val="26"/>
                <w:highlight w:val="white"/>
                <w:vertAlign w:val="superscript"/>
              </w:rPr>
              <w:t>3</w:t>
            </w:r>
            <w:r>
              <w:rPr>
                <w:rFonts w:ascii="Times New Roman" w:eastAsia="Times New Roman" w:hAnsi="Times New Roman" w:cs="Times New Roman"/>
                <w:sz w:val="26"/>
                <w:szCs w:val="26"/>
                <w:highlight w:val="white"/>
              </w:rPr>
              <w:t xml:space="preserve"> alin. (1) din Codul muncii creează</w:t>
            </w:r>
            <w:r>
              <w:rPr>
                <w:rFonts w:ascii="Times New Roman" w:eastAsia="Times New Roman" w:hAnsi="Times New Roman" w:cs="Times New Roman"/>
                <w:b/>
                <w:bCs/>
                <w:sz w:val="26"/>
                <w:szCs w:val="26"/>
                <w:highlight w:val="white"/>
              </w:rPr>
              <w:t xml:space="preserve"> </w:t>
            </w:r>
            <w:r>
              <w:rPr>
                <w:rFonts w:ascii="Times New Roman" w:eastAsia="Times New Roman" w:hAnsi="Times New Roman" w:cs="Times New Roman"/>
                <w:sz w:val="26"/>
                <w:szCs w:val="26"/>
                <w:highlight w:val="white"/>
              </w:rPr>
              <w:t>redundanță și ambiguitate, fiind inutilă, deoarece misiunea de muncă temporară implică deja caracter temporar, ceea ce poate afecta aplicarea eficientă a drepturilor și obligațiilor părților.</w:t>
            </w:r>
          </w:p>
          <w:p w14:paraId="2DDCDB9B" w14:textId="77777777" w:rsidR="00FC4B79" w:rsidRDefault="00000000">
            <w:pPr>
              <w:spacing w:line="240" w:lineRule="auto"/>
              <w:ind w:firstLine="630"/>
              <w:jc w:val="both"/>
              <w:rPr>
                <w:rFonts w:ascii="Times New Roman" w:eastAsia="Times New Roman" w:hAnsi="Times New Roman" w:cs="Times New Roman"/>
                <w:b/>
                <w:bCs/>
                <w:i/>
                <w:iCs/>
                <w:sz w:val="26"/>
                <w:szCs w:val="26"/>
                <w:highlight w:val="white"/>
              </w:rPr>
            </w:pPr>
            <w:r>
              <w:rPr>
                <w:rFonts w:ascii="Times New Roman" w:eastAsia="Times New Roman" w:hAnsi="Times New Roman" w:cs="Times New Roman"/>
                <w:b/>
                <w:bCs/>
                <w:i/>
                <w:iCs/>
                <w:sz w:val="26"/>
                <w:szCs w:val="26"/>
                <w:highlight w:val="white"/>
              </w:rPr>
              <w:t xml:space="preserve">Regulamentul (UE) 2019/1149 </w:t>
            </w:r>
            <w:r>
              <w:rPr>
                <w:rFonts w:ascii="Times New Roman" w:eastAsia="Times New Roman" w:hAnsi="Times New Roman" w:cs="Times New Roman"/>
                <w:i/>
                <w:iCs/>
                <w:sz w:val="26"/>
                <w:szCs w:val="26"/>
                <w:highlight w:val="white"/>
              </w:rPr>
              <w:t>de instituire a unei Autorități Europene a Muncii</w:t>
            </w:r>
          </w:p>
          <w:p w14:paraId="0CE1948A" w14:textId="77777777" w:rsidR="00FC4B79" w:rsidRDefault="00000000">
            <w:pPr>
              <w:spacing w:line="240" w:lineRule="auto"/>
              <w:ind w:firstLine="63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u w:val="single"/>
              </w:rPr>
              <w:t>Cadrul normativ</w:t>
            </w:r>
            <w:r>
              <w:rPr>
                <w:rFonts w:ascii="Times New Roman" w:eastAsia="Times New Roman" w:hAnsi="Times New Roman" w:cs="Times New Roman"/>
                <w:sz w:val="26"/>
                <w:szCs w:val="26"/>
                <w:highlight w:val="white"/>
              </w:rPr>
              <w:t xml:space="preserve">: </w:t>
            </w:r>
          </w:p>
          <w:p w14:paraId="450C33B2" w14:textId="77777777" w:rsidR="00FC4B79" w:rsidRDefault="00000000">
            <w:pPr>
              <w:spacing w:line="240" w:lineRule="auto"/>
              <w:ind w:firstLine="63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lastRenderedPageBreak/>
              <w:t xml:space="preserve">Republica Moldova, prin Ministerul Muncii și Protecției Sociale, a semnat un </w:t>
            </w:r>
            <w:r>
              <w:rPr>
                <w:rFonts w:ascii="Times New Roman" w:eastAsia="Times New Roman" w:hAnsi="Times New Roman" w:cs="Times New Roman"/>
                <w:b/>
                <w:bCs/>
                <w:sz w:val="26"/>
                <w:szCs w:val="26"/>
                <w:highlight w:val="white"/>
              </w:rPr>
              <w:t>Acord de colaborare</w:t>
            </w:r>
            <w:r>
              <w:rPr>
                <w:rFonts w:ascii="Times New Roman" w:eastAsia="Times New Roman" w:hAnsi="Times New Roman" w:cs="Times New Roman"/>
                <w:sz w:val="26"/>
                <w:szCs w:val="26"/>
                <w:highlight w:val="white"/>
              </w:rPr>
              <w:t xml:space="preserve"> cu Autoritatea Europeană a Muncii, la Bratislava, la 2 mai 2025. În același timp, nu există dispoziții de punere în aplicare a Regulamentului UE 2019/1149, inclusiv cooperare cu Autoritatea Europeană a Muncii.</w:t>
            </w:r>
          </w:p>
          <w:p w14:paraId="00280B09" w14:textId="77777777" w:rsidR="00FC4B79" w:rsidRDefault="00000000">
            <w:pPr>
              <w:spacing w:after="200" w:line="240" w:lineRule="auto"/>
              <w:ind w:firstLine="63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u w:val="single"/>
              </w:rPr>
              <w:t>Probleme:</w:t>
            </w:r>
            <w:r>
              <w:rPr>
                <w:rFonts w:ascii="Times New Roman" w:eastAsia="Times New Roman" w:hAnsi="Times New Roman" w:cs="Times New Roman"/>
                <w:sz w:val="26"/>
                <w:szCs w:val="26"/>
                <w:highlight w:val="white"/>
              </w:rPr>
              <w:t xml:space="preserve"> lipsa unui cadru normativ la nivel național necesar aplicării prevederilor Regulamentului UE 2019/1149, care să reglementeze cooperarea cu Autoritatea Europeană a Muncii, inclusiv în domeniul medierii litigiilor transfrontaliere și al schimbului de informații.</w:t>
            </w:r>
          </w:p>
          <w:p w14:paraId="1B3C03CE" w14:textId="77777777" w:rsidR="00FC4B79" w:rsidRDefault="00000000">
            <w:pPr>
              <w:spacing w:line="240" w:lineRule="auto"/>
              <w:ind w:firstLine="630"/>
              <w:jc w:val="both"/>
              <w:rPr>
                <w:rFonts w:ascii="Times New Roman" w:eastAsia="Times New Roman" w:hAnsi="Times New Roman" w:cs="Times New Roman"/>
                <w:b/>
                <w:bCs/>
                <w:i/>
                <w:iCs/>
                <w:sz w:val="26"/>
                <w:szCs w:val="26"/>
                <w:highlight w:val="white"/>
              </w:rPr>
            </w:pPr>
            <w:r>
              <w:rPr>
                <w:rFonts w:ascii="Times New Roman" w:eastAsia="Times New Roman" w:hAnsi="Times New Roman" w:cs="Times New Roman"/>
                <w:b/>
                <w:bCs/>
                <w:i/>
                <w:iCs/>
                <w:sz w:val="26"/>
                <w:szCs w:val="26"/>
                <w:highlight w:val="white"/>
              </w:rPr>
              <w:t>Modificarea art. 103 alin. (3) din Codul muncii</w:t>
            </w:r>
          </w:p>
          <w:p w14:paraId="686ABDC4" w14:textId="77777777" w:rsidR="00FC4B79" w:rsidRDefault="00000000">
            <w:pPr>
              <w:ind w:firstLine="640"/>
              <w:jc w:val="both"/>
              <w:rPr>
                <w:rFonts w:ascii="Times New Roman" w:eastAsia="Times New Roman" w:hAnsi="Times New Roman" w:cs="Times New Roman"/>
                <w:sz w:val="26"/>
                <w:szCs w:val="26"/>
                <w:highlight w:val="white"/>
                <w:u w:val="single"/>
              </w:rPr>
            </w:pPr>
            <w:r>
              <w:rPr>
                <w:rFonts w:ascii="Times New Roman" w:eastAsia="Times New Roman" w:hAnsi="Times New Roman" w:cs="Times New Roman"/>
                <w:sz w:val="26"/>
                <w:szCs w:val="26"/>
                <w:highlight w:val="white"/>
                <w:u w:val="single"/>
              </w:rPr>
              <w:t>Cadrul normativ:</w:t>
            </w:r>
          </w:p>
          <w:p w14:paraId="61FEFED0" w14:textId="77777777" w:rsidR="00FC4B79" w:rsidRDefault="00000000">
            <w:pPr>
              <w:ind w:firstLine="64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Transpunerea prevederile Directivei 2003/88/CE din 4 noiembrie 2003 privind anumite aspecte ale organizării timpului de lucru s-a realizat prin </w:t>
            </w:r>
            <w:r>
              <w:rPr>
                <w:rFonts w:ascii="Times New Roman" w:eastAsia="Times New Roman" w:hAnsi="Times New Roman" w:cs="Times New Roman"/>
                <w:b/>
                <w:bCs/>
                <w:sz w:val="26"/>
                <w:szCs w:val="26"/>
                <w:highlight w:val="white"/>
              </w:rPr>
              <w:t>Legea nr. 193/2025</w:t>
            </w:r>
            <w:r>
              <w:rPr>
                <w:rFonts w:ascii="Times New Roman" w:eastAsia="Times New Roman" w:hAnsi="Times New Roman" w:cs="Times New Roman"/>
                <w:sz w:val="26"/>
                <w:szCs w:val="26"/>
                <w:highlight w:val="white"/>
              </w:rPr>
              <w:t>.</w:t>
            </w:r>
          </w:p>
          <w:p w14:paraId="0E826003" w14:textId="77777777" w:rsidR="00FC4B79" w:rsidRDefault="00000000">
            <w:pPr>
              <w:shd w:val="clear" w:color="auto" w:fill="FFFFFF"/>
              <w:ind w:firstLine="700"/>
              <w:jc w:val="both"/>
              <w:rPr>
                <w:rFonts w:ascii="Times New Roman" w:eastAsia="Times New Roman" w:hAnsi="Times New Roman" w:cs="Times New Roman"/>
                <w:sz w:val="26"/>
                <w:szCs w:val="26"/>
                <w:highlight w:val="white"/>
                <w:u w:val="single"/>
              </w:rPr>
            </w:pPr>
            <w:r>
              <w:rPr>
                <w:rFonts w:ascii="Times New Roman" w:eastAsia="Times New Roman" w:hAnsi="Times New Roman" w:cs="Times New Roman"/>
                <w:sz w:val="26"/>
                <w:szCs w:val="26"/>
                <w:highlight w:val="white"/>
                <w:u w:val="single"/>
              </w:rPr>
              <w:t>Probleme:</w:t>
            </w:r>
          </w:p>
          <w:p w14:paraId="3AA9FC87" w14:textId="77777777" w:rsidR="00FC4B79" w:rsidRDefault="00000000">
            <w:pPr>
              <w:shd w:val="clear" w:color="auto" w:fill="FFFFFF"/>
              <w:ind w:firstLine="70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Analizând conținutul normativ al prevederilor art. 103 din Codul muncii, cu modificările operate prin Legea nr. 193/2025 </w:t>
            </w:r>
            <w:r>
              <w:rPr>
                <w:rFonts w:ascii="Times New Roman" w:eastAsia="Times New Roman" w:hAnsi="Times New Roman" w:cs="Times New Roman"/>
                <w:i/>
                <w:iCs/>
                <w:sz w:val="26"/>
                <w:szCs w:val="26"/>
                <w:highlight w:val="white"/>
              </w:rPr>
              <w:t>(în vigoare la 1 ianuarie 2026)</w:t>
            </w:r>
            <w:r>
              <w:rPr>
                <w:rFonts w:ascii="Times New Roman" w:eastAsia="Times New Roman" w:hAnsi="Times New Roman" w:cs="Times New Roman"/>
                <w:sz w:val="26"/>
                <w:szCs w:val="26"/>
                <w:highlight w:val="white"/>
              </w:rPr>
              <w:t xml:space="preserve">, în coroborare cu prevederile altor articole din Codul muncii, se constată existența unor neconcordanțe și lacune în reglementarea muncii de noapte, precum și lipsa unei sinergii între prevederile diferitor articole ale Codului muncii, ceea ce generează </w:t>
            </w:r>
            <w:r>
              <w:rPr>
                <w:rFonts w:ascii="Times New Roman" w:eastAsia="Times New Roman" w:hAnsi="Times New Roman" w:cs="Times New Roman"/>
                <w:sz w:val="26"/>
                <w:szCs w:val="26"/>
                <w:shd w:val="clear" w:color="auto" w:fill="FDFDFD"/>
              </w:rPr>
              <w:t>interpretări divergente, neînțelegeri și dificultăți în aplicarea practică a normelor respective.</w:t>
            </w:r>
          </w:p>
        </w:tc>
      </w:tr>
      <w:tr w:rsidR="00FC4B79" w14:paraId="4C31A943" w14:textId="77777777">
        <w:trPr>
          <w:trHeight w:val="80"/>
        </w:trPr>
        <w:tc>
          <w:tcPr>
            <w:tcW w:w="9030" w:type="dxa"/>
            <w:tcBorders>
              <w:top w:val="nil"/>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6E80545F" w14:textId="77777777" w:rsidR="00FC4B79" w:rsidRDefault="00000000">
            <w:pPr>
              <w:spacing w:before="200" w:after="200" w:line="240" w:lineRule="auto"/>
              <w:ind w:firstLine="709"/>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lastRenderedPageBreak/>
              <w:t>3. Obiectivele urmărite și soluțiile propuse</w:t>
            </w:r>
          </w:p>
        </w:tc>
      </w:tr>
      <w:tr w:rsidR="00FC4B79" w14:paraId="35696B39" w14:textId="77777777">
        <w:tc>
          <w:tcPr>
            <w:tcW w:w="903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83746C8" w14:textId="77777777" w:rsidR="00FC4B79" w:rsidRDefault="00000000">
            <w:pPr>
              <w:spacing w:before="200" w:after="200" w:line="240" w:lineRule="auto"/>
              <w:ind w:firstLine="709"/>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rPr>
              <w:t>3.1. Principalele prevederi ale proiectului și evidențierea elementelor noi</w:t>
            </w:r>
          </w:p>
          <w:p w14:paraId="6BA33F85" w14:textId="77777777" w:rsidR="00FC4B79" w:rsidRDefault="00000000">
            <w:pPr>
              <w:spacing w:before="200" w:after="200" w:line="240" w:lineRule="auto"/>
              <w:ind w:firstLine="708"/>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Proiectul de lege include modificări ale legislației naționale în conformitate cu directivele europene și reglementările relevante, vizând armonizarea cadrului normativ național cu standardele Uniunii Europene în domeniul muncii, securității și sănătății în muncă, egalității de tratament și muncii temporare, crearea cadrului normativ pentru cooperare, schimb de informații și medierea litigiilor transfrontaliere, care pot fi deferite către Autoritatea Europeană a Muncii.</w:t>
            </w:r>
          </w:p>
          <w:p w14:paraId="70C8BB7D" w14:textId="77777777" w:rsidR="00FC4B79" w:rsidRDefault="00000000">
            <w:pPr>
              <w:spacing w:before="200" w:after="200" w:line="240" w:lineRule="auto"/>
              <w:ind w:firstLine="708"/>
              <w:jc w:val="both"/>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În particular:</w:t>
            </w:r>
          </w:p>
          <w:p w14:paraId="5FCD9315" w14:textId="77777777" w:rsidR="00FC4B79" w:rsidRDefault="00000000">
            <w:pPr>
              <w:spacing w:line="240" w:lineRule="auto"/>
              <w:ind w:firstLine="708"/>
              <w:jc w:val="both"/>
              <w:rPr>
                <w:rFonts w:ascii="Times New Roman" w:eastAsia="Times New Roman" w:hAnsi="Times New Roman" w:cs="Times New Roman"/>
                <w:i/>
                <w:iCs/>
                <w:sz w:val="26"/>
                <w:szCs w:val="26"/>
                <w:highlight w:val="white"/>
              </w:rPr>
            </w:pPr>
            <w:r>
              <w:rPr>
                <w:rFonts w:ascii="Times New Roman" w:eastAsia="Times New Roman" w:hAnsi="Times New Roman" w:cs="Times New Roman"/>
                <w:b/>
                <w:bCs/>
                <w:i/>
                <w:iCs/>
                <w:sz w:val="26"/>
                <w:szCs w:val="26"/>
              </w:rPr>
              <w:t xml:space="preserve">Directiva 89/391/CEE </w:t>
            </w:r>
            <w:r>
              <w:rPr>
                <w:rFonts w:ascii="Times New Roman" w:eastAsia="Times New Roman" w:hAnsi="Times New Roman" w:cs="Times New Roman"/>
                <w:i/>
                <w:iCs/>
                <w:sz w:val="26"/>
                <w:szCs w:val="26"/>
                <w:highlight w:val="white"/>
              </w:rPr>
              <w:t>privind punerea în aplicare de măsuri pentru promovarea îmbunătățirii securității și sănătății lucrătorilor la locul de muncă</w:t>
            </w:r>
          </w:p>
          <w:p w14:paraId="6C908363" w14:textId="77777777" w:rsidR="00FC4B79" w:rsidRDefault="00000000">
            <w:pPr>
              <w:spacing w:line="240" w:lineRule="auto"/>
              <w:ind w:firstLine="708"/>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În vederea asigurării conformității cu prevederile Directivei 89/391/CEE, proiectul de lege prevede modificarea Legii securității și sănătății în muncă nr. 186/2008, prin:</w:t>
            </w:r>
          </w:p>
          <w:p w14:paraId="7F0D6958" w14:textId="77777777" w:rsidR="00FC4B79" w:rsidRDefault="00000000">
            <w:pPr>
              <w:spacing w:line="240" w:lineRule="auto"/>
              <w:ind w:firstLine="708"/>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limitarea utilizării noțiunii „riscuri profesionale”, în cazul aplicării principiilor de elaborare a măsurilor de protecție și prevenire, pentru a asigura abordarea unui spectru mai larg de riscuri pentru securitatea și sănătatea lucrătorilor;</w:t>
            </w:r>
          </w:p>
          <w:p w14:paraId="408F42E4" w14:textId="77777777" w:rsidR="00FC4B79" w:rsidRDefault="00000000">
            <w:pPr>
              <w:spacing w:line="240" w:lineRule="auto"/>
              <w:ind w:firstLine="708"/>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revizuirea principiilor generale de prevenire, inclusiv consacrarea explicită a principiului adaptării muncii la persoană;</w:t>
            </w:r>
          </w:p>
          <w:p w14:paraId="5305EA49" w14:textId="77777777" w:rsidR="00FC4B79" w:rsidRDefault="00000000">
            <w:pPr>
              <w:spacing w:line="240" w:lineRule="auto"/>
              <w:ind w:firstLine="708"/>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lastRenderedPageBreak/>
              <w:t>– instituirea obligației de raportare periodică către Comisia Europeană privind punerea în aplicare a cadrului normativ național în domeniul securității și sănătății în muncă, prin introducerea unui articol nou;</w:t>
            </w:r>
          </w:p>
          <w:p w14:paraId="24F9DAF9" w14:textId="77777777" w:rsidR="00FC4B79" w:rsidRDefault="00000000">
            <w:pPr>
              <w:spacing w:line="240" w:lineRule="auto"/>
              <w:ind w:firstLine="708"/>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corelarea cadrului normativ cu modificările legislative privind competențele autorităților de control în domeniul securității și sănătății în muncă.</w:t>
            </w:r>
          </w:p>
          <w:p w14:paraId="20523DE1" w14:textId="77777777" w:rsidR="00FC4B79" w:rsidRDefault="00000000">
            <w:pPr>
              <w:spacing w:line="240" w:lineRule="auto"/>
              <w:ind w:firstLine="708"/>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În definitiv, obiectivele urmărite sunt instituirea unui mecanism normativ de raportare periodică către Comisia Europeană, precum și în consolidarea cadrului general de prevenire a tuturor riscurilor pentru securitatea și sănătatea în muncă.</w:t>
            </w:r>
          </w:p>
          <w:p w14:paraId="0E1C95CA" w14:textId="77777777" w:rsidR="00FC4B79" w:rsidRDefault="00FC4B79">
            <w:pPr>
              <w:spacing w:line="240" w:lineRule="auto"/>
              <w:ind w:firstLine="630"/>
              <w:jc w:val="both"/>
              <w:rPr>
                <w:rFonts w:ascii="Times New Roman" w:eastAsia="Times New Roman" w:hAnsi="Times New Roman" w:cs="Times New Roman"/>
                <w:b/>
                <w:bCs/>
                <w:sz w:val="26"/>
                <w:szCs w:val="26"/>
              </w:rPr>
            </w:pPr>
          </w:p>
          <w:p w14:paraId="79AB30EF" w14:textId="77777777" w:rsidR="00FC4B79" w:rsidRDefault="00000000">
            <w:pPr>
              <w:spacing w:line="240" w:lineRule="auto"/>
              <w:ind w:firstLine="630"/>
              <w:jc w:val="both"/>
              <w:rPr>
                <w:rFonts w:ascii="Times New Roman" w:eastAsia="Times New Roman" w:hAnsi="Times New Roman" w:cs="Times New Roman"/>
                <w:i/>
                <w:iCs/>
                <w:sz w:val="26"/>
                <w:szCs w:val="26"/>
                <w:highlight w:val="white"/>
              </w:rPr>
            </w:pPr>
            <w:r>
              <w:rPr>
                <w:rFonts w:ascii="Times New Roman" w:eastAsia="Times New Roman" w:hAnsi="Times New Roman" w:cs="Times New Roman"/>
                <w:b/>
                <w:bCs/>
                <w:i/>
                <w:iCs/>
                <w:sz w:val="26"/>
                <w:szCs w:val="26"/>
              </w:rPr>
              <w:t>Directiva 91/383/CEE</w:t>
            </w:r>
            <w:r>
              <w:rPr>
                <w:rFonts w:ascii="Times New Roman" w:eastAsia="Times New Roman" w:hAnsi="Times New Roman" w:cs="Times New Roman"/>
                <w:i/>
                <w:iCs/>
                <w:sz w:val="26"/>
                <w:szCs w:val="26"/>
                <w:highlight w:val="white"/>
              </w:rPr>
              <w:t xml:space="preserve"> de completare a măsurilor destinate să promoveze îmbunătățirea securității și sănătății la locul de muncă în cazul lucrătorilor care au un raport de muncă pe durată determinată sau un raport de muncă temporară</w:t>
            </w:r>
          </w:p>
          <w:p w14:paraId="378136C3" w14:textId="77777777" w:rsidR="00FC4B79" w:rsidRDefault="00000000">
            <w:pPr>
              <w:spacing w:line="240" w:lineRule="auto"/>
              <w:ind w:firstLine="63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Proiectul de lege prevede modificarea Legii securității și sănătății în muncă nr. 186/2008, prin:</w:t>
            </w:r>
          </w:p>
          <w:p w14:paraId="731EAD14" w14:textId="77777777" w:rsidR="00FC4B79" w:rsidRDefault="00000000">
            <w:pPr>
              <w:spacing w:line="240" w:lineRule="auto"/>
              <w:ind w:firstLine="63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clarificarea aplicării principiului egalității de tratament în materie de securitate și sănătate în muncă pentru salariații temporari și pentru cei încadrați pe durată determinată;</w:t>
            </w:r>
          </w:p>
          <w:p w14:paraId="7AE2DB16" w14:textId="77777777" w:rsidR="00FC4B79" w:rsidRDefault="00000000">
            <w:pPr>
              <w:spacing w:line="240" w:lineRule="auto"/>
              <w:ind w:firstLine="63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revizuirea formulărilor normative existente, în vederea utilizării unei terminologii unitare și conforme cu standardele europene;</w:t>
            </w:r>
          </w:p>
          <w:p w14:paraId="6BFBE0E3" w14:textId="77777777" w:rsidR="00FC4B79" w:rsidRDefault="00000000">
            <w:pPr>
              <w:spacing w:line="240" w:lineRule="auto"/>
              <w:ind w:firstLine="63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asigurarea aplicării condițiilor egale de securitate și sănătate în muncă tuturor categoriilor de lucrători.</w:t>
            </w:r>
          </w:p>
          <w:p w14:paraId="38EF5515" w14:textId="77777777" w:rsidR="00FC4B79" w:rsidRDefault="00000000">
            <w:pPr>
              <w:spacing w:line="240" w:lineRule="auto"/>
              <w:ind w:firstLine="63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Obiectivul urmărit constă în consolidarea cadrului normativ privind aplicarea uniformă a normelor de securitate și sănătate în muncă pentru toate categoriile de salariați.</w:t>
            </w:r>
          </w:p>
          <w:p w14:paraId="509FE0C4" w14:textId="77777777" w:rsidR="00FC4B79" w:rsidRDefault="00FC4B79">
            <w:pPr>
              <w:spacing w:line="240" w:lineRule="auto"/>
              <w:ind w:firstLine="630"/>
              <w:jc w:val="both"/>
              <w:rPr>
                <w:rFonts w:ascii="Times New Roman" w:eastAsia="Times New Roman" w:hAnsi="Times New Roman" w:cs="Times New Roman"/>
                <w:b/>
                <w:bCs/>
                <w:sz w:val="26"/>
                <w:szCs w:val="26"/>
                <w:highlight w:val="white"/>
              </w:rPr>
            </w:pPr>
          </w:p>
          <w:p w14:paraId="207EACC0" w14:textId="77777777" w:rsidR="00FC4B79" w:rsidRDefault="00000000">
            <w:pPr>
              <w:spacing w:line="240" w:lineRule="auto"/>
              <w:ind w:firstLine="630"/>
              <w:jc w:val="both"/>
              <w:rPr>
                <w:rFonts w:ascii="Times New Roman" w:eastAsia="Times New Roman" w:hAnsi="Times New Roman" w:cs="Times New Roman"/>
                <w:i/>
                <w:iCs/>
                <w:sz w:val="26"/>
                <w:szCs w:val="26"/>
                <w:highlight w:val="white"/>
              </w:rPr>
            </w:pPr>
            <w:r>
              <w:rPr>
                <w:rFonts w:ascii="Times New Roman" w:eastAsia="Times New Roman" w:hAnsi="Times New Roman" w:cs="Times New Roman"/>
                <w:b/>
                <w:bCs/>
                <w:i/>
                <w:iCs/>
                <w:sz w:val="26"/>
                <w:szCs w:val="26"/>
                <w:highlight w:val="white"/>
              </w:rPr>
              <w:t>Directiva 92/85/CEE</w:t>
            </w:r>
            <w:r>
              <w:rPr>
                <w:rFonts w:ascii="Times New Roman" w:eastAsia="Times New Roman" w:hAnsi="Times New Roman" w:cs="Times New Roman"/>
                <w:i/>
                <w:iCs/>
                <w:sz w:val="26"/>
                <w:szCs w:val="26"/>
                <w:highlight w:val="white"/>
              </w:rPr>
              <w:t xml:space="preserve"> </w:t>
            </w:r>
            <w:r>
              <w:rPr>
                <w:rFonts w:ascii="Times New Roman" w:eastAsia="Times New Roman" w:hAnsi="Times New Roman" w:cs="Times New Roman"/>
                <w:i/>
                <w:iCs/>
                <w:sz w:val="26"/>
                <w:szCs w:val="26"/>
              </w:rPr>
              <w:t>a Consiliului din 19 octombrie 1992 privind introducerea de măsuri pentru promovarea îmbunătățirii securității și a sănătății la locul de muncă în cazul lucrătoarelor gravide, care au născut de curând sau care alăptează</w:t>
            </w:r>
          </w:p>
          <w:p w14:paraId="36B60AA8" w14:textId="77777777" w:rsidR="00FC4B79" w:rsidRDefault="00000000">
            <w:pPr>
              <w:spacing w:line="240" w:lineRule="auto"/>
              <w:ind w:firstLine="63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În vederea consolidării protecției salariatelor gravide proiectul de lege definește noțiunea de dispense și instituie dreptul salariatelor gravide la dispense pentru consultații prenatale, cu menținerea salariului mediu și stabilirea garanțiilor juridice aferente. De asemenea, timpul acordat pentru dispense se include în timpul de muncă și nu constituie absență de la serviciu.</w:t>
            </w:r>
          </w:p>
          <w:p w14:paraId="00C39EC2" w14:textId="77777777" w:rsidR="00FC4B79" w:rsidRDefault="00000000">
            <w:pPr>
              <w:spacing w:line="240" w:lineRule="auto"/>
              <w:ind w:firstLine="63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Proiectul de lege completează art. 22 din Legea nr. 186/2008, prin detalierea elementelor care trebuie avute în vedere la evaluarea riscurilor specifice pentru femeile gravide, lehuze sau care alăptează și prin instituirea obligației autorității competente de a asigura elaborarea și aducerea la cunoștință a ghidurilor ori materialelor metodologice relevante. Obiectivul urmărit constă în consolidarea cadrului de protecție și asigurarea unei aplicări mai clare și uniforme a normelor de securitate și sănătate în muncă.</w:t>
            </w:r>
          </w:p>
          <w:p w14:paraId="6BAE3624" w14:textId="77777777" w:rsidR="00FC4B79" w:rsidRDefault="00000000">
            <w:pPr>
              <w:spacing w:line="240" w:lineRule="auto"/>
              <w:ind w:firstLine="70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 </w:t>
            </w:r>
          </w:p>
          <w:p w14:paraId="155FEFBA" w14:textId="77777777" w:rsidR="00FC4B79" w:rsidRDefault="00000000">
            <w:pPr>
              <w:spacing w:line="240" w:lineRule="auto"/>
              <w:ind w:firstLine="700"/>
              <w:jc w:val="both"/>
              <w:rPr>
                <w:rFonts w:ascii="Times New Roman" w:eastAsia="Times New Roman" w:hAnsi="Times New Roman" w:cs="Times New Roman"/>
                <w:i/>
                <w:iCs/>
                <w:sz w:val="26"/>
                <w:szCs w:val="26"/>
                <w:highlight w:val="white"/>
              </w:rPr>
            </w:pPr>
            <w:r>
              <w:rPr>
                <w:rFonts w:ascii="Times New Roman" w:eastAsia="Times New Roman" w:hAnsi="Times New Roman" w:cs="Times New Roman"/>
                <w:b/>
                <w:bCs/>
                <w:i/>
                <w:iCs/>
                <w:sz w:val="26"/>
                <w:szCs w:val="26"/>
                <w:highlight w:val="white"/>
              </w:rPr>
              <w:t xml:space="preserve">Directiva 2000/43/CE </w:t>
            </w:r>
            <w:r>
              <w:rPr>
                <w:rFonts w:ascii="Times New Roman" w:eastAsia="Times New Roman" w:hAnsi="Times New Roman" w:cs="Times New Roman"/>
                <w:i/>
                <w:iCs/>
                <w:sz w:val="26"/>
                <w:szCs w:val="26"/>
                <w:highlight w:val="white"/>
              </w:rPr>
              <w:t>a Consiliului din 29 iunie 2000 de punere în aplicare a principiului egalității de tratament între persoane, fără deosebire de rasă sau origine etnică</w:t>
            </w:r>
          </w:p>
          <w:p w14:paraId="1C7C8020" w14:textId="77777777" w:rsidR="00FC4B79" w:rsidRDefault="00000000">
            <w:pPr>
              <w:spacing w:line="240" w:lineRule="auto"/>
              <w:ind w:firstLine="70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Proiectul de lege prevede modificarea Codului muncii nr. 154/2003, prin:</w:t>
            </w:r>
          </w:p>
          <w:p w14:paraId="6F4BFF06" w14:textId="77777777" w:rsidR="00FC4B79" w:rsidRDefault="00000000">
            <w:pPr>
              <w:spacing w:line="240" w:lineRule="auto"/>
              <w:ind w:firstLine="70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lastRenderedPageBreak/>
              <w:t>– consolidarea cadrului normativ privind aplicarea principiului egalității de tratament;</w:t>
            </w:r>
          </w:p>
          <w:p w14:paraId="51837A3F" w14:textId="77777777" w:rsidR="00FC4B79" w:rsidRDefault="00000000">
            <w:pPr>
              <w:spacing w:line="240" w:lineRule="auto"/>
              <w:ind w:firstLine="70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sistematizarea criteriilor de nediscriminare, inclusiv prin referirea la Legea nr.121/2012;</w:t>
            </w:r>
          </w:p>
          <w:p w14:paraId="3BF5A079" w14:textId="77777777" w:rsidR="00FC4B79" w:rsidRDefault="00000000">
            <w:pPr>
              <w:spacing w:line="240" w:lineRule="auto"/>
              <w:ind w:firstLine="70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clarificarea domeniului de aplicare a principiului egalității în raporturile de muncă și în domeniul ocupării.</w:t>
            </w:r>
          </w:p>
          <w:p w14:paraId="591A16C6" w14:textId="77777777" w:rsidR="00FC4B79" w:rsidRDefault="00000000">
            <w:pPr>
              <w:spacing w:line="240" w:lineRule="auto"/>
              <w:ind w:firstLine="700"/>
              <w:jc w:val="both"/>
              <w:rPr>
                <w:rFonts w:ascii="Times New Roman" w:eastAsia="Times New Roman" w:hAnsi="Times New Roman" w:cs="Times New Roman"/>
                <w:b/>
                <w:bCs/>
                <w:sz w:val="26"/>
                <w:szCs w:val="26"/>
                <w:highlight w:val="white"/>
              </w:rPr>
            </w:pPr>
            <w:r>
              <w:rPr>
                <w:rFonts w:ascii="Times New Roman" w:eastAsia="Times New Roman" w:hAnsi="Times New Roman" w:cs="Times New Roman"/>
                <w:sz w:val="26"/>
                <w:szCs w:val="26"/>
                <w:highlight w:val="white"/>
              </w:rPr>
              <w:t>Obiectivul urmărit constă în consolidarea cadrului normativ privind prevenirea și combaterea discriminării în domeniul muncii.</w:t>
            </w:r>
          </w:p>
          <w:p w14:paraId="58E89B72" w14:textId="77777777" w:rsidR="00FC4B79" w:rsidRDefault="00FC4B79">
            <w:pPr>
              <w:spacing w:line="240" w:lineRule="auto"/>
              <w:ind w:firstLine="709"/>
              <w:jc w:val="both"/>
              <w:rPr>
                <w:rFonts w:ascii="Times New Roman" w:eastAsia="Times New Roman" w:hAnsi="Times New Roman" w:cs="Times New Roman"/>
                <w:b/>
                <w:bCs/>
                <w:sz w:val="26"/>
                <w:szCs w:val="26"/>
                <w:highlight w:val="white"/>
              </w:rPr>
            </w:pPr>
          </w:p>
          <w:p w14:paraId="6EA0455E" w14:textId="77777777" w:rsidR="00FC4B79" w:rsidRDefault="00000000">
            <w:pPr>
              <w:spacing w:line="240" w:lineRule="auto"/>
              <w:ind w:firstLine="709"/>
              <w:jc w:val="both"/>
              <w:rPr>
                <w:rFonts w:ascii="Times New Roman" w:eastAsia="Times New Roman" w:hAnsi="Times New Roman" w:cs="Times New Roman"/>
                <w:i/>
                <w:iCs/>
                <w:sz w:val="26"/>
                <w:szCs w:val="26"/>
                <w:highlight w:val="white"/>
              </w:rPr>
            </w:pPr>
            <w:r>
              <w:rPr>
                <w:rFonts w:ascii="Times New Roman" w:eastAsia="Times New Roman" w:hAnsi="Times New Roman" w:cs="Times New Roman"/>
                <w:b/>
                <w:bCs/>
                <w:i/>
                <w:iCs/>
                <w:sz w:val="26"/>
                <w:szCs w:val="26"/>
                <w:highlight w:val="white"/>
              </w:rPr>
              <w:t>Directiva 2000/78/CE</w:t>
            </w:r>
            <w:r>
              <w:rPr>
                <w:rFonts w:ascii="Times New Roman" w:eastAsia="Times New Roman" w:hAnsi="Times New Roman" w:cs="Times New Roman"/>
                <w:i/>
                <w:iCs/>
                <w:sz w:val="26"/>
                <w:szCs w:val="26"/>
                <w:highlight w:val="white"/>
              </w:rPr>
              <w:t xml:space="preserve"> a Consiliului din 27 noiembrie 2000 de creare a unui cadru general în favoarea egalității de tratament în ceea ce privește încadrarea în muncă și ocuparea forței de muncă</w:t>
            </w:r>
          </w:p>
          <w:p w14:paraId="15922901" w14:textId="77777777" w:rsidR="00FC4B79" w:rsidRDefault="00000000">
            <w:pPr>
              <w:spacing w:line="240" w:lineRule="auto"/>
              <w:ind w:firstLine="709"/>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Proiectul de lege introduce modificări la Codul muncii, prin:</w:t>
            </w:r>
          </w:p>
          <w:p w14:paraId="233BB699" w14:textId="77777777" w:rsidR="00FC4B79" w:rsidRDefault="00000000">
            <w:pPr>
              <w:spacing w:line="240" w:lineRule="auto"/>
              <w:ind w:firstLine="709"/>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consolidarea cadrului normativ privind egalitatea de tratament în materie de ocupare și muncă;</w:t>
            </w:r>
          </w:p>
          <w:p w14:paraId="44D8DE01" w14:textId="77777777" w:rsidR="00FC4B79" w:rsidRDefault="00000000">
            <w:pPr>
              <w:spacing w:line="240" w:lineRule="auto"/>
              <w:ind w:firstLine="709"/>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clarificarea și sistematizarea criteriilor de nediscriminare, inclusiv prin referirea la Legea nr.121/2012;</w:t>
            </w:r>
          </w:p>
          <w:p w14:paraId="4EC99EB5" w14:textId="77777777" w:rsidR="00FC4B79" w:rsidRDefault="00000000">
            <w:pPr>
              <w:spacing w:line="240" w:lineRule="auto"/>
              <w:ind w:firstLine="709"/>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reglementarea explicită a aplicării principiului egalității în toate etapele raportului de muncă.</w:t>
            </w:r>
          </w:p>
          <w:p w14:paraId="27DA777F" w14:textId="77777777" w:rsidR="00FC4B79" w:rsidRDefault="00000000">
            <w:pPr>
              <w:spacing w:line="240" w:lineRule="auto"/>
              <w:ind w:firstLine="709"/>
              <w:jc w:val="both"/>
              <w:rPr>
                <w:rFonts w:ascii="Times New Roman" w:eastAsia="Times New Roman" w:hAnsi="Times New Roman" w:cs="Times New Roman"/>
                <w:b/>
                <w:bCs/>
                <w:sz w:val="26"/>
                <w:szCs w:val="26"/>
                <w:highlight w:val="white"/>
              </w:rPr>
            </w:pPr>
            <w:r>
              <w:rPr>
                <w:rFonts w:ascii="Times New Roman" w:eastAsia="Times New Roman" w:hAnsi="Times New Roman" w:cs="Times New Roman"/>
                <w:sz w:val="26"/>
                <w:szCs w:val="26"/>
                <w:highlight w:val="white"/>
              </w:rPr>
              <w:t>Obiectivul urmărit constă în consolidarea cadrului normativ privind prevenirea și combaterea în domeniul ocupării și muncii.</w:t>
            </w:r>
          </w:p>
          <w:p w14:paraId="032712A4" w14:textId="77777777" w:rsidR="00FC4B79" w:rsidRDefault="00FC4B79">
            <w:pPr>
              <w:spacing w:line="240" w:lineRule="auto"/>
              <w:ind w:firstLine="630"/>
              <w:jc w:val="both"/>
              <w:rPr>
                <w:rFonts w:ascii="Times New Roman" w:eastAsia="Times New Roman" w:hAnsi="Times New Roman" w:cs="Times New Roman"/>
                <w:b/>
                <w:bCs/>
                <w:i/>
                <w:iCs/>
                <w:sz w:val="26"/>
                <w:szCs w:val="26"/>
                <w:highlight w:val="white"/>
              </w:rPr>
            </w:pPr>
          </w:p>
          <w:p w14:paraId="0D02C658" w14:textId="77777777" w:rsidR="00FC4B79" w:rsidRDefault="00000000">
            <w:pPr>
              <w:spacing w:line="240" w:lineRule="auto"/>
              <w:ind w:firstLine="630"/>
              <w:jc w:val="both"/>
              <w:rPr>
                <w:rFonts w:ascii="Times New Roman" w:eastAsia="Times New Roman" w:hAnsi="Times New Roman" w:cs="Times New Roman"/>
                <w:i/>
                <w:iCs/>
                <w:sz w:val="26"/>
                <w:szCs w:val="26"/>
                <w:highlight w:val="white"/>
              </w:rPr>
            </w:pPr>
            <w:r>
              <w:rPr>
                <w:rFonts w:ascii="Times New Roman" w:eastAsia="Times New Roman" w:hAnsi="Times New Roman" w:cs="Times New Roman"/>
                <w:b/>
                <w:bCs/>
                <w:i/>
                <w:iCs/>
                <w:sz w:val="26"/>
                <w:szCs w:val="26"/>
                <w:highlight w:val="white"/>
              </w:rPr>
              <w:t xml:space="preserve">Directiva 2002/14/CE </w:t>
            </w:r>
            <w:r>
              <w:rPr>
                <w:rFonts w:ascii="Times New Roman" w:eastAsia="Times New Roman" w:hAnsi="Times New Roman" w:cs="Times New Roman"/>
                <w:i/>
                <w:iCs/>
                <w:sz w:val="26"/>
                <w:szCs w:val="26"/>
                <w:highlight w:val="white"/>
              </w:rPr>
              <w:t>de stabilire a unui cadru general de informare și consultare a lucrătorilor din Comunitatea Europeană</w:t>
            </w:r>
          </w:p>
          <w:p w14:paraId="3E7FCA41" w14:textId="77777777" w:rsidR="00FC4B79" w:rsidRDefault="00000000">
            <w:pPr>
              <w:spacing w:line="240" w:lineRule="auto"/>
              <w:ind w:firstLine="63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În vederea asigurării conformității cu Directiva 2002/14/CE, proiectul de lege prevede modificarea Codului muncii și a Codului contravențional, prin:</w:t>
            </w:r>
          </w:p>
          <w:p w14:paraId="477EF77F" w14:textId="77777777" w:rsidR="00FC4B79" w:rsidRDefault="00000000">
            <w:pPr>
              <w:spacing w:line="240" w:lineRule="auto"/>
              <w:ind w:firstLine="63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 precizarea în articolului 42 alin. (2) lit. </w:t>
            </w:r>
            <w:r>
              <w:rPr>
                <w:rFonts w:ascii="Georgia" w:eastAsia="Georgia" w:hAnsi="Georgia" w:cs="Georgia"/>
                <w:color w:val="333333"/>
                <w:sz w:val="24"/>
                <w:szCs w:val="24"/>
                <w:highlight w:val="white"/>
              </w:rPr>
              <w:t xml:space="preserve">b) că </w:t>
            </w:r>
            <w:r>
              <w:rPr>
                <w:rFonts w:ascii="Times New Roman" w:eastAsia="Times New Roman" w:hAnsi="Times New Roman" w:cs="Times New Roman"/>
                <w:sz w:val="26"/>
                <w:szCs w:val="26"/>
                <w:highlight w:val="white"/>
              </w:rPr>
              <w:t>obligația informării ce vizează art. 42</w:t>
            </w:r>
            <w:r>
              <w:rPr>
                <w:rFonts w:ascii="Times New Roman" w:eastAsia="Times New Roman" w:hAnsi="Times New Roman" w:cs="Times New Roman"/>
                <w:sz w:val="26"/>
                <w:szCs w:val="26"/>
                <w:highlight w:val="white"/>
                <w:vertAlign w:val="superscript"/>
              </w:rPr>
              <w:t xml:space="preserve">1 </w:t>
            </w:r>
            <w:r>
              <w:rPr>
                <w:rFonts w:ascii="Times New Roman" w:eastAsia="Times New Roman" w:hAnsi="Times New Roman" w:cs="Times New Roman"/>
                <w:sz w:val="26"/>
                <w:szCs w:val="26"/>
                <w:highlight w:val="white"/>
              </w:rPr>
              <w:t>alin. (2) lit. a), b) și c) se aplică se aplică angajatorilor indiferent de tipul de proprietate, de forma juridică de organizare, cu scop lucrativ sau nu, care încadrează cel puțin 50 de salariați.”</w:t>
            </w:r>
          </w:p>
          <w:p w14:paraId="6CE99029" w14:textId="77777777" w:rsidR="00FC4B79" w:rsidRDefault="00000000">
            <w:pPr>
              <w:spacing w:line="240" w:lineRule="auto"/>
              <w:ind w:firstLine="63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în sensul prevederilor articolului 42¹, definirea informării și consultării în corespundere cu prevederile Directivei;</w:t>
            </w:r>
          </w:p>
          <w:p w14:paraId="574C6A9B" w14:textId="77777777" w:rsidR="00FC4B79" w:rsidRDefault="00000000">
            <w:pPr>
              <w:spacing w:line="240" w:lineRule="auto"/>
              <w:ind w:firstLine="63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completarea articolului 42¹ alin. (3) din Codul muncii cu obligația formulării unui aviz de către reprezentanții salariaților înainte de adoptarea deciziei de către angajator;</w:t>
            </w:r>
          </w:p>
          <w:p w14:paraId="29A2A3F0" w14:textId="77777777" w:rsidR="00FC4B79" w:rsidRDefault="00000000">
            <w:pPr>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 stabilirea unui termen de 10 zile lucrătoare de la data </w:t>
            </w:r>
            <w:proofErr w:type="spellStart"/>
            <w:r>
              <w:rPr>
                <w:rFonts w:ascii="Times New Roman" w:eastAsia="Times New Roman" w:hAnsi="Times New Roman" w:cs="Times New Roman"/>
                <w:sz w:val="26"/>
                <w:szCs w:val="26"/>
                <w:highlight w:val="white"/>
              </w:rPr>
              <w:t>recepţionării</w:t>
            </w:r>
            <w:proofErr w:type="spellEnd"/>
            <w:r>
              <w:rPr>
                <w:rFonts w:ascii="Times New Roman" w:eastAsia="Times New Roman" w:hAnsi="Times New Roman" w:cs="Times New Roman"/>
                <w:sz w:val="26"/>
                <w:szCs w:val="26"/>
                <w:highlight w:val="white"/>
              </w:rPr>
              <w:t xml:space="preserve"> datelor pentru ca reprezentanții salariaților </w:t>
            </w:r>
            <w:proofErr w:type="spellStart"/>
            <w:r>
              <w:rPr>
                <w:rFonts w:ascii="Times New Roman" w:eastAsia="Times New Roman" w:hAnsi="Times New Roman" w:cs="Times New Roman"/>
                <w:sz w:val="26"/>
                <w:szCs w:val="26"/>
                <w:highlight w:val="white"/>
              </w:rPr>
              <w:t>îşi</w:t>
            </w:r>
            <w:proofErr w:type="spellEnd"/>
            <w:r>
              <w:rPr>
                <w:rFonts w:ascii="Times New Roman" w:eastAsia="Times New Roman" w:hAnsi="Times New Roman" w:cs="Times New Roman"/>
                <w:sz w:val="26"/>
                <w:szCs w:val="26"/>
                <w:highlight w:val="white"/>
              </w:rPr>
              <w:t xml:space="preserve"> prezinte opinia;</w:t>
            </w:r>
          </w:p>
          <w:p w14:paraId="5F77E9AE" w14:textId="77777777" w:rsidR="00FC4B79" w:rsidRDefault="00000000">
            <w:pPr>
              <w:spacing w:line="240" w:lineRule="auto"/>
              <w:ind w:firstLine="63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modificarea articolului 42¹ alin. (7) în vederea stabilirii caracterului real și efectiv al consultării, cu precizarea scopului acesteia și substituirea termenului „consens” cu termenul „acord”;</w:t>
            </w:r>
          </w:p>
          <w:p w14:paraId="164C9A98" w14:textId="77777777" w:rsidR="00FC4B79" w:rsidRDefault="00000000">
            <w:pPr>
              <w:spacing w:line="240" w:lineRule="auto"/>
              <w:ind w:firstLine="63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completarea Codului contravențional cu o sancțiune contravențională distinctă pentru nerespectarea obligației de informare și consultare a salariaților.</w:t>
            </w:r>
          </w:p>
          <w:p w14:paraId="13D37FA8" w14:textId="77777777" w:rsidR="00FC4B79" w:rsidRDefault="00000000">
            <w:pPr>
              <w:spacing w:line="240" w:lineRule="auto"/>
              <w:ind w:firstLine="63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Obiectivul urmărit constă în instituirea garanțiilor juridice exprese privind caracterul obligatoriu și efectiv al procedurii de informare și consultare a salariaților, inclusiv prin introducerea răspunderii contravenționale corespunzătoare.</w:t>
            </w:r>
          </w:p>
          <w:p w14:paraId="33D4F99E" w14:textId="77777777" w:rsidR="00FC4B79" w:rsidRDefault="00FC4B79">
            <w:pPr>
              <w:spacing w:line="240" w:lineRule="auto"/>
              <w:ind w:firstLine="630"/>
              <w:jc w:val="both"/>
              <w:rPr>
                <w:rFonts w:ascii="Times New Roman" w:eastAsia="Times New Roman" w:hAnsi="Times New Roman" w:cs="Times New Roman"/>
                <w:b/>
                <w:bCs/>
                <w:i/>
                <w:iCs/>
                <w:sz w:val="26"/>
                <w:szCs w:val="26"/>
                <w:highlight w:val="white"/>
              </w:rPr>
            </w:pPr>
          </w:p>
          <w:p w14:paraId="0C78F4F9" w14:textId="77777777" w:rsidR="00FC4B79" w:rsidRDefault="00000000">
            <w:pPr>
              <w:spacing w:line="240" w:lineRule="auto"/>
              <w:ind w:firstLine="630"/>
              <w:jc w:val="both"/>
              <w:rPr>
                <w:rFonts w:ascii="Times New Roman" w:eastAsia="Times New Roman" w:hAnsi="Times New Roman" w:cs="Times New Roman"/>
                <w:b/>
                <w:bCs/>
                <w:i/>
                <w:iCs/>
                <w:sz w:val="26"/>
                <w:szCs w:val="26"/>
                <w:highlight w:val="white"/>
              </w:rPr>
            </w:pPr>
            <w:r>
              <w:rPr>
                <w:rFonts w:ascii="Times New Roman" w:eastAsia="Times New Roman" w:hAnsi="Times New Roman" w:cs="Times New Roman"/>
                <w:b/>
                <w:bCs/>
                <w:i/>
                <w:iCs/>
                <w:sz w:val="26"/>
                <w:szCs w:val="26"/>
                <w:highlight w:val="white"/>
              </w:rPr>
              <w:lastRenderedPageBreak/>
              <w:t xml:space="preserve">Directiva 2008/104/CE </w:t>
            </w:r>
            <w:r>
              <w:rPr>
                <w:rFonts w:ascii="Times New Roman" w:eastAsia="Times New Roman" w:hAnsi="Times New Roman" w:cs="Times New Roman"/>
                <w:i/>
                <w:iCs/>
                <w:sz w:val="26"/>
                <w:szCs w:val="26"/>
                <w:highlight w:val="white"/>
              </w:rPr>
              <w:t>privind munca prin agent de muncă temporară</w:t>
            </w:r>
          </w:p>
          <w:p w14:paraId="175AAE61" w14:textId="77777777" w:rsidR="00FC4B79" w:rsidRDefault="00000000">
            <w:pPr>
              <w:spacing w:line="240" w:lineRule="auto"/>
              <w:ind w:firstLine="63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Se elimină expresia „și cu caracter temporar” pentru a clarifica textul și a asigura conformitatea cu Directiva 2008/104/CE, garantând aplicarea uniformă a drepturilor și obligațiilor pentru lucrătorii temporari.</w:t>
            </w:r>
          </w:p>
          <w:p w14:paraId="0CE08261" w14:textId="77777777" w:rsidR="00FC4B79" w:rsidRDefault="00FC4B79">
            <w:pPr>
              <w:spacing w:line="240" w:lineRule="auto"/>
              <w:ind w:firstLine="709"/>
              <w:jc w:val="both"/>
              <w:rPr>
                <w:rFonts w:ascii="Times New Roman" w:eastAsia="Times New Roman" w:hAnsi="Times New Roman" w:cs="Times New Roman"/>
                <w:b/>
                <w:bCs/>
                <w:sz w:val="26"/>
                <w:szCs w:val="26"/>
                <w:highlight w:val="white"/>
              </w:rPr>
            </w:pPr>
          </w:p>
          <w:p w14:paraId="1BF66D20" w14:textId="77777777" w:rsidR="00FC4B79" w:rsidRDefault="00000000">
            <w:pPr>
              <w:spacing w:line="240" w:lineRule="auto"/>
              <w:ind w:firstLine="630"/>
              <w:jc w:val="both"/>
              <w:rPr>
                <w:rFonts w:ascii="Times New Roman" w:eastAsia="Times New Roman" w:hAnsi="Times New Roman" w:cs="Times New Roman"/>
                <w:b/>
                <w:bCs/>
                <w:sz w:val="26"/>
                <w:szCs w:val="26"/>
                <w:highlight w:val="white"/>
              </w:rPr>
            </w:pPr>
            <w:r>
              <w:rPr>
                <w:rFonts w:ascii="Times New Roman" w:eastAsia="Times New Roman" w:hAnsi="Times New Roman" w:cs="Times New Roman"/>
                <w:b/>
                <w:bCs/>
                <w:i/>
                <w:iCs/>
                <w:sz w:val="26"/>
                <w:szCs w:val="26"/>
                <w:highlight w:val="white"/>
              </w:rPr>
              <w:t xml:space="preserve">Regulamentul (UE) 2019/1149 </w:t>
            </w:r>
            <w:r>
              <w:rPr>
                <w:rFonts w:ascii="Times New Roman" w:eastAsia="Times New Roman" w:hAnsi="Times New Roman" w:cs="Times New Roman"/>
                <w:i/>
                <w:iCs/>
                <w:sz w:val="26"/>
                <w:szCs w:val="26"/>
                <w:highlight w:val="white"/>
              </w:rPr>
              <w:t>de instituire a unei Autorități Europene a Muncii</w:t>
            </w:r>
          </w:p>
          <w:p w14:paraId="57C52CB4" w14:textId="77777777" w:rsidR="00FC4B79" w:rsidRDefault="00000000">
            <w:pPr>
              <w:spacing w:after="200" w:line="240" w:lineRule="auto"/>
              <w:ind w:firstLine="709"/>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În scopul creării cadrului normativ necesar implementării Regulamentului (UE) 2019/1149, proiectul stabilește contextul legal național pentru cooperarea cu Autoritatea Europeană a Muncii, inclusiv medierea litigiilor transfrontaliere și schimbul de informații, și reglementează procedurile de punere în aplicare a acestora pe teritoriul Republicii Moldova. Obiectivul urmărit constă în crearea unui mecanism clar și eficient de colaborare cu Autoritatea Europeană a Muncii.</w:t>
            </w:r>
          </w:p>
          <w:p w14:paraId="4250EB8D" w14:textId="77777777" w:rsidR="00FC4B79" w:rsidRDefault="00000000">
            <w:pPr>
              <w:spacing w:after="200" w:line="240" w:lineRule="auto"/>
              <w:ind w:firstLine="709"/>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De asemenea, proiectul de lege propune modificarea art. 103 alin. (3) din Codul muncii în vederea instituirii unor derogări/excepții de la normele/garanțiile stabilite la art. 103 alin. </w:t>
            </w:r>
            <w:r>
              <w:rPr>
                <w:rFonts w:ascii="Times New Roman" w:eastAsia="Times New Roman" w:hAnsi="Times New Roman" w:cs="Times New Roman"/>
                <w:sz w:val="26"/>
                <w:szCs w:val="26"/>
              </w:rPr>
              <w:t>(1</w:t>
            </w:r>
            <w:r>
              <w:rPr>
                <w:rFonts w:ascii="Times New Roman" w:eastAsia="Times New Roman" w:hAnsi="Times New Roman" w:cs="Times New Roman"/>
                <w:sz w:val="26"/>
                <w:szCs w:val="26"/>
                <w:vertAlign w:val="superscript"/>
              </w:rPr>
              <w:t>1</w:t>
            </w:r>
            <w:r>
              <w:rPr>
                <w:rFonts w:ascii="Times New Roman" w:eastAsia="Times New Roman" w:hAnsi="Times New Roman" w:cs="Times New Roman"/>
                <w:sz w:val="26"/>
                <w:szCs w:val="26"/>
              </w:rPr>
              <w:t>), (1</w:t>
            </w:r>
            <w:r>
              <w:rPr>
                <w:rFonts w:ascii="Times New Roman" w:eastAsia="Times New Roman" w:hAnsi="Times New Roman" w:cs="Times New Roman"/>
                <w:sz w:val="26"/>
                <w:szCs w:val="26"/>
                <w:vertAlign w:val="superscript"/>
              </w:rPr>
              <w:t>2</w:t>
            </w:r>
            <w:r>
              <w:rPr>
                <w:rFonts w:ascii="Times New Roman" w:eastAsia="Times New Roman" w:hAnsi="Times New Roman" w:cs="Times New Roman"/>
                <w:sz w:val="26"/>
                <w:szCs w:val="26"/>
              </w:rPr>
              <w:t>) și (2)</w:t>
            </w:r>
            <w:r>
              <w:rPr>
                <w:rFonts w:ascii="Times New Roman" w:eastAsia="Times New Roman" w:hAnsi="Times New Roman" w:cs="Times New Roman"/>
                <w:sz w:val="26"/>
                <w:szCs w:val="26"/>
                <w:highlight w:val="white"/>
              </w:rPr>
              <w:t xml:space="preserve">, care </w:t>
            </w:r>
            <w:r>
              <w:rPr>
                <w:rFonts w:ascii="Times New Roman" w:eastAsia="Times New Roman" w:hAnsi="Times New Roman" w:cs="Times New Roman"/>
                <w:sz w:val="26"/>
                <w:szCs w:val="26"/>
              </w:rPr>
              <w:t xml:space="preserve">nu se vor aplica salariaților cărora le este stabilită durata redusă a timpului de muncă, salariaților angajați special pentru munca de noapte, precum și în cazurile în care reducerea timpului de muncă nu este posibilă din cauza specificului activității sau al muncii, care impune prezența permanentă a salariaților la locul de muncă ori din cauza condițiilor tehnice și de producție, în special la unitățile cu flux continuu și în cazul muncii în schimburi, dacă contractul colectiv de muncă nu prevede altfel. </w:t>
            </w:r>
            <w:r>
              <w:rPr>
                <w:rFonts w:ascii="Times New Roman" w:eastAsia="Times New Roman" w:hAnsi="Times New Roman" w:cs="Times New Roman"/>
                <w:sz w:val="26"/>
                <w:szCs w:val="26"/>
                <w:highlight w:val="white"/>
              </w:rPr>
              <w:t>Această modificare are drept scop eliminarea lacunelor în aplicarea normelor în vigoare, precum și asigură o corelare cu normele derogatorii din textul Directivei 2003/88/CE.</w:t>
            </w:r>
          </w:p>
        </w:tc>
      </w:tr>
      <w:tr w:rsidR="00FC4B79" w14:paraId="33F6CC66" w14:textId="77777777">
        <w:trPr>
          <w:trHeight w:val="356"/>
        </w:trPr>
        <w:tc>
          <w:tcPr>
            <w:tcW w:w="9030" w:type="dxa"/>
            <w:tcBorders>
              <w:top w:val="nil"/>
              <w:left w:val="single" w:sz="8" w:space="0" w:color="000000"/>
              <w:bottom w:val="single" w:sz="8" w:space="0" w:color="000000"/>
              <w:right w:val="single" w:sz="8" w:space="0" w:color="000000"/>
            </w:tcBorders>
            <w:shd w:val="clear" w:color="auto" w:fill="F2F2F2"/>
            <w:tcMar>
              <w:top w:w="0" w:type="dxa"/>
              <w:left w:w="108" w:type="dxa"/>
              <w:bottom w:w="0" w:type="dxa"/>
              <w:right w:w="108" w:type="dxa"/>
            </w:tcMar>
          </w:tcPr>
          <w:p w14:paraId="28432BDF" w14:textId="77777777" w:rsidR="00FC4B79" w:rsidRDefault="00000000">
            <w:pPr>
              <w:spacing w:before="200" w:after="200" w:line="240" w:lineRule="auto"/>
              <w:ind w:firstLine="709"/>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lastRenderedPageBreak/>
              <w:t>3.2. Opțiunile alternative analizate și motivele pentru care acestea nu au fost luate în considerare</w:t>
            </w:r>
          </w:p>
        </w:tc>
      </w:tr>
      <w:tr w:rsidR="00FC4B79" w14:paraId="3861EF65" w14:textId="77777777">
        <w:tc>
          <w:tcPr>
            <w:tcW w:w="903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E0C3C59" w14:textId="77777777" w:rsidR="00FC4B79" w:rsidRDefault="00000000">
            <w:pPr>
              <w:spacing w:before="200" w:after="20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Scenariul „A nu face nimic” / „Scenariul de bază”</w:t>
            </w:r>
          </w:p>
          <w:p w14:paraId="5673ED42" w14:textId="77777777" w:rsidR="00FC4B79" w:rsidRDefault="00000000">
            <w:pPr>
              <w:spacing w:before="200" w:after="20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Subsidiar, în anul 2026, Republica Moldova riscă să nu își respecte angajamentele asumate privind alinierea la prevederile UE, în condițiile în care transpunerea completă a acquis-ului european nu este încă realizată.</w:t>
            </w:r>
          </w:p>
        </w:tc>
      </w:tr>
      <w:tr w:rsidR="00FC4B79" w14:paraId="7B65301B" w14:textId="77777777">
        <w:tc>
          <w:tcPr>
            <w:tcW w:w="9030" w:type="dxa"/>
            <w:tcBorders>
              <w:top w:val="nil"/>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2029B72E" w14:textId="77777777" w:rsidR="00FC4B79" w:rsidRDefault="00000000">
            <w:pPr>
              <w:spacing w:before="200" w:after="200" w:line="240" w:lineRule="auto"/>
              <w:ind w:firstLine="709"/>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4. Analiza impactului de reglementare </w:t>
            </w:r>
          </w:p>
        </w:tc>
      </w:tr>
      <w:tr w:rsidR="00FC4B79" w14:paraId="177E95BD" w14:textId="77777777">
        <w:tc>
          <w:tcPr>
            <w:tcW w:w="903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73F37830" w14:textId="77777777" w:rsidR="00FC4B79" w:rsidRDefault="00000000">
            <w:pPr>
              <w:spacing w:before="200" w:after="200" w:line="240" w:lineRule="auto"/>
              <w:ind w:firstLine="705"/>
              <w:jc w:val="both"/>
              <w:rPr>
                <w:rFonts w:ascii="Times New Roman" w:eastAsia="Times New Roman" w:hAnsi="Times New Roman" w:cs="Times New Roman"/>
                <w:b/>
                <w:bCs/>
                <w:sz w:val="26"/>
                <w:szCs w:val="26"/>
                <w:highlight w:val="white"/>
              </w:rPr>
            </w:pPr>
            <w:r>
              <w:rPr>
                <w:rFonts w:ascii="Times New Roman" w:eastAsia="Times New Roman" w:hAnsi="Times New Roman" w:cs="Times New Roman"/>
                <w:b/>
                <w:bCs/>
                <w:sz w:val="26"/>
                <w:szCs w:val="26"/>
                <w:highlight w:val="white"/>
              </w:rPr>
              <w:t>4.1. Impactul asupra sectorului public</w:t>
            </w:r>
          </w:p>
          <w:p w14:paraId="5E56B75B" w14:textId="77777777" w:rsidR="00FC4B79" w:rsidRDefault="00000000">
            <w:pPr>
              <w:spacing w:before="200" w:after="200" w:line="240" w:lineRule="auto"/>
              <w:ind w:firstLine="705"/>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Proiectul de lege va genera efecte gestionabile asupra administrației publice centrale, în special asupra entităților responsabile de aplicarea și monitorizarea implementării normelor armonizate cu acquis‑</w:t>
            </w:r>
            <w:proofErr w:type="spellStart"/>
            <w:r>
              <w:rPr>
                <w:rFonts w:ascii="Times New Roman" w:eastAsia="Times New Roman" w:hAnsi="Times New Roman" w:cs="Times New Roman"/>
                <w:sz w:val="26"/>
                <w:szCs w:val="26"/>
              </w:rPr>
              <w:t>ul</w:t>
            </w:r>
            <w:proofErr w:type="spellEnd"/>
            <w:r>
              <w:rPr>
                <w:rFonts w:ascii="Times New Roman" w:eastAsia="Times New Roman" w:hAnsi="Times New Roman" w:cs="Times New Roman"/>
                <w:sz w:val="26"/>
                <w:szCs w:val="26"/>
              </w:rPr>
              <w:t xml:space="preserve"> UE.</w:t>
            </w:r>
          </w:p>
          <w:p w14:paraId="3FC509E1" w14:textId="77777777" w:rsidR="00FC4B79" w:rsidRDefault="00000000">
            <w:pPr>
              <w:spacing w:before="200" w:after="200" w:line="240" w:lineRule="auto"/>
              <w:ind w:firstLine="705"/>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Ministerul Muncii și Protecției Sociale va organiza și coordona mecanismele de raportare periodică către Comisia Europeană privind implementarea normelor UE </w:t>
            </w:r>
            <w:r>
              <w:rPr>
                <w:rFonts w:ascii="Times New Roman" w:eastAsia="Times New Roman" w:hAnsi="Times New Roman" w:cs="Times New Roman"/>
                <w:sz w:val="26"/>
                <w:szCs w:val="26"/>
              </w:rPr>
              <w:lastRenderedPageBreak/>
              <w:t>în domeniul securității și sănătății în muncă, în baza datelor raportate de Inspectoratul de Stat al Muncii și de alte autorități de resort.</w:t>
            </w:r>
          </w:p>
          <w:p w14:paraId="0518E531" w14:textId="77777777" w:rsidR="00FC4B79" w:rsidRDefault="00000000">
            <w:pPr>
              <w:spacing w:before="200" w:after="200" w:line="240" w:lineRule="auto"/>
              <w:ind w:firstLine="705"/>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Inspectoratul de Stat al Muncii va exercita atribuții suplimentare legate de aplicarea și controlul noilor cerințe trasate de actele UE transpuse prin Proiectul de lege, ceea ce va presupune dezvoltarea capacității instituționale de:</w:t>
            </w:r>
          </w:p>
          <w:p w14:paraId="271D4439" w14:textId="77777777" w:rsidR="00FC4B79" w:rsidRDefault="00000000">
            <w:pPr>
              <w:spacing w:line="240" w:lineRule="auto"/>
              <w:ind w:firstLine="705"/>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monitorizare și control al securității și sănătății în muncă pentru toate categoriile de lucrători (Directiva 89/391/CEE și 91/383/CEE);</w:t>
            </w:r>
          </w:p>
          <w:p w14:paraId="28CEF3C2" w14:textId="77777777" w:rsidR="00FC4B79" w:rsidRDefault="00000000">
            <w:pPr>
              <w:spacing w:line="240" w:lineRule="auto"/>
              <w:ind w:firstLine="705"/>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supraveghere a aplicării protecției salariatelor gravide (Directiva 92/85/CEE);</w:t>
            </w:r>
          </w:p>
          <w:p w14:paraId="266A2408" w14:textId="77777777" w:rsidR="00FC4B79" w:rsidRDefault="00000000">
            <w:pPr>
              <w:spacing w:line="240" w:lineRule="auto"/>
              <w:ind w:firstLine="705"/>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monitorizare în domeniul egalității de tratament și nediscriminării (Directiva 2000/43/CE și 2000/78/CE);</w:t>
            </w:r>
          </w:p>
          <w:p w14:paraId="50F5167B" w14:textId="77777777" w:rsidR="00FC4B79" w:rsidRDefault="00000000">
            <w:pPr>
              <w:spacing w:line="240" w:lineRule="auto"/>
              <w:ind w:firstLine="705"/>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asigurare a respectării procedurilor de informare și consultare a salariaților (Directiva 2002/14/CE);</w:t>
            </w:r>
          </w:p>
          <w:p w14:paraId="656C42C6" w14:textId="77777777" w:rsidR="00FC4B79" w:rsidRDefault="00000000">
            <w:pPr>
              <w:spacing w:line="240" w:lineRule="auto"/>
              <w:ind w:firstLine="705"/>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verificare a aplicării regimului lucrătorilor temporari (Directiva 2008/104/CE);</w:t>
            </w:r>
          </w:p>
          <w:p w14:paraId="054A9AD2" w14:textId="77777777" w:rsidR="00FC4B79" w:rsidRDefault="00000000">
            <w:pPr>
              <w:spacing w:before="200" w:after="200" w:line="240" w:lineRule="auto"/>
              <w:ind w:firstLine="705"/>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Implementarea Regulamentului (UE) 2019/1149 va impune Inspectoratului de Stat al Muncii extinderea cooperării cu Autoritatea Europeană a Muncii, schimbul de informații și recunoașterea medierii litigiilor transfrontaliere.</w:t>
            </w:r>
          </w:p>
          <w:p w14:paraId="1A222B8E" w14:textId="77777777" w:rsidR="00FC4B79" w:rsidRDefault="00000000">
            <w:pPr>
              <w:spacing w:before="200" w:after="200" w:line="240" w:lineRule="auto"/>
              <w:ind w:firstLine="705"/>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În ansamblu, proiectul va crește volumul de activități administrative pentru autoritățile publice implicate, va necesita consolidarea capacității instituționale și operaționale pentru supraveghere, raportare și cooperare internațională.</w:t>
            </w:r>
          </w:p>
          <w:p w14:paraId="2BEDA215" w14:textId="77777777" w:rsidR="00FC4B79" w:rsidRDefault="00000000">
            <w:pPr>
              <w:spacing w:before="200" w:after="200" w:line="240" w:lineRule="auto"/>
              <w:ind w:firstLine="705"/>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Referitor la dispensele acordate salariatelor gravide, care se aplică și în sectorul public, acestea nu generează majorări directe ale costurilor salariale, întrucât salariul mediu se menține conform planificării anuale. Totuși, pe perioada scutirii de la muncă pentru consultații prenatale, salariata nu desfășoară activitate efectivă, ceea ce poate impune ajustări operaționale în gestionarea sarcinilor curente ale salariatei gravide și a resurselor umane la nivelul subdiviziunii sau unității. </w:t>
            </w:r>
            <w:r>
              <w:rPr>
                <w:rFonts w:ascii="Times New Roman" w:eastAsia="Times New Roman" w:hAnsi="Times New Roman" w:cs="Times New Roman"/>
                <w:sz w:val="26"/>
                <w:szCs w:val="26"/>
                <w:highlight w:val="white"/>
              </w:rPr>
              <w:t xml:space="preserve"> Or, timpul acordat pentru dispense se include în timpul de muncă și nu constituie absență de la serviciu.</w:t>
            </w:r>
          </w:p>
          <w:p w14:paraId="566FBBA5" w14:textId="77777777" w:rsidR="00FC4B79" w:rsidRDefault="00000000">
            <w:pPr>
              <w:spacing w:before="200" w:after="200" w:line="240" w:lineRule="auto"/>
              <w:ind w:firstLine="705"/>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De asemenea, gestionarea procesului de informare și consultare a salariaților înainte de adoptarea deciziilor privind măsurile preconizate care îi vizează este esențială și obligatorie, ca fiind incluse sancțiuni în Codul contravențional în caz de nerespectare, pentru a preveni conflictele și litigiile ce pot genera costuri suplimentare și afecta climatul organizațional.</w:t>
            </w:r>
          </w:p>
        </w:tc>
      </w:tr>
      <w:tr w:rsidR="00FC4B79" w14:paraId="4688E912" w14:textId="77777777">
        <w:tc>
          <w:tcPr>
            <w:tcW w:w="903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6E43439B" w14:textId="77777777" w:rsidR="00FC4B79" w:rsidRDefault="00000000">
            <w:pPr>
              <w:spacing w:before="200" w:after="200" w:line="240" w:lineRule="auto"/>
              <w:ind w:firstLine="709"/>
              <w:jc w:val="both"/>
              <w:rPr>
                <w:rFonts w:ascii="Times New Roman" w:eastAsia="Times New Roman" w:hAnsi="Times New Roman" w:cs="Times New Roman"/>
                <w:b/>
                <w:bCs/>
                <w:sz w:val="26"/>
                <w:szCs w:val="26"/>
                <w:highlight w:val="white"/>
              </w:rPr>
            </w:pPr>
            <w:r>
              <w:rPr>
                <w:rFonts w:ascii="Times New Roman" w:eastAsia="Times New Roman" w:hAnsi="Times New Roman" w:cs="Times New Roman"/>
                <w:b/>
                <w:bCs/>
                <w:sz w:val="26"/>
                <w:szCs w:val="26"/>
                <w:highlight w:val="white"/>
              </w:rPr>
              <w:lastRenderedPageBreak/>
              <w:t>4.2. Impactul financiar și argumentarea costurilor estimative</w:t>
            </w:r>
          </w:p>
          <w:p w14:paraId="25858A3F" w14:textId="77777777" w:rsidR="00FC4B79" w:rsidRDefault="00000000">
            <w:pPr>
              <w:spacing w:before="200" w:after="20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Prezentul proiect de lege are ca obiect transpunerea mai multor acte ale Uniunii Europene,  în domeniul raporturilor de muncă, securității și sănătății în muncă și egalității de tratament, în vederea consolidării protecției salariaților. Din perspectiva impactului financiar, intervențiile legislative propuse au preponderent caracter de armonizare și clarificare a cadrului normativ existent, fără instituirea unor mecanisme noi susceptibile să genereze cheltuieli bugetare suplimentare semnificative. Impactul </w:t>
            </w:r>
            <w:r>
              <w:rPr>
                <w:rFonts w:ascii="Times New Roman" w:eastAsia="Times New Roman" w:hAnsi="Times New Roman" w:cs="Times New Roman"/>
                <w:sz w:val="26"/>
                <w:szCs w:val="26"/>
              </w:rPr>
              <w:lastRenderedPageBreak/>
              <w:t>financiar este, în principal, unul indirect și eventual, derivat din ajustări administrative la nivelul angajatorilor sau din situații de neconformare, fiind proporțional cu obiectivul asigurării unui standard adecvat de protecție și al alinierii la exigențele europene aplicabile.</w:t>
            </w:r>
          </w:p>
          <w:p w14:paraId="0F154CF6" w14:textId="77777777" w:rsidR="00FC4B79" w:rsidRDefault="00000000">
            <w:pPr>
              <w:spacing w:before="200" w:after="200" w:line="240" w:lineRule="auto"/>
              <w:ind w:firstLine="709"/>
              <w:jc w:val="both"/>
              <w:rPr>
                <w:rFonts w:ascii="Times New Roman" w:eastAsia="Times New Roman" w:hAnsi="Times New Roman" w:cs="Times New Roman"/>
                <w:b/>
                <w:bCs/>
                <w:sz w:val="26"/>
                <w:szCs w:val="26"/>
                <w:highlight w:val="white"/>
              </w:rPr>
            </w:pPr>
            <w:r>
              <w:rPr>
                <w:rFonts w:ascii="Times New Roman" w:eastAsia="Times New Roman" w:hAnsi="Times New Roman" w:cs="Times New Roman"/>
                <w:b/>
                <w:bCs/>
                <w:sz w:val="26"/>
                <w:szCs w:val="26"/>
                <w:highlight w:val="white"/>
              </w:rPr>
              <w:t xml:space="preserve">Directiva 89/391/CEE și Directiva 91/383/CEE </w:t>
            </w:r>
          </w:p>
          <w:p w14:paraId="3F362414" w14:textId="77777777" w:rsidR="00FC4B79" w:rsidRDefault="00000000">
            <w:pPr>
              <w:spacing w:before="200" w:after="200" w:line="240" w:lineRule="auto"/>
              <w:ind w:firstLine="709"/>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Transpunerea acestor directive prin amendamentele formulate în Proiectul de lege consolidează și clarifică normele existente privind asigurarea unor condiții de securitate și sănătate în muncă egale pentru toate categoriile de lucrători, indiferent de natura juridică, durata sau forma raportului de muncă.</w:t>
            </w:r>
          </w:p>
          <w:p w14:paraId="1B12DB46" w14:textId="77777777" w:rsidR="00FC4B79" w:rsidRDefault="00000000">
            <w:pPr>
              <w:spacing w:before="200" w:after="200" w:line="240" w:lineRule="auto"/>
              <w:ind w:firstLine="709"/>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Majoritatea modificărilor operate sunt de ordin tehnic redacțional și nu generează costuri directe suplimentare. În situațiile în care angajatorul este obligat să asigure același standard de securitate și sănătate în muncă pentru toate categoriile de lucrători, pot apărea eventuale costuri suplimentare, cum ar fi: achiziția sau completarea echipamentului individual de protecție, instruiri suplimentare, adaptarea ergonomică a locului de muncă, dacă anterior existau discrepanțe. Aceste costuri sunt contrabalansate prin diminuarea riscurilor de accidente de muncă și a bolilor profesionale, precum și prin evitarea aplicării sancțiunilor în cadrul controalelor efectuate de Inspectoratul de Stat al Muncii.</w:t>
            </w:r>
          </w:p>
          <w:p w14:paraId="3D72D543" w14:textId="77777777" w:rsidR="00FC4B79" w:rsidRDefault="00000000">
            <w:pPr>
              <w:spacing w:before="200" w:after="200" w:line="240" w:lineRule="auto"/>
              <w:ind w:firstLine="709"/>
              <w:jc w:val="both"/>
              <w:rPr>
                <w:rFonts w:ascii="Times New Roman" w:eastAsia="Times New Roman" w:hAnsi="Times New Roman" w:cs="Times New Roman"/>
                <w:sz w:val="26"/>
                <w:szCs w:val="26"/>
                <w:highlight w:val="yellow"/>
              </w:rPr>
            </w:pPr>
            <w:r>
              <w:rPr>
                <w:rFonts w:ascii="Times New Roman" w:eastAsia="Times New Roman" w:hAnsi="Times New Roman" w:cs="Times New Roman"/>
                <w:sz w:val="26"/>
                <w:szCs w:val="26"/>
                <w:highlight w:val="white"/>
              </w:rPr>
              <w:t>Implementarea măsurilor se va realiza în cadrul competențelor instituționale existente, iar impactul financiar pentru angajatori (public și privat) se limitează la costuri administrative minime legate de evaluarea situațională a SSM la unitate și eventuale cheltuieli pentru soluționarea cazurilor de neconformitate sau discriminare constatate.</w:t>
            </w:r>
          </w:p>
          <w:p w14:paraId="796C3418" w14:textId="77777777" w:rsidR="00FC4B79" w:rsidRDefault="00000000">
            <w:pPr>
              <w:spacing w:before="200" w:after="200" w:line="240" w:lineRule="auto"/>
              <w:ind w:firstLine="709"/>
              <w:jc w:val="both"/>
              <w:rPr>
                <w:rFonts w:ascii="Times New Roman" w:eastAsia="Times New Roman" w:hAnsi="Times New Roman" w:cs="Times New Roman"/>
                <w:b/>
                <w:bCs/>
                <w:sz w:val="26"/>
                <w:szCs w:val="26"/>
                <w:highlight w:val="white"/>
              </w:rPr>
            </w:pPr>
            <w:r>
              <w:rPr>
                <w:rFonts w:ascii="Times New Roman" w:eastAsia="Times New Roman" w:hAnsi="Times New Roman" w:cs="Times New Roman"/>
                <w:b/>
                <w:bCs/>
                <w:sz w:val="26"/>
                <w:szCs w:val="26"/>
                <w:highlight w:val="white"/>
              </w:rPr>
              <w:t xml:space="preserve">Directiva 92/85/CEE </w:t>
            </w:r>
          </w:p>
          <w:p w14:paraId="471764DE" w14:textId="77777777" w:rsidR="00FC4B79" w:rsidRDefault="00000000">
            <w:pPr>
              <w:spacing w:before="200" w:after="200" w:line="240" w:lineRule="auto"/>
              <w:ind w:firstLine="709"/>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Transpunerea Directivei 92/85/CEE prin proiectul de lege garantează salariatelor gravide dreptul la dispensă (scutire de la muncă) pentru efectuarea consultațiilor și controalelor medicale prenatale, cu menținerea integrală a drepturilor salariale.</w:t>
            </w:r>
          </w:p>
          <w:p w14:paraId="67858511" w14:textId="77777777" w:rsidR="00FC4B79" w:rsidRDefault="00000000">
            <w:pPr>
              <w:spacing w:before="200" w:after="200" w:line="240" w:lineRule="auto"/>
              <w:ind w:firstLine="709"/>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Consultațiile prenatale sunt reglementate prin </w:t>
            </w:r>
            <w:hyperlink r:id="rId5">
              <w:r>
                <w:rPr>
                  <w:rFonts w:ascii="Times New Roman" w:eastAsia="Times New Roman" w:hAnsi="Times New Roman" w:cs="Times New Roman"/>
                  <w:color w:val="1155CC"/>
                  <w:sz w:val="26"/>
                  <w:szCs w:val="26"/>
                  <w:highlight w:val="white"/>
                  <w:u w:val="single"/>
                </w:rPr>
                <w:t>Protocolul clinic standardizat „Îngrijiri antenatale pentru o experiență pozitivă în sarcină”, aprobat prin Ordinul MS nr. 357 din 18.04.2025</w:t>
              </w:r>
            </w:hyperlink>
            <w:r>
              <w:rPr>
                <w:rFonts w:ascii="Times New Roman" w:eastAsia="Times New Roman" w:hAnsi="Times New Roman" w:cs="Times New Roman"/>
                <w:sz w:val="26"/>
                <w:szCs w:val="26"/>
                <w:highlight w:val="white"/>
              </w:rPr>
              <w:t xml:space="preserve">. Pentru sarcinile cu evoluție fiziologică, protocolul prevede minimum 9 vizite antenatale standard și 4 ședințe de pregătire </w:t>
            </w:r>
            <w:proofErr w:type="spellStart"/>
            <w:r>
              <w:rPr>
                <w:rFonts w:ascii="Times New Roman" w:eastAsia="Times New Roman" w:hAnsi="Times New Roman" w:cs="Times New Roman"/>
                <w:sz w:val="26"/>
                <w:szCs w:val="26"/>
                <w:highlight w:val="white"/>
              </w:rPr>
              <w:t>psiho</w:t>
            </w:r>
            <w:proofErr w:type="spellEnd"/>
            <w:r>
              <w:rPr>
                <w:rFonts w:ascii="Times New Roman" w:eastAsia="Times New Roman" w:hAnsi="Times New Roman" w:cs="Times New Roman"/>
                <w:sz w:val="26"/>
                <w:szCs w:val="26"/>
                <w:highlight w:val="white"/>
              </w:rPr>
              <w:t>-emoțională (detalii privind conținutul fiecărei vizite și ședințe sunt prevăzute în Protocol). În cazul sarcinilor cu risc sau al apariției complicațiilor, numărul și conținutul consultațiilor se ajustează individual, conform reglementărilor medicale în vigoare. Este important de menționat că Agenția Națională pentru Sănătate Publică nu colectează date privind numărul efectiv al consultațiilor realizate pe parcursul sarcinii (exprimate în ore), ceea ce face imposibilă estimarea exactă a timpului de muncă efectiv de la care este scutită salariata gravidă.</w:t>
            </w:r>
          </w:p>
          <w:p w14:paraId="084ED703" w14:textId="77777777" w:rsidR="00FC4B79" w:rsidRDefault="00000000">
            <w:pPr>
              <w:spacing w:before="200" w:after="200" w:line="240" w:lineRule="auto"/>
              <w:ind w:firstLine="709"/>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lastRenderedPageBreak/>
              <w:t>Potrivit datelor ANSP, numărul femeilor gravide aflate în evidență medicală a fost: 26.120 în 2023, 25.029 în 2024 și 23.269 în 2025; datele nu sunt dezagregate pe sector public și privat.</w:t>
            </w:r>
          </w:p>
          <w:p w14:paraId="539B4EE7" w14:textId="77777777" w:rsidR="00FC4B79" w:rsidRDefault="00000000">
            <w:pPr>
              <w:spacing w:before="200" w:after="200" w:line="240" w:lineRule="auto"/>
              <w:ind w:firstLine="709"/>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Instituirea dispenselor nu generează costuri bugetare directe suplimentare, deoarece salariile salariatelor gravide sunt deja planificate și achitate din fondul de salarizare aprobat. Impactul financiar constă doar în diminuarea temporară a timpului efectiv de muncă, aferent orelor necesare pentru consultațiile prenatale, fără a echivala cu suspendarea raportului de muncă. Aceste absențe sunt fracționate și pot fi gestionate prin organizarea corespunzătoare a programului de muncă.</w:t>
            </w:r>
          </w:p>
          <w:p w14:paraId="082ED255" w14:textId="77777777" w:rsidR="00FC4B79" w:rsidRDefault="00000000">
            <w:pPr>
              <w:spacing w:before="200" w:after="200" w:line="240" w:lineRule="auto"/>
              <w:ind w:firstLine="709"/>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Așadar, pentru angajatori impactul se încadrează în limitele fondurilor aprobate anual. De asemenea, pentru sectorul privat, costurile sunt proporționale cu numărul salariatelor gravide și modul de organizare a activității, fără a constitui o povară financiară structurală.</w:t>
            </w:r>
          </w:p>
          <w:p w14:paraId="0747B543" w14:textId="77777777" w:rsidR="00FC4B79" w:rsidRDefault="00000000">
            <w:pPr>
              <w:spacing w:before="200" w:after="200" w:line="240" w:lineRule="auto"/>
              <w:ind w:firstLine="709"/>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Pe termen mediu și lung, măsura sprijină prevenirea complicațiilor medicale, reduce concediile medicale prelungite și contribuie la asigurarea unui nivel adecvat de protecție a maternității, conform standardelor europene.</w:t>
            </w:r>
          </w:p>
          <w:p w14:paraId="65018F86" w14:textId="77777777" w:rsidR="00FC4B79" w:rsidRDefault="00000000">
            <w:pPr>
              <w:spacing w:before="200" w:after="200" w:line="240" w:lineRule="auto"/>
              <w:ind w:firstLine="709"/>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La fel, completarea art. 22 din Legea nr. 186/2008, prin detalierea elementelor de evaluare a riscurilor specifice pentru femeile gravide, lehuze sau care alăptează, precum și prin instituirea obligației de elaborare a ghidurilor ori materialelor metodologice relevante, nu generează costuri bugetare suplimentare, întrucât are caracter de clarificare normativă și de uniformizare a aplicării obligațiilor existente în domeniul securității și sănătății în muncă. Eventualele costuri administrative aferente elaborării suportului metodologic și aplicării acestuia se vor realiza în cadrul competențelor instituționale și al resurselor aprobate anual.</w:t>
            </w:r>
          </w:p>
          <w:p w14:paraId="07EBECC3" w14:textId="77777777" w:rsidR="00FC4B79" w:rsidRDefault="00000000">
            <w:pPr>
              <w:spacing w:before="200" w:after="200" w:line="240" w:lineRule="auto"/>
              <w:ind w:firstLine="709"/>
              <w:jc w:val="both"/>
              <w:rPr>
                <w:rFonts w:ascii="Times New Roman" w:eastAsia="Times New Roman" w:hAnsi="Times New Roman" w:cs="Times New Roman"/>
                <w:b/>
                <w:bCs/>
                <w:sz w:val="26"/>
                <w:szCs w:val="26"/>
                <w:highlight w:val="yellow"/>
              </w:rPr>
            </w:pPr>
            <w:r>
              <w:rPr>
                <w:rFonts w:ascii="Times New Roman" w:eastAsia="Times New Roman" w:hAnsi="Times New Roman" w:cs="Times New Roman"/>
                <w:sz w:val="26"/>
                <w:szCs w:val="26"/>
                <w:highlight w:val="white"/>
              </w:rPr>
              <w:t>În concluzie, impactul financiar al transpunerii Directivei 92/85/CEE este limitat, proporțional și justificat de necesitatea protecției sănătății salariatelor gravide și a copilului.</w:t>
            </w:r>
          </w:p>
          <w:p w14:paraId="00E6A998" w14:textId="77777777" w:rsidR="00FC4B79" w:rsidRDefault="00000000">
            <w:pPr>
              <w:spacing w:before="200" w:after="200" w:line="240" w:lineRule="auto"/>
              <w:ind w:firstLine="709"/>
              <w:jc w:val="both"/>
              <w:rPr>
                <w:rFonts w:ascii="Times New Roman" w:eastAsia="Times New Roman" w:hAnsi="Times New Roman" w:cs="Times New Roman"/>
                <w:b/>
                <w:bCs/>
                <w:sz w:val="26"/>
                <w:szCs w:val="26"/>
                <w:highlight w:val="white"/>
              </w:rPr>
            </w:pPr>
            <w:r>
              <w:rPr>
                <w:rFonts w:ascii="Times New Roman" w:eastAsia="Times New Roman" w:hAnsi="Times New Roman" w:cs="Times New Roman"/>
                <w:b/>
                <w:bCs/>
                <w:sz w:val="26"/>
                <w:szCs w:val="26"/>
                <w:highlight w:val="white"/>
              </w:rPr>
              <w:t xml:space="preserve">Directiva 2000/43/CE și Directiva 2000/78/CE </w:t>
            </w:r>
          </w:p>
          <w:p w14:paraId="2C04DAE7" w14:textId="77777777" w:rsidR="00FC4B79" w:rsidRDefault="00000000">
            <w:pPr>
              <w:spacing w:before="200" w:after="200" w:line="240" w:lineRule="auto"/>
              <w:ind w:firstLine="709"/>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Transpunerea acestor directive prin amendamentele formulate în Proiectul de lege consolidează și clarifică normele existente privind nediscriminarea, fără a introduce obligații noi semnificative. Implementarea se va realiza în cadrul competențelor instituționale existente, iar impactul financiar pentru angajatori (public și privat) se limitează la costuri administrative minime și eventuale cheltuieli pentru soluționarea cazurilor de discriminare depistate.</w:t>
            </w:r>
          </w:p>
          <w:p w14:paraId="514E899D" w14:textId="77777777" w:rsidR="00FC4B79" w:rsidRDefault="00000000">
            <w:pPr>
              <w:spacing w:before="200" w:after="200" w:line="240" w:lineRule="auto"/>
              <w:ind w:firstLine="709"/>
              <w:jc w:val="both"/>
              <w:rPr>
                <w:rFonts w:ascii="Times New Roman" w:eastAsia="Times New Roman" w:hAnsi="Times New Roman" w:cs="Times New Roman"/>
                <w:b/>
                <w:bCs/>
                <w:sz w:val="26"/>
                <w:szCs w:val="26"/>
                <w:highlight w:val="white"/>
              </w:rPr>
            </w:pPr>
            <w:r>
              <w:rPr>
                <w:rFonts w:ascii="Times New Roman" w:eastAsia="Times New Roman" w:hAnsi="Times New Roman" w:cs="Times New Roman"/>
                <w:b/>
                <w:bCs/>
                <w:sz w:val="26"/>
                <w:szCs w:val="26"/>
                <w:highlight w:val="white"/>
              </w:rPr>
              <w:t xml:space="preserve">Directiva 2002/14/CE </w:t>
            </w:r>
          </w:p>
          <w:p w14:paraId="4D022C21" w14:textId="77777777" w:rsidR="00FC4B79" w:rsidRDefault="00000000">
            <w:pPr>
              <w:spacing w:before="200" w:after="20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Implementarea normelor conexe transpunerii Directivei 2002/14/CE și anume a modificărilor la art. 42</w:t>
            </w:r>
            <w:r>
              <w:rPr>
                <w:rFonts w:ascii="Times New Roman" w:eastAsia="Times New Roman" w:hAnsi="Times New Roman" w:cs="Times New Roman"/>
                <w:sz w:val="26"/>
                <w:szCs w:val="26"/>
                <w:highlight w:val="white"/>
                <w:vertAlign w:val="superscript"/>
              </w:rPr>
              <w:t xml:space="preserve">1 </w:t>
            </w:r>
            <w:r>
              <w:rPr>
                <w:rFonts w:ascii="Times New Roman" w:eastAsia="Times New Roman" w:hAnsi="Times New Roman" w:cs="Times New Roman"/>
                <w:sz w:val="26"/>
                <w:szCs w:val="26"/>
              </w:rPr>
              <w:t>din Codul muncii și art. 55 din Codul contravențional se va realiza, în cadrul competențelor instituționale existente, în limita alocațiilor bugetare aprobate.</w:t>
            </w:r>
          </w:p>
          <w:p w14:paraId="6763D949" w14:textId="77777777" w:rsidR="00FC4B79" w:rsidRDefault="00000000">
            <w:pPr>
              <w:spacing w:before="200" w:after="20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Impactul financiar este limitat la costuri administrative minime pentru angajatori (public și privat), generate de organizarea procedurii de informare și consultare a reprezentanților salariaților anterior adoptării deciziilor prevăzute de lege.</w:t>
            </w:r>
          </w:p>
          <w:p w14:paraId="7C93A38D" w14:textId="77777777" w:rsidR="00FC4B79" w:rsidRDefault="00000000">
            <w:pPr>
              <w:spacing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În caz de neconformare, angajatorii pot fi sancționați contravențional potrivit art. 55 alin. (1) lit. k) din Codul contravențional:</w:t>
            </w:r>
          </w:p>
          <w:p w14:paraId="46F656DA" w14:textId="77777777" w:rsidR="00FC4B79" w:rsidRDefault="00000000">
            <w:pPr>
              <w:spacing w:line="240" w:lineRule="auto"/>
              <w:ind w:firstLine="709"/>
              <w:jc w:val="both"/>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highlight w:val="white"/>
              </w:rPr>
              <w:t xml:space="preserve">– </w:t>
            </w:r>
            <w:r>
              <w:rPr>
                <w:rFonts w:ascii="Times New Roman" w:eastAsia="Times New Roman" w:hAnsi="Times New Roman" w:cs="Times New Roman"/>
                <w:i/>
                <w:iCs/>
                <w:sz w:val="26"/>
                <w:szCs w:val="26"/>
              </w:rPr>
              <w:t xml:space="preserve">Persoană fizică: 1.500 – 3.000 lei (30–60 </w:t>
            </w:r>
            <w:proofErr w:type="spellStart"/>
            <w:r>
              <w:rPr>
                <w:rFonts w:ascii="Times New Roman" w:eastAsia="Times New Roman" w:hAnsi="Times New Roman" w:cs="Times New Roman"/>
                <w:i/>
                <w:iCs/>
                <w:sz w:val="26"/>
                <w:szCs w:val="26"/>
              </w:rPr>
              <w:t>u.c</w:t>
            </w:r>
            <w:proofErr w:type="spellEnd"/>
            <w:r>
              <w:rPr>
                <w:rFonts w:ascii="Times New Roman" w:eastAsia="Times New Roman" w:hAnsi="Times New Roman" w:cs="Times New Roman"/>
                <w:i/>
                <w:iCs/>
                <w:sz w:val="26"/>
                <w:szCs w:val="26"/>
              </w:rPr>
              <w:t>.)</w:t>
            </w:r>
          </w:p>
          <w:p w14:paraId="736EC222" w14:textId="77777777" w:rsidR="00FC4B79" w:rsidRDefault="00000000">
            <w:pPr>
              <w:spacing w:line="240" w:lineRule="auto"/>
              <w:ind w:firstLine="709"/>
              <w:jc w:val="both"/>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highlight w:val="white"/>
              </w:rPr>
              <w:t xml:space="preserve">– </w:t>
            </w:r>
            <w:r>
              <w:rPr>
                <w:rFonts w:ascii="Times New Roman" w:eastAsia="Times New Roman" w:hAnsi="Times New Roman" w:cs="Times New Roman"/>
                <w:i/>
                <w:iCs/>
                <w:sz w:val="26"/>
                <w:szCs w:val="26"/>
              </w:rPr>
              <w:t xml:space="preserve">Persoană cu funcție de răspundere: 3.500 – 6.000 lei (70–120 </w:t>
            </w:r>
            <w:proofErr w:type="spellStart"/>
            <w:r>
              <w:rPr>
                <w:rFonts w:ascii="Times New Roman" w:eastAsia="Times New Roman" w:hAnsi="Times New Roman" w:cs="Times New Roman"/>
                <w:i/>
                <w:iCs/>
                <w:sz w:val="26"/>
                <w:szCs w:val="26"/>
              </w:rPr>
              <w:t>u.c</w:t>
            </w:r>
            <w:proofErr w:type="spellEnd"/>
            <w:r>
              <w:rPr>
                <w:rFonts w:ascii="Times New Roman" w:eastAsia="Times New Roman" w:hAnsi="Times New Roman" w:cs="Times New Roman"/>
                <w:i/>
                <w:iCs/>
                <w:sz w:val="26"/>
                <w:szCs w:val="26"/>
              </w:rPr>
              <w:t>.)</w:t>
            </w:r>
          </w:p>
          <w:p w14:paraId="7B1A837D" w14:textId="77777777" w:rsidR="00FC4B79" w:rsidRDefault="00000000">
            <w:pPr>
              <w:spacing w:line="240" w:lineRule="auto"/>
              <w:ind w:firstLine="709"/>
              <w:jc w:val="both"/>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highlight w:val="white"/>
              </w:rPr>
              <w:t xml:space="preserve">– </w:t>
            </w:r>
            <w:r>
              <w:rPr>
                <w:rFonts w:ascii="Times New Roman" w:eastAsia="Times New Roman" w:hAnsi="Times New Roman" w:cs="Times New Roman"/>
                <w:i/>
                <w:iCs/>
                <w:sz w:val="26"/>
                <w:szCs w:val="26"/>
              </w:rPr>
              <w:t xml:space="preserve">Persoană juridică: 7.500 – 12.000 lei (150–240 </w:t>
            </w:r>
            <w:proofErr w:type="spellStart"/>
            <w:r>
              <w:rPr>
                <w:rFonts w:ascii="Times New Roman" w:eastAsia="Times New Roman" w:hAnsi="Times New Roman" w:cs="Times New Roman"/>
                <w:i/>
                <w:iCs/>
                <w:sz w:val="26"/>
                <w:szCs w:val="26"/>
              </w:rPr>
              <w:t>u.c</w:t>
            </w:r>
            <w:proofErr w:type="spellEnd"/>
            <w:r>
              <w:rPr>
                <w:rFonts w:ascii="Times New Roman" w:eastAsia="Times New Roman" w:hAnsi="Times New Roman" w:cs="Times New Roman"/>
                <w:i/>
                <w:iCs/>
                <w:sz w:val="26"/>
                <w:szCs w:val="26"/>
              </w:rPr>
              <w:t>.)</w:t>
            </w:r>
          </w:p>
          <w:p w14:paraId="43335D67" w14:textId="77777777" w:rsidR="00FC4B79" w:rsidRDefault="00000000">
            <w:pPr>
              <w:spacing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Dacă încălcarea este săvârșită asupra unui minor, amenzile sunt:</w:t>
            </w:r>
          </w:p>
          <w:p w14:paraId="24931029" w14:textId="77777777" w:rsidR="00FC4B79" w:rsidRDefault="00000000">
            <w:pPr>
              <w:spacing w:line="240" w:lineRule="auto"/>
              <w:ind w:firstLine="709"/>
              <w:jc w:val="both"/>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highlight w:val="white"/>
              </w:rPr>
              <w:t xml:space="preserve">– </w:t>
            </w:r>
            <w:r>
              <w:rPr>
                <w:rFonts w:ascii="Times New Roman" w:eastAsia="Times New Roman" w:hAnsi="Times New Roman" w:cs="Times New Roman"/>
                <w:i/>
                <w:iCs/>
                <w:sz w:val="26"/>
                <w:szCs w:val="26"/>
              </w:rPr>
              <w:t xml:space="preserve">Persoană fizică: 2.500 – 4.000 lei (50–80 </w:t>
            </w:r>
            <w:proofErr w:type="spellStart"/>
            <w:r>
              <w:rPr>
                <w:rFonts w:ascii="Times New Roman" w:eastAsia="Times New Roman" w:hAnsi="Times New Roman" w:cs="Times New Roman"/>
                <w:i/>
                <w:iCs/>
                <w:sz w:val="26"/>
                <w:szCs w:val="26"/>
              </w:rPr>
              <w:t>u.c</w:t>
            </w:r>
            <w:proofErr w:type="spellEnd"/>
            <w:r>
              <w:rPr>
                <w:rFonts w:ascii="Times New Roman" w:eastAsia="Times New Roman" w:hAnsi="Times New Roman" w:cs="Times New Roman"/>
                <w:i/>
                <w:iCs/>
                <w:sz w:val="26"/>
                <w:szCs w:val="26"/>
              </w:rPr>
              <w:t>.)</w:t>
            </w:r>
          </w:p>
          <w:p w14:paraId="38DFC345" w14:textId="77777777" w:rsidR="00FC4B79" w:rsidRDefault="00000000">
            <w:pPr>
              <w:spacing w:line="240" w:lineRule="auto"/>
              <w:ind w:firstLine="709"/>
              <w:jc w:val="both"/>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highlight w:val="white"/>
              </w:rPr>
              <w:t xml:space="preserve">– </w:t>
            </w:r>
            <w:r>
              <w:rPr>
                <w:rFonts w:ascii="Times New Roman" w:eastAsia="Times New Roman" w:hAnsi="Times New Roman" w:cs="Times New Roman"/>
                <w:i/>
                <w:iCs/>
                <w:sz w:val="26"/>
                <w:szCs w:val="26"/>
              </w:rPr>
              <w:t xml:space="preserve">Persoană cu funcție de răspundere: 5.000 – 7.000 lei (100–140 </w:t>
            </w:r>
            <w:proofErr w:type="spellStart"/>
            <w:r>
              <w:rPr>
                <w:rFonts w:ascii="Times New Roman" w:eastAsia="Times New Roman" w:hAnsi="Times New Roman" w:cs="Times New Roman"/>
                <w:i/>
                <w:iCs/>
                <w:sz w:val="26"/>
                <w:szCs w:val="26"/>
              </w:rPr>
              <w:t>u.c</w:t>
            </w:r>
            <w:proofErr w:type="spellEnd"/>
            <w:r>
              <w:rPr>
                <w:rFonts w:ascii="Times New Roman" w:eastAsia="Times New Roman" w:hAnsi="Times New Roman" w:cs="Times New Roman"/>
                <w:i/>
                <w:iCs/>
                <w:sz w:val="26"/>
                <w:szCs w:val="26"/>
              </w:rPr>
              <w:t>.)</w:t>
            </w:r>
          </w:p>
          <w:p w14:paraId="7B5307C1" w14:textId="77777777" w:rsidR="00FC4B79" w:rsidRDefault="00000000">
            <w:pPr>
              <w:spacing w:line="240" w:lineRule="auto"/>
              <w:ind w:firstLine="709"/>
              <w:jc w:val="both"/>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highlight w:val="white"/>
              </w:rPr>
              <w:t xml:space="preserve">– </w:t>
            </w:r>
            <w:r>
              <w:rPr>
                <w:rFonts w:ascii="Times New Roman" w:eastAsia="Times New Roman" w:hAnsi="Times New Roman" w:cs="Times New Roman"/>
                <w:i/>
                <w:iCs/>
                <w:sz w:val="26"/>
                <w:szCs w:val="26"/>
              </w:rPr>
              <w:t xml:space="preserve">Persoană juridică: 10.000 – 15.000 lei (200–300 </w:t>
            </w:r>
            <w:proofErr w:type="spellStart"/>
            <w:r>
              <w:rPr>
                <w:rFonts w:ascii="Times New Roman" w:eastAsia="Times New Roman" w:hAnsi="Times New Roman" w:cs="Times New Roman"/>
                <w:i/>
                <w:iCs/>
                <w:sz w:val="26"/>
                <w:szCs w:val="26"/>
              </w:rPr>
              <w:t>u.c</w:t>
            </w:r>
            <w:proofErr w:type="spellEnd"/>
            <w:r>
              <w:rPr>
                <w:rFonts w:ascii="Times New Roman" w:eastAsia="Times New Roman" w:hAnsi="Times New Roman" w:cs="Times New Roman"/>
                <w:i/>
                <w:iCs/>
                <w:sz w:val="26"/>
                <w:szCs w:val="26"/>
              </w:rPr>
              <w:t>.)</w:t>
            </w:r>
          </w:p>
          <w:p w14:paraId="3B5D6136" w14:textId="77777777" w:rsidR="00FC4B79" w:rsidRDefault="00000000">
            <w:pPr>
              <w:spacing w:before="240" w:after="240" w:line="240" w:lineRule="auto"/>
              <w:ind w:firstLine="720"/>
              <w:jc w:val="both"/>
              <w:rPr>
                <w:rFonts w:ascii="Times New Roman" w:eastAsia="Times New Roman" w:hAnsi="Times New Roman" w:cs="Times New Roman"/>
                <w:b/>
                <w:bCs/>
                <w:sz w:val="26"/>
                <w:szCs w:val="26"/>
              </w:rPr>
            </w:pPr>
            <w:r>
              <w:rPr>
                <w:rFonts w:ascii="Times New Roman" w:eastAsia="Times New Roman" w:hAnsi="Times New Roman" w:cs="Times New Roman"/>
                <w:sz w:val="26"/>
                <w:szCs w:val="26"/>
              </w:rPr>
              <w:t>În consecință, impactul financiar al proiectului este redus, proporțional și determinat exclusiv de eventuale situații de neconformare.</w:t>
            </w:r>
          </w:p>
          <w:p w14:paraId="08673641" w14:textId="77777777" w:rsidR="00FC4B79" w:rsidRDefault="00000000">
            <w:pPr>
              <w:spacing w:before="240"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Date statistice privind disponibilizările 2019–2025 (sursa ANOFM):</w:t>
            </w:r>
          </w:p>
          <w:tbl>
            <w:tblPr>
              <w:tblStyle w:val="a6"/>
              <w:tblW w:w="8385" w:type="dxa"/>
              <w:tblInd w:w="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60"/>
              <w:gridCol w:w="825"/>
              <w:gridCol w:w="855"/>
              <w:gridCol w:w="855"/>
              <w:gridCol w:w="960"/>
              <w:gridCol w:w="990"/>
              <w:gridCol w:w="975"/>
              <w:gridCol w:w="1065"/>
            </w:tblGrid>
            <w:tr w:rsidR="00FC4B79" w14:paraId="7C3C4D66" w14:textId="77777777">
              <w:trPr>
                <w:trHeight w:val="716"/>
              </w:trPr>
              <w:tc>
                <w:tcPr>
                  <w:tcW w:w="1860" w:type="dxa"/>
                </w:tcPr>
                <w:p w14:paraId="7A9902B9" w14:textId="77777777" w:rsidR="00FC4B79" w:rsidRDefault="00FC4B79">
                  <w:pPr>
                    <w:spacing w:line="276" w:lineRule="auto"/>
                    <w:jc w:val="center"/>
                    <w:rPr>
                      <w:rFonts w:ascii="Times New Roman" w:eastAsia="Times New Roman" w:hAnsi="Times New Roman" w:cs="Times New Roman"/>
                      <w:sz w:val="20"/>
                      <w:szCs w:val="20"/>
                    </w:rPr>
                  </w:pPr>
                </w:p>
              </w:tc>
              <w:tc>
                <w:tcPr>
                  <w:tcW w:w="825" w:type="dxa"/>
                  <w:vAlign w:val="center"/>
                </w:tcPr>
                <w:p w14:paraId="5B0A6C5D" w14:textId="77777777" w:rsidR="00FC4B79" w:rsidRDefault="00000000">
                  <w:pPr>
                    <w:spacing w:line="276"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2019</w:t>
                  </w:r>
                </w:p>
              </w:tc>
              <w:tc>
                <w:tcPr>
                  <w:tcW w:w="855" w:type="dxa"/>
                  <w:vAlign w:val="center"/>
                </w:tcPr>
                <w:p w14:paraId="39EC210C" w14:textId="77777777" w:rsidR="00FC4B79" w:rsidRDefault="00000000">
                  <w:pPr>
                    <w:spacing w:line="276"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2020</w:t>
                  </w:r>
                </w:p>
              </w:tc>
              <w:tc>
                <w:tcPr>
                  <w:tcW w:w="855" w:type="dxa"/>
                  <w:vAlign w:val="center"/>
                </w:tcPr>
                <w:p w14:paraId="32BCAD77" w14:textId="77777777" w:rsidR="00FC4B79" w:rsidRDefault="00000000">
                  <w:pPr>
                    <w:spacing w:line="276"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2021</w:t>
                  </w:r>
                </w:p>
              </w:tc>
              <w:tc>
                <w:tcPr>
                  <w:tcW w:w="960" w:type="dxa"/>
                  <w:vAlign w:val="center"/>
                </w:tcPr>
                <w:p w14:paraId="0B577B7C" w14:textId="77777777" w:rsidR="00FC4B79" w:rsidRDefault="00000000">
                  <w:pPr>
                    <w:spacing w:line="276"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2022</w:t>
                  </w:r>
                </w:p>
              </w:tc>
              <w:tc>
                <w:tcPr>
                  <w:tcW w:w="990" w:type="dxa"/>
                  <w:vAlign w:val="center"/>
                </w:tcPr>
                <w:p w14:paraId="362901F0" w14:textId="77777777" w:rsidR="00FC4B79"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2023</w:t>
                  </w:r>
                </w:p>
              </w:tc>
              <w:tc>
                <w:tcPr>
                  <w:tcW w:w="975" w:type="dxa"/>
                  <w:vAlign w:val="center"/>
                </w:tcPr>
                <w:p w14:paraId="5E3C2F60" w14:textId="77777777" w:rsidR="00FC4B79"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2024</w:t>
                  </w:r>
                </w:p>
              </w:tc>
              <w:tc>
                <w:tcPr>
                  <w:tcW w:w="1065" w:type="dxa"/>
                  <w:vAlign w:val="center"/>
                </w:tcPr>
                <w:p w14:paraId="45F251E3" w14:textId="77777777" w:rsidR="00FC4B79"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2025</w:t>
                  </w:r>
                </w:p>
              </w:tc>
            </w:tr>
            <w:tr w:rsidR="00FC4B79" w14:paraId="47ECC23E" w14:textId="77777777">
              <w:trPr>
                <w:trHeight w:val="805"/>
              </w:trPr>
              <w:tc>
                <w:tcPr>
                  <w:tcW w:w="1860" w:type="dxa"/>
                </w:tcPr>
                <w:p w14:paraId="30723D63" w14:textId="77777777" w:rsidR="00FC4B79" w:rsidRDefault="00000000">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Nr. agenților economici, care au prezentat informații privind disponibilizarea personalului</w:t>
                  </w:r>
                </w:p>
              </w:tc>
              <w:tc>
                <w:tcPr>
                  <w:tcW w:w="825" w:type="dxa"/>
                  <w:vAlign w:val="center"/>
                </w:tcPr>
                <w:p w14:paraId="29A9D835" w14:textId="77777777" w:rsidR="00FC4B79"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174</w:t>
                  </w:r>
                </w:p>
              </w:tc>
              <w:tc>
                <w:tcPr>
                  <w:tcW w:w="855" w:type="dxa"/>
                  <w:vAlign w:val="center"/>
                </w:tcPr>
                <w:p w14:paraId="73D8298A" w14:textId="77777777" w:rsidR="00FC4B79" w:rsidRDefault="00000000">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194</w:t>
                  </w:r>
                </w:p>
              </w:tc>
              <w:tc>
                <w:tcPr>
                  <w:tcW w:w="855" w:type="dxa"/>
                  <w:vAlign w:val="center"/>
                </w:tcPr>
                <w:p w14:paraId="46BE8D7E" w14:textId="77777777" w:rsidR="00FC4B79" w:rsidRDefault="00000000">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190</w:t>
                  </w:r>
                </w:p>
              </w:tc>
              <w:tc>
                <w:tcPr>
                  <w:tcW w:w="960" w:type="dxa"/>
                  <w:vAlign w:val="center"/>
                </w:tcPr>
                <w:p w14:paraId="1746E614" w14:textId="77777777" w:rsidR="00FC4B79" w:rsidRDefault="00000000">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206</w:t>
                  </w:r>
                </w:p>
              </w:tc>
              <w:tc>
                <w:tcPr>
                  <w:tcW w:w="990" w:type="dxa"/>
                  <w:vAlign w:val="center"/>
                </w:tcPr>
                <w:p w14:paraId="15F555CD" w14:textId="77777777" w:rsidR="00FC4B79"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223</w:t>
                  </w:r>
                </w:p>
              </w:tc>
              <w:tc>
                <w:tcPr>
                  <w:tcW w:w="975" w:type="dxa"/>
                  <w:vAlign w:val="center"/>
                </w:tcPr>
                <w:p w14:paraId="7FE9465A" w14:textId="77777777" w:rsidR="00FC4B79"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257</w:t>
                  </w:r>
                </w:p>
              </w:tc>
              <w:tc>
                <w:tcPr>
                  <w:tcW w:w="10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33CE355" w14:textId="77777777" w:rsidR="00FC4B79" w:rsidRDefault="00FC4B79">
                  <w:pPr>
                    <w:spacing w:before="240" w:after="240"/>
                    <w:ind w:left="-860"/>
                    <w:jc w:val="right"/>
                    <w:rPr>
                      <w:rFonts w:ascii="Times New Roman" w:eastAsia="Times New Roman" w:hAnsi="Times New Roman" w:cs="Times New Roman"/>
                      <w:sz w:val="20"/>
                      <w:szCs w:val="20"/>
                    </w:rPr>
                  </w:pPr>
                </w:p>
                <w:p w14:paraId="41E9F870" w14:textId="77777777" w:rsidR="00FC4B79" w:rsidRDefault="00000000">
                  <w:pPr>
                    <w:spacing w:before="240" w:after="240"/>
                    <w:ind w:left="-86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190</w:t>
                  </w:r>
                </w:p>
              </w:tc>
            </w:tr>
            <w:tr w:rsidR="00FC4B79" w14:paraId="52EBEFD1" w14:textId="77777777">
              <w:trPr>
                <w:trHeight w:val="805"/>
              </w:trPr>
              <w:tc>
                <w:tcPr>
                  <w:tcW w:w="1860" w:type="dxa"/>
                </w:tcPr>
                <w:p w14:paraId="60E4B164" w14:textId="77777777" w:rsidR="00FC4B79" w:rsidRDefault="00000000">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Nr. salariaților preavizați</w:t>
                  </w:r>
                </w:p>
                <w:p w14:paraId="4076469C" w14:textId="77777777" w:rsidR="00FC4B79" w:rsidRDefault="00000000">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pentru disponibilizare,</w:t>
                  </w:r>
                </w:p>
                <w:p w14:paraId="147F9D20" w14:textId="77777777" w:rsidR="00FC4B79" w:rsidRDefault="00000000">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dintre care:</w:t>
                  </w:r>
                </w:p>
              </w:tc>
              <w:tc>
                <w:tcPr>
                  <w:tcW w:w="825" w:type="dxa"/>
                  <w:vAlign w:val="center"/>
                </w:tcPr>
                <w:p w14:paraId="7EBB8EEA" w14:textId="77777777" w:rsidR="00FC4B79"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1283</w:t>
                  </w:r>
                </w:p>
              </w:tc>
              <w:tc>
                <w:tcPr>
                  <w:tcW w:w="855" w:type="dxa"/>
                  <w:vAlign w:val="center"/>
                </w:tcPr>
                <w:p w14:paraId="7C66B358" w14:textId="77777777" w:rsidR="00FC4B79" w:rsidRDefault="00000000">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1157</w:t>
                  </w:r>
                </w:p>
              </w:tc>
              <w:tc>
                <w:tcPr>
                  <w:tcW w:w="855" w:type="dxa"/>
                  <w:vAlign w:val="center"/>
                </w:tcPr>
                <w:p w14:paraId="0AFB3F6B" w14:textId="77777777" w:rsidR="00FC4B79" w:rsidRDefault="00000000">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921</w:t>
                  </w:r>
                </w:p>
              </w:tc>
              <w:tc>
                <w:tcPr>
                  <w:tcW w:w="960" w:type="dxa"/>
                  <w:vAlign w:val="center"/>
                </w:tcPr>
                <w:p w14:paraId="63BC9681" w14:textId="77777777" w:rsidR="00FC4B79" w:rsidRDefault="00000000">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2663</w:t>
                  </w:r>
                </w:p>
              </w:tc>
              <w:tc>
                <w:tcPr>
                  <w:tcW w:w="990" w:type="dxa"/>
                  <w:vAlign w:val="center"/>
                </w:tcPr>
                <w:p w14:paraId="54E6BA43" w14:textId="77777777" w:rsidR="00FC4B79"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4952</w:t>
                  </w:r>
                </w:p>
              </w:tc>
              <w:tc>
                <w:tcPr>
                  <w:tcW w:w="975" w:type="dxa"/>
                  <w:vAlign w:val="center"/>
                </w:tcPr>
                <w:p w14:paraId="32848FA8" w14:textId="77777777" w:rsidR="00FC4B79"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2588</w:t>
                  </w:r>
                </w:p>
              </w:tc>
              <w:tc>
                <w:tcPr>
                  <w:tcW w:w="10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287E86A" w14:textId="77777777" w:rsidR="00FC4B79" w:rsidRDefault="00000000">
                  <w:pPr>
                    <w:spacing w:before="240" w:after="240"/>
                    <w:ind w:left="-86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1349</w:t>
                  </w:r>
                </w:p>
              </w:tc>
            </w:tr>
            <w:tr w:rsidR="00FC4B79" w14:paraId="45253E67" w14:textId="77777777">
              <w:trPr>
                <w:trHeight w:val="578"/>
              </w:trPr>
              <w:tc>
                <w:tcPr>
                  <w:tcW w:w="1860" w:type="dxa"/>
                </w:tcPr>
                <w:p w14:paraId="405BFF71" w14:textId="77777777" w:rsidR="00FC4B79" w:rsidRDefault="00000000">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femei, </w:t>
                  </w:r>
                </w:p>
                <w:p w14:paraId="246355B7" w14:textId="77777777" w:rsidR="00FC4B79" w:rsidRDefault="00000000">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din total salariați preavizați</w:t>
                  </w:r>
                </w:p>
              </w:tc>
              <w:tc>
                <w:tcPr>
                  <w:tcW w:w="825" w:type="dxa"/>
                  <w:vAlign w:val="center"/>
                </w:tcPr>
                <w:p w14:paraId="11DC01C9" w14:textId="77777777" w:rsidR="00FC4B79"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597</w:t>
                  </w:r>
                </w:p>
                <w:p w14:paraId="403D2741" w14:textId="77777777" w:rsidR="00FC4B79"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i/>
                      <w:iCs/>
                      <w:sz w:val="20"/>
                      <w:szCs w:val="20"/>
                    </w:rPr>
                    <w:t>46,5%</w:t>
                  </w:r>
                </w:p>
              </w:tc>
              <w:tc>
                <w:tcPr>
                  <w:tcW w:w="855" w:type="dxa"/>
                  <w:vAlign w:val="center"/>
                </w:tcPr>
                <w:p w14:paraId="0517BB0A" w14:textId="77777777" w:rsidR="00FC4B79" w:rsidRDefault="00000000">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618</w:t>
                  </w:r>
                </w:p>
                <w:p w14:paraId="7A6F1A9D" w14:textId="77777777" w:rsidR="00FC4B79" w:rsidRDefault="00000000">
                  <w:pPr>
                    <w:spacing w:line="276"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53,4%</w:t>
                  </w:r>
                </w:p>
              </w:tc>
              <w:tc>
                <w:tcPr>
                  <w:tcW w:w="855" w:type="dxa"/>
                  <w:vAlign w:val="center"/>
                </w:tcPr>
                <w:p w14:paraId="135CEAC8" w14:textId="77777777" w:rsidR="00FC4B79" w:rsidRDefault="00000000">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477</w:t>
                  </w:r>
                </w:p>
                <w:p w14:paraId="6EA7A3F0" w14:textId="77777777" w:rsidR="00FC4B79" w:rsidRDefault="00000000">
                  <w:pPr>
                    <w:spacing w:line="276"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51,8%</w:t>
                  </w:r>
                </w:p>
              </w:tc>
              <w:tc>
                <w:tcPr>
                  <w:tcW w:w="960" w:type="dxa"/>
                  <w:vAlign w:val="center"/>
                </w:tcPr>
                <w:p w14:paraId="3049319D" w14:textId="77777777" w:rsidR="00FC4B79" w:rsidRDefault="00000000">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1170</w:t>
                  </w:r>
                </w:p>
                <w:p w14:paraId="03011E98" w14:textId="77777777" w:rsidR="00FC4B79" w:rsidRDefault="00000000">
                  <w:pPr>
                    <w:spacing w:line="276"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43,9%</w:t>
                  </w:r>
                </w:p>
              </w:tc>
              <w:tc>
                <w:tcPr>
                  <w:tcW w:w="990" w:type="dxa"/>
                  <w:vAlign w:val="center"/>
                </w:tcPr>
                <w:p w14:paraId="5CFF566E" w14:textId="77777777" w:rsidR="00FC4B79"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3942</w:t>
                  </w:r>
                </w:p>
                <w:p w14:paraId="4AA3900E" w14:textId="77777777" w:rsidR="00FC4B79"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i/>
                      <w:iCs/>
                      <w:sz w:val="20"/>
                      <w:szCs w:val="20"/>
                    </w:rPr>
                    <w:t>79,6%</w:t>
                  </w:r>
                </w:p>
              </w:tc>
              <w:tc>
                <w:tcPr>
                  <w:tcW w:w="975" w:type="dxa"/>
                  <w:vAlign w:val="center"/>
                </w:tcPr>
                <w:p w14:paraId="7FDA4E9C" w14:textId="77777777" w:rsidR="00FC4B79"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1558</w:t>
                  </w:r>
                </w:p>
                <w:p w14:paraId="7506BB97" w14:textId="77777777" w:rsidR="00FC4B79" w:rsidRDefault="00000000">
                  <w:pPr>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60,2%</w:t>
                  </w:r>
                </w:p>
              </w:tc>
              <w:tc>
                <w:tcPr>
                  <w:tcW w:w="106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E57990D" w14:textId="77777777" w:rsidR="00FC4B79" w:rsidRDefault="00000000">
                  <w:pPr>
                    <w:spacing w:before="240" w:after="240"/>
                    <w:ind w:left="-860"/>
                    <w:jc w:val="right"/>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855</w:t>
                  </w:r>
                </w:p>
                <w:p w14:paraId="219751AE" w14:textId="77777777" w:rsidR="00FC4B79" w:rsidRDefault="00000000">
                  <w:pPr>
                    <w:spacing w:before="240" w:after="240"/>
                    <w:ind w:left="-860"/>
                    <w:jc w:val="right"/>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63,4%</w:t>
                  </w:r>
                </w:p>
              </w:tc>
            </w:tr>
            <w:tr w:rsidR="00FC4B79" w14:paraId="4937BCD2" w14:textId="77777777">
              <w:trPr>
                <w:trHeight w:val="537"/>
              </w:trPr>
              <w:tc>
                <w:tcPr>
                  <w:tcW w:w="1860" w:type="dxa"/>
                </w:tcPr>
                <w:p w14:paraId="40D7C61E" w14:textId="77777777" w:rsidR="00FC4B79" w:rsidRDefault="00000000">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tineri 16-29 ani,</w:t>
                  </w:r>
                </w:p>
                <w:p w14:paraId="30D8386D" w14:textId="77777777" w:rsidR="00FC4B79" w:rsidRDefault="00000000">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din total salariați preavizați</w:t>
                  </w:r>
                </w:p>
              </w:tc>
              <w:tc>
                <w:tcPr>
                  <w:tcW w:w="825" w:type="dxa"/>
                  <w:vAlign w:val="center"/>
                </w:tcPr>
                <w:p w14:paraId="71F98B08" w14:textId="77777777" w:rsidR="00FC4B79"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92</w:t>
                  </w:r>
                </w:p>
                <w:p w14:paraId="0D579F28" w14:textId="77777777" w:rsidR="00FC4B79"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i/>
                      <w:iCs/>
                      <w:sz w:val="20"/>
                      <w:szCs w:val="20"/>
                    </w:rPr>
                    <w:t>7,2%</w:t>
                  </w:r>
                </w:p>
              </w:tc>
              <w:tc>
                <w:tcPr>
                  <w:tcW w:w="855" w:type="dxa"/>
                  <w:vAlign w:val="center"/>
                </w:tcPr>
                <w:p w14:paraId="75816EB6" w14:textId="77777777" w:rsidR="00FC4B79" w:rsidRDefault="00000000">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104</w:t>
                  </w:r>
                </w:p>
                <w:p w14:paraId="01812A44" w14:textId="77777777" w:rsidR="00FC4B79" w:rsidRDefault="00000000">
                  <w:pPr>
                    <w:spacing w:line="276"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9,0%</w:t>
                  </w:r>
                </w:p>
              </w:tc>
              <w:tc>
                <w:tcPr>
                  <w:tcW w:w="855" w:type="dxa"/>
                  <w:vAlign w:val="center"/>
                </w:tcPr>
                <w:p w14:paraId="533F26C7" w14:textId="77777777" w:rsidR="00FC4B79" w:rsidRDefault="00000000">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83</w:t>
                  </w:r>
                </w:p>
                <w:p w14:paraId="38BF835A" w14:textId="77777777" w:rsidR="00FC4B79" w:rsidRDefault="00000000">
                  <w:pPr>
                    <w:spacing w:line="276"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9,0%</w:t>
                  </w:r>
                </w:p>
              </w:tc>
              <w:tc>
                <w:tcPr>
                  <w:tcW w:w="960" w:type="dxa"/>
                  <w:vAlign w:val="center"/>
                </w:tcPr>
                <w:p w14:paraId="261ED795" w14:textId="77777777" w:rsidR="00FC4B79" w:rsidRDefault="00000000">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316</w:t>
                  </w:r>
                </w:p>
                <w:p w14:paraId="08413856" w14:textId="77777777" w:rsidR="00FC4B79" w:rsidRDefault="00000000">
                  <w:pPr>
                    <w:spacing w:line="276"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11,9%</w:t>
                  </w:r>
                </w:p>
              </w:tc>
              <w:tc>
                <w:tcPr>
                  <w:tcW w:w="990" w:type="dxa"/>
                  <w:vAlign w:val="center"/>
                </w:tcPr>
                <w:p w14:paraId="491B007A" w14:textId="77777777" w:rsidR="00FC4B79"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303</w:t>
                  </w:r>
                </w:p>
                <w:p w14:paraId="2BEE1BDE" w14:textId="77777777" w:rsidR="00FC4B79" w:rsidRDefault="00000000">
                  <w:pPr>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6,1%</w:t>
                  </w:r>
                </w:p>
              </w:tc>
              <w:tc>
                <w:tcPr>
                  <w:tcW w:w="975" w:type="dxa"/>
                  <w:vAlign w:val="center"/>
                </w:tcPr>
                <w:p w14:paraId="68AFDB6D" w14:textId="77777777" w:rsidR="00FC4B79"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325</w:t>
                  </w:r>
                </w:p>
                <w:p w14:paraId="3D81E540" w14:textId="77777777" w:rsidR="00FC4B79" w:rsidRDefault="00000000">
                  <w:pPr>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12,6%</w:t>
                  </w:r>
                </w:p>
              </w:tc>
              <w:tc>
                <w:tcPr>
                  <w:tcW w:w="106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B449D5F" w14:textId="77777777" w:rsidR="00FC4B79" w:rsidRDefault="00000000">
                  <w:pPr>
                    <w:spacing w:before="240" w:after="240"/>
                    <w:ind w:left="-860"/>
                    <w:jc w:val="right"/>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94</w:t>
                  </w:r>
                </w:p>
                <w:p w14:paraId="5256062D" w14:textId="77777777" w:rsidR="00FC4B79" w:rsidRDefault="00000000">
                  <w:pPr>
                    <w:spacing w:before="240" w:after="240"/>
                    <w:ind w:left="-860"/>
                    <w:jc w:val="right"/>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7%</w:t>
                  </w:r>
                </w:p>
              </w:tc>
            </w:tr>
            <w:tr w:rsidR="00FC4B79" w14:paraId="1FDDED81" w14:textId="77777777">
              <w:trPr>
                <w:trHeight w:val="1059"/>
              </w:trPr>
              <w:tc>
                <w:tcPr>
                  <w:tcW w:w="1860" w:type="dxa"/>
                </w:tcPr>
                <w:p w14:paraId="7A53A146" w14:textId="77777777" w:rsidR="00FC4B79" w:rsidRDefault="00000000">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Nr. beneficiari de servicii de preconcediere,</w:t>
                  </w:r>
                </w:p>
                <w:p w14:paraId="755EE43A" w14:textId="77777777" w:rsidR="00FC4B79" w:rsidRDefault="00000000">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dintre care:</w:t>
                  </w:r>
                </w:p>
              </w:tc>
              <w:tc>
                <w:tcPr>
                  <w:tcW w:w="825" w:type="dxa"/>
                  <w:vAlign w:val="center"/>
                </w:tcPr>
                <w:p w14:paraId="54667131" w14:textId="77777777" w:rsidR="00FC4B79"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317</w:t>
                  </w:r>
                </w:p>
                <w:p w14:paraId="791142D5" w14:textId="77777777" w:rsidR="00FC4B79"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i/>
                      <w:iCs/>
                      <w:sz w:val="20"/>
                      <w:szCs w:val="20"/>
                    </w:rPr>
                    <w:t>24,7%</w:t>
                  </w:r>
                </w:p>
              </w:tc>
              <w:tc>
                <w:tcPr>
                  <w:tcW w:w="855" w:type="dxa"/>
                  <w:vAlign w:val="center"/>
                </w:tcPr>
                <w:p w14:paraId="263DE402" w14:textId="77777777" w:rsidR="00FC4B79" w:rsidRDefault="00000000">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410</w:t>
                  </w:r>
                </w:p>
                <w:p w14:paraId="2F60F9AB" w14:textId="77777777" w:rsidR="00FC4B79" w:rsidRDefault="00000000">
                  <w:pPr>
                    <w:spacing w:line="276"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35,4%</w:t>
                  </w:r>
                </w:p>
              </w:tc>
              <w:tc>
                <w:tcPr>
                  <w:tcW w:w="855" w:type="dxa"/>
                  <w:vAlign w:val="center"/>
                </w:tcPr>
                <w:p w14:paraId="3656DFE7" w14:textId="77777777" w:rsidR="00FC4B79" w:rsidRDefault="00000000">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294</w:t>
                  </w:r>
                </w:p>
                <w:p w14:paraId="3DD85F09" w14:textId="77777777" w:rsidR="00FC4B79" w:rsidRDefault="00000000">
                  <w:pPr>
                    <w:spacing w:line="276"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31,9%</w:t>
                  </w:r>
                </w:p>
              </w:tc>
              <w:tc>
                <w:tcPr>
                  <w:tcW w:w="960" w:type="dxa"/>
                  <w:vAlign w:val="center"/>
                </w:tcPr>
                <w:p w14:paraId="30C2A600" w14:textId="77777777" w:rsidR="00FC4B79" w:rsidRDefault="00000000">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529</w:t>
                  </w:r>
                </w:p>
                <w:p w14:paraId="36671DA6" w14:textId="77777777" w:rsidR="00FC4B79" w:rsidRDefault="00000000">
                  <w:pPr>
                    <w:spacing w:line="276"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19,9%</w:t>
                  </w:r>
                </w:p>
              </w:tc>
              <w:tc>
                <w:tcPr>
                  <w:tcW w:w="990" w:type="dxa"/>
                  <w:vAlign w:val="center"/>
                </w:tcPr>
                <w:p w14:paraId="2CE9465E" w14:textId="77777777" w:rsidR="00FC4B79"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2504</w:t>
                  </w:r>
                </w:p>
                <w:p w14:paraId="0C3D4E8E" w14:textId="77777777" w:rsidR="00FC4B79" w:rsidRDefault="00000000">
                  <w:pPr>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50,6%</w:t>
                  </w:r>
                </w:p>
              </w:tc>
              <w:tc>
                <w:tcPr>
                  <w:tcW w:w="975" w:type="dxa"/>
                  <w:vAlign w:val="center"/>
                </w:tcPr>
                <w:p w14:paraId="26FB5F3A" w14:textId="77777777" w:rsidR="00FC4B79"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1188</w:t>
                  </w:r>
                </w:p>
                <w:p w14:paraId="1480EC0B" w14:textId="77777777" w:rsidR="00FC4B79" w:rsidRDefault="00000000">
                  <w:pPr>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45,9%</w:t>
                  </w:r>
                </w:p>
              </w:tc>
              <w:tc>
                <w:tcPr>
                  <w:tcW w:w="106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0EC2FC6" w14:textId="77777777" w:rsidR="00FC4B79" w:rsidRDefault="00000000">
                  <w:pPr>
                    <w:spacing w:before="240" w:after="240"/>
                    <w:ind w:left="-860"/>
                    <w:jc w:val="right"/>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811</w:t>
                  </w:r>
                </w:p>
                <w:p w14:paraId="6FF1873C" w14:textId="77777777" w:rsidR="00FC4B79" w:rsidRDefault="00000000">
                  <w:pPr>
                    <w:spacing w:before="240" w:after="240"/>
                    <w:ind w:left="-860"/>
                    <w:jc w:val="right"/>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60,1%</w:t>
                  </w:r>
                </w:p>
              </w:tc>
            </w:tr>
            <w:tr w:rsidR="00FC4B79" w14:paraId="2EC4A9AE" w14:textId="77777777">
              <w:trPr>
                <w:trHeight w:val="583"/>
              </w:trPr>
              <w:tc>
                <w:tcPr>
                  <w:tcW w:w="1860" w:type="dxa"/>
                </w:tcPr>
                <w:p w14:paraId="1FED2623" w14:textId="77777777" w:rsidR="00FC4B79" w:rsidRDefault="00000000">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femei, </w:t>
                  </w:r>
                </w:p>
                <w:p w14:paraId="67DCD000" w14:textId="77777777" w:rsidR="00FC4B79" w:rsidRDefault="00000000">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din total beneficiari</w:t>
                  </w:r>
                </w:p>
              </w:tc>
              <w:tc>
                <w:tcPr>
                  <w:tcW w:w="825" w:type="dxa"/>
                  <w:vAlign w:val="center"/>
                </w:tcPr>
                <w:p w14:paraId="1D246E30" w14:textId="77777777" w:rsidR="00FC4B79"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176</w:t>
                  </w:r>
                </w:p>
                <w:p w14:paraId="19A3E747" w14:textId="77777777" w:rsidR="00FC4B79"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i/>
                      <w:iCs/>
                      <w:sz w:val="20"/>
                      <w:szCs w:val="20"/>
                    </w:rPr>
                    <w:t>55,5%</w:t>
                  </w:r>
                </w:p>
              </w:tc>
              <w:tc>
                <w:tcPr>
                  <w:tcW w:w="855" w:type="dxa"/>
                  <w:vAlign w:val="center"/>
                </w:tcPr>
                <w:p w14:paraId="3FEC5F57" w14:textId="77777777" w:rsidR="00FC4B79" w:rsidRDefault="00000000">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273</w:t>
                  </w:r>
                </w:p>
                <w:p w14:paraId="6A12708F" w14:textId="77777777" w:rsidR="00FC4B79" w:rsidRDefault="00000000">
                  <w:pPr>
                    <w:spacing w:line="276"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66,6%</w:t>
                  </w:r>
                </w:p>
              </w:tc>
              <w:tc>
                <w:tcPr>
                  <w:tcW w:w="855" w:type="dxa"/>
                  <w:vAlign w:val="center"/>
                </w:tcPr>
                <w:p w14:paraId="607503A0" w14:textId="77777777" w:rsidR="00FC4B79" w:rsidRDefault="00000000">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127</w:t>
                  </w:r>
                </w:p>
                <w:p w14:paraId="0418FDA0" w14:textId="77777777" w:rsidR="00FC4B79" w:rsidRDefault="00000000">
                  <w:pPr>
                    <w:spacing w:line="276"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43,2%</w:t>
                  </w:r>
                </w:p>
              </w:tc>
              <w:tc>
                <w:tcPr>
                  <w:tcW w:w="960" w:type="dxa"/>
                  <w:vAlign w:val="center"/>
                </w:tcPr>
                <w:p w14:paraId="4DC69733" w14:textId="77777777" w:rsidR="00FC4B79" w:rsidRDefault="00000000">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p w14:paraId="56A36295" w14:textId="77777777" w:rsidR="00FC4B79" w:rsidRDefault="00000000">
                  <w:pPr>
                    <w:spacing w:line="276"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56,7%</w:t>
                  </w:r>
                </w:p>
              </w:tc>
              <w:tc>
                <w:tcPr>
                  <w:tcW w:w="990" w:type="dxa"/>
                  <w:vAlign w:val="center"/>
                </w:tcPr>
                <w:p w14:paraId="5509CCEA" w14:textId="77777777" w:rsidR="00FC4B79"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1685</w:t>
                  </w:r>
                </w:p>
                <w:p w14:paraId="7406FE3A" w14:textId="77777777" w:rsidR="00FC4B79" w:rsidRDefault="00000000">
                  <w:pPr>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67,3%</w:t>
                  </w:r>
                </w:p>
              </w:tc>
              <w:tc>
                <w:tcPr>
                  <w:tcW w:w="975" w:type="dxa"/>
                  <w:vAlign w:val="center"/>
                </w:tcPr>
                <w:p w14:paraId="4B53F360" w14:textId="77777777" w:rsidR="00FC4B79"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565</w:t>
                  </w:r>
                </w:p>
                <w:p w14:paraId="6EAC90E6" w14:textId="77777777" w:rsidR="00FC4B79" w:rsidRDefault="00000000">
                  <w:pPr>
                    <w:spacing w:line="36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47,6%</w:t>
                  </w:r>
                </w:p>
              </w:tc>
              <w:tc>
                <w:tcPr>
                  <w:tcW w:w="106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D3FBE63" w14:textId="77777777" w:rsidR="00FC4B79" w:rsidRDefault="00000000">
                  <w:pPr>
                    <w:spacing w:before="240" w:after="240"/>
                    <w:ind w:left="-860"/>
                    <w:jc w:val="right"/>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558</w:t>
                  </w:r>
                </w:p>
                <w:p w14:paraId="4177DF77" w14:textId="77777777" w:rsidR="00FC4B79" w:rsidRDefault="00000000">
                  <w:pPr>
                    <w:spacing w:before="240" w:after="240"/>
                    <w:ind w:left="-860"/>
                    <w:jc w:val="right"/>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lastRenderedPageBreak/>
                    <w:t>68,8%</w:t>
                  </w:r>
                </w:p>
              </w:tc>
            </w:tr>
            <w:tr w:rsidR="00FC4B79" w14:paraId="12D798AE" w14:textId="77777777">
              <w:trPr>
                <w:trHeight w:val="537"/>
              </w:trPr>
              <w:tc>
                <w:tcPr>
                  <w:tcW w:w="1860" w:type="dxa"/>
                </w:tcPr>
                <w:p w14:paraId="49AE3CB2" w14:textId="77777777" w:rsidR="00FC4B79" w:rsidRDefault="00000000">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Tineri 16-29 ani,</w:t>
                  </w:r>
                </w:p>
                <w:p w14:paraId="3C5B5341" w14:textId="77777777" w:rsidR="00FC4B79" w:rsidRDefault="00000000">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din total beneficiari </w:t>
                  </w:r>
                </w:p>
              </w:tc>
              <w:tc>
                <w:tcPr>
                  <w:tcW w:w="825" w:type="dxa"/>
                  <w:vAlign w:val="center"/>
                </w:tcPr>
                <w:p w14:paraId="1695AF3F" w14:textId="77777777" w:rsidR="00FC4B79"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p w14:paraId="0770B412" w14:textId="77777777" w:rsidR="00FC4B79"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i/>
                      <w:iCs/>
                      <w:sz w:val="20"/>
                      <w:szCs w:val="20"/>
                    </w:rPr>
                    <w:t>5,7%</w:t>
                  </w:r>
                </w:p>
              </w:tc>
              <w:tc>
                <w:tcPr>
                  <w:tcW w:w="855" w:type="dxa"/>
                  <w:vAlign w:val="center"/>
                </w:tcPr>
                <w:p w14:paraId="09B8C227" w14:textId="77777777" w:rsidR="00FC4B79" w:rsidRDefault="00000000">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41</w:t>
                  </w:r>
                </w:p>
                <w:p w14:paraId="0FFCFAB5" w14:textId="77777777" w:rsidR="00FC4B79" w:rsidRDefault="00000000">
                  <w:pPr>
                    <w:spacing w:line="276"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10,0%</w:t>
                  </w:r>
                </w:p>
              </w:tc>
              <w:tc>
                <w:tcPr>
                  <w:tcW w:w="855" w:type="dxa"/>
                  <w:vAlign w:val="center"/>
                </w:tcPr>
                <w:p w14:paraId="772AAF7E" w14:textId="77777777" w:rsidR="00FC4B79" w:rsidRDefault="00000000">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p w14:paraId="3B9B6863" w14:textId="77777777" w:rsidR="00FC4B79" w:rsidRDefault="00000000">
                  <w:pPr>
                    <w:spacing w:line="276"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6,8%</w:t>
                  </w:r>
                </w:p>
              </w:tc>
              <w:tc>
                <w:tcPr>
                  <w:tcW w:w="960" w:type="dxa"/>
                  <w:vAlign w:val="center"/>
                </w:tcPr>
                <w:p w14:paraId="5400824B" w14:textId="77777777" w:rsidR="00FC4B79" w:rsidRDefault="00000000">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w:t>
                  </w:r>
                </w:p>
                <w:p w14:paraId="32935967" w14:textId="77777777" w:rsidR="00FC4B79" w:rsidRDefault="00000000">
                  <w:pPr>
                    <w:spacing w:line="276"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13,0%</w:t>
                  </w:r>
                </w:p>
              </w:tc>
              <w:tc>
                <w:tcPr>
                  <w:tcW w:w="990" w:type="dxa"/>
                  <w:vAlign w:val="center"/>
                </w:tcPr>
                <w:p w14:paraId="59D99C4F" w14:textId="77777777" w:rsidR="00FC4B79"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203</w:t>
                  </w:r>
                </w:p>
                <w:p w14:paraId="0C4E5F04" w14:textId="77777777" w:rsidR="00FC4B79" w:rsidRDefault="00000000">
                  <w:pPr>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8,1%</w:t>
                  </w:r>
                </w:p>
              </w:tc>
              <w:tc>
                <w:tcPr>
                  <w:tcW w:w="975" w:type="dxa"/>
                  <w:vAlign w:val="center"/>
                </w:tcPr>
                <w:p w14:paraId="359FC78A" w14:textId="77777777" w:rsidR="00FC4B79"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96</w:t>
                  </w:r>
                </w:p>
                <w:p w14:paraId="4DB6BD9E" w14:textId="77777777" w:rsidR="00FC4B79" w:rsidRDefault="00000000">
                  <w:pPr>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8,1%</w:t>
                  </w:r>
                </w:p>
              </w:tc>
              <w:tc>
                <w:tcPr>
                  <w:tcW w:w="106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69530FC" w14:textId="77777777" w:rsidR="00FC4B79" w:rsidRDefault="00000000">
                  <w:pPr>
                    <w:spacing w:before="240" w:after="240"/>
                    <w:ind w:left="-860"/>
                    <w:jc w:val="right"/>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30</w:t>
                  </w:r>
                </w:p>
                <w:p w14:paraId="5485248A" w14:textId="77777777" w:rsidR="00FC4B79" w:rsidRDefault="00000000">
                  <w:pPr>
                    <w:spacing w:before="240" w:after="240"/>
                    <w:ind w:left="-860"/>
                    <w:jc w:val="right"/>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3,7%</w:t>
                  </w:r>
                </w:p>
              </w:tc>
            </w:tr>
          </w:tbl>
          <w:p w14:paraId="7408F6D1" w14:textId="77777777" w:rsidR="00FC4B79" w:rsidRDefault="00FC4B79">
            <w:pPr>
              <w:spacing w:before="200" w:after="200" w:line="240" w:lineRule="auto"/>
              <w:rPr>
                <w:rFonts w:ascii="Times New Roman" w:eastAsia="Times New Roman" w:hAnsi="Times New Roman" w:cs="Times New Roman"/>
                <w:sz w:val="24"/>
                <w:szCs w:val="24"/>
              </w:rPr>
            </w:pPr>
          </w:p>
          <w:p w14:paraId="16F1A531" w14:textId="77777777" w:rsidR="00FC4B79" w:rsidRDefault="00FC4B79">
            <w:pPr>
              <w:spacing w:before="200" w:after="200" w:line="240" w:lineRule="auto"/>
              <w:rPr>
                <w:rFonts w:ascii="Times New Roman" w:eastAsia="Times New Roman" w:hAnsi="Times New Roman" w:cs="Times New Roman"/>
                <w:sz w:val="24"/>
                <w:szCs w:val="24"/>
              </w:rPr>
            </w:pPr>
          </w:p>
          <w:tbl>
            <w:tblPr>
              <w:tblStyle w:val="a7"/>
              <w:tblW w:w="8517" w:type="dxa"/>
              <w:tblInd w:w="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9"/>
              <w:gridCol w:w="952"/>
              <w:gridCol w:w="1007"/>
              <w:gridCol w:w="1078"/>
              <w:gridCol w:w="880"/>
              <w:gridCol w:w="851"/>
              <w:gridCol w:w="880"/>
              <w:gridCol w:w="880"/>
            </w:tblGrid>
            <w:tr w:rsidR="00FC4B79" w14:paraId="11B97485" w14:textId="77777777">
              <w:trPr>
                <w:trHeight w:val="690"/>
                <w:tblHeader/>
              </w:trPr>
              <w:tc>
                <w:tcPr>
                  <w:tcW w:w="1989" w:type="dxa"/>
                </w:tcPr>
                <w:p w14:paraId="4F5B069E" w14:textId="77777777" w:rsidR="00FC4B79" w:rsidRDefault="00FC4B79">
                  <w:pPr>
                    <w:spacing w:line="276" w:lineRule="auto"/>
                    <w:jc w:val="center"/>
                    <w:rPr>
                      <w:rFonts w:ascii="Times New Roman" w:eastAsia="Times New Roman" w:hAnsi="Times New Roman" w:cs="Times New Roman"/>
                    </w:rPr>
                  </w:pPr>
                </w:p>
              </w:tc>
              <w:tc>
                <w:tcPr>
                  <w:tcW w:w="952" w:type="dxa"/>
                  <w:vAlign w:val="center"/>
                </w:tcPr>
                <w:p w14:paraId="7219AF9D" w14:textId="77777777" w:rsidR="00FC4B79" w:rsidRDefault="00000000">
                  <w:pPr>
                    <w:spacing w:line="276" w:lineRule="auto"/>
                    <w:jc w:val="center"/>
                    <w:rPr>
                      <w:rFonts w:ascii="Times New Roman" w:eastAsia="Times New Roman" w:hAnsi="Times New Roman" w:cs="Times New Roman"/>
                      <w:b/>
                      <w:bCs/>
                    </w:rPr>
                  </w:pPr>
                  <w:r>
                    <w:rPr>
                      <w:rFonts w:ascii="Times New Roman" w:eastAsia="Times New Roman" w:hAnsi="Times New Roman" w:cs="Times New Roman"/>
                      <w:b/>
                      <w:bCs/>
                    </w:rPr>
                    <w:t>2019</w:t>
                  </w:r>
                </w:p>
              </w:tc>
              <w:tc>
                <w:tcPr>
                  <w:tcW w:w="1007" w:type="dxa"/>
                  <w:vAlign w:val="center"/>
                </w:tcPr>
                <w:p w14:paraId="5E732088" w14:textId="77777777" w:rsidR="00FC4B79" w:rsidRDefault="00000000">
                  <w:pPr>
                    <w:spacing w:line="276" w:lineRule="auto"/>
                    <w:jc w:val="center"/>
                    <w:rPr>
                      <w:rFonts w:ascii="Times New Roman" w:eastAsia="Times New Roman" w:hAnsi="Times New Roman" w:cs="Times New Roman"/>
                      <w:b/>
                      <w:bCs/>
                    </w:rPr>
                  </w:pPr>
                  <w:r>
                    <w:rPr>
                      <w:rFonts w:ascii="Times New Roman" w:eastAsia="Times New Roman" w:hAnsi="Times New Roman" w:cs="Times New Roman"/>
                      <w:b/>
                      <w:bCs/>
                    </w:rPr>
                    <w:t>2020</w:t>
                  </w:r>
                </w:p>
              </w:tc>
              <w:tc>
                <w:tcPr>
                  <w:tcW w:w="1078" w:type="dxa"/>
                  <w:vAlign w:val="center"/>
                </w:tcPr>
                <w:p w14:paraId="01B3DD0C" w14:textId="77777777" w:rsidR="00FC4B79" w:rsidRDefault="00000000">
                  <w:pPr>
                    <w:spacing w:line="276" w:lineRule="auto"/>
                    <w:jc w:val="center"/>
                    <w:rPr>
                      <w:rFonts w:ascii="Times New Roman" w:eastAsia="Times New Roman" w:hAnsi="Times New Roman" w:cs="Times New Roman"/>
                      <w:b/>
                      <w:bCs/>
                    </w:rPr>
                  </w:pPr>
                  <w:r>
                    <w:rPr>
                      <w:rFonts w:ascii="Times New Roman" w:eastAsia="Times New Roman" w:hAnsi="Times New Roman" w:cs="Times New Roman"/>
                      <w:b/>
                      <w:bCs/>
                    </w:rPr>
                    <w:t>2021</w:t>
                  </w:r>
                </w:p>
              </w:tc>
              <w:tc>
                <w:tcPr>
                  <w:tcW w:w="880" w:type="dxa"/>
                  <w:vAlign w:val="center"/>
                </w:tcPr>
                <w:p w14:paraId="6C33CE74" w14:textId="77777777" w:rsidR="00FC4B79" w:rsidRDefault="00000000">
                  <w:pPr>
                    <w:spacing w:line="276" w:lineRule="auto"/>
                    <w:jc w:val="center"/>
                    <w:rPr>
                      <w:rFonts w:ascii="Times New Roman" w:eastAsia="Times New Roman" w:hAnsi="Times New Roman" w:cs="Times New Roman"/>
                      <w:b/>
                      <w:bCs/>
                    </w:rPr>
                  </w:pPr>
                  <w:r>
                    <w:rPr>
                      <w:rFonts w:ascii="Times New Roman" w:eastAsia="Times New Roman" w:hAnsi="Times New Roman" w:cs="Times New Roman"/>
                      <w:b/>
                      <w:bCs/>
                    </w:rPr>
                    <w:t>2022</w:t>
                  </w:r>
                </w:p>
              </w:tc>
              <w:tc>
                <w:tcPr>
                  <w:tcW w:w="851" w:type="dxa"/>
                  <w:vAlign w:val="center"/>
                </w:tcPr>
                <w:p w14:paraId="1A8421B8" w14:textId="77777777" w:rsidR="00FC4B79"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2023</w:t>
                  </w:r>
                </w:p>
              </w:tc>
              <w:tc>
                <w:tcPr>
                  <w:tcW w:w="880" w:type="dxa"/>
                  <w:vAlign w:val="center"/>
                </w:tcPr>
                <w:p w14:paraId="5A0E57B3" w14:textId="77777777" w:rsidR="00FC4B79"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2024</w:t>
                  </w:r>
                </w:p>
              </w:tc>
              <w:tc>
                <w:tcPr>
                  <w:tcW w:w="880" w:type="dxa"/>
                  <w:vAlign w:val="center"/>
                </w:tcPr>
                <w:p w14:paraId="73474F48" w14:textId="77777777" w:rsidR="00FC4B79" w:rsidRDefault="00000000">
                  <w:pPr>
                    <w:jc w:val="center"/>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2025</w:t>
                  </w:r>
                </w:p>
              </w:tc>
            </w:tr>
            <w:tr w:rsidR="00FC4B79" w14:paraId="6D1FD04B" w14:textId="77777777">
              <w:trPr>
                <w:trHeight w:val="598"/>
                <w:tblHeader/>
              </w:trPr>
              <w:tc>
                <w:tcPr>
                  <w:tcW w:w="1989" w:type="dxa"/>
                </w:tcPr>
                <w:p w14:paraId="12B7D36F" w14:textId="77777777" w:rsidR="00FC4B79" w:rsidRDefault="00000000">
                  <w:pPr>
                    <w:spacing w:line="276" w:lineRule="auto"/>
                    <w:jc w:val="center"/>
                    <w:rPr>
                      <w:rFonts w:ascii="Times New Roman" w:eastAsia="Times New Roman" w:hAnsi="Times New Roman" w:cs="Times New Roman"/>
                    </w:rPr>
                  </w:pPr>
                  <w:r>
                    <w:rPr>
                      <w:rFonts w:ascii="Times New Roman" w:eastAsia="Times New Roman" w:hAnsi="Times New Roman" w:cs="Times New Roman"/>
                    </w:rPr>
                    <w:t>Nr. unităților, care au prezentat informații privind disponibilizarea personalului</w:t>
                  </w:r>
                </w:p>
              </w:tc>
              <w:tc>
                <w:tcPr>
                  <w:tcW w:w="952" w:type="dxa"/>
                  <w:vAlign w:val="center"/>
                </w:tcPr>
                <w:p w14:paraId="3136F6E2" w14:textId="77777777" w:rsidR="00FC4B79" w:rsidRDefault="00000000">
                  <w:pPr>
                    <w:jc w:val="center"/>
                    <w:rPr>
                      <w:rFonts w:ascii="Times New Roman" w:eastAsia="Times New Roman" w:hAnsi="Times New Roman" w:cs="Times New Roman"/>
                    </w:rPr>
                  </w:pPr>
                  <w:r>
                    <w:rPr>
                      <w:rFonts w:ascii="Times New Roman" w:eastAsia="Times New Roman" w:hAnsi="Times New Roman" w:cs="Times New Roman"/>
                    </w:rPr>
                    <w:t>174</w:t>
                  </w:r>
                </w:p>
              </w:tc>
              <w:tc>
                <w:tcPr>
                  <w:tcW w:w="1007" w:type="dxa"/>
                  <w:vAlign w:val="center"/>
                </w:tcPr>
                <w:p w14:paraId="24AA005D" w14:textId="77777777" w:rsidR="00FC4B79" w:rsidRDefault="00000000">
                  <w:pPr>
                    <w:spacing w:line="276" w:lineRule="auto"/>
                    <w:jc w:val="center"/>
                    <w:rPr>
                      <w:rFonts w:ascii="Times New Roman" w:eastAsia="Times New Roman" w:hAnsi="Times New Roman" w:cs="Times New Roman"/>
                    </w:rPr>
                  </w:pPr>
                  <w:r>
                    <w:rPr>
                      <w:rFonts w:ascii="Times New Roman" w:eastAsia="Times New Roman" w:hAnsi="Times New Roman" w:cs="Times New Roman"/>
                    </w:rPr>
                    <w:t>194</w:t>
                  </w:r>
                </w:p>
              </w:tc>
              <w:tc>
                <w:tcPr>
                  <w:tcW w:w="1078" w:type="dxa"/>
                  <w:vAlign w:val="center"/>
                </w:tcPr>
                <w:p w14:paraId="28DCB578" w14:textId="77777777" w:rsidR="00FC4B79" w:rsidRDefault="00000000">
                  <w:pPr>
                    <w:spacing w:line="276" w:lineRule="auto"/>
                    <w:jc w:val="center"/>
                    <w:rPr>
                      <w:rFonts w:ascii="Times New Roman" w:eastAsia="Times New Roman" w:hAnsi="Times New Roman" w:cs="Times New Roman"/>
                    </w:rPr>
                  </w:pPr>
                  <w:r>
                    <w:rPr>
                      <w:rFonts w:ascii="Times New Roman" w:eastAsia="Times New Roman" w:hAnsi="Times New Roman" w:cs="Times New Roman"/>
                    </w:rPr>
                    <w:t>190</w:t>
                  </w:r>
                </w:p>
              </w:tc>
              <w:tc>
                <w:tcPr>
                  <w:tcW w:w="880" w:type="dxa"/>
                  <w:vAlign w:val="center"/>
                </w:tcPr>
                <w:p w14:paraId="362A9396" w14:textId="77777777" w:rsidR="00FC4B79" w:rsidRDefault="00000000">
                  <w:pPr>
                    <w:spacing w:line="276" w:lineRule="auto"/>
                    <w:jc w:val="center"/>
                    <w:rPr>
                      <w:rFonts w:ascii="Times New Roman" w:eastAsia="Times New Roman" w:hAnsi="Times New Roman" w:cs="Times New Roman"/>
                    </w:rPr>
                  </w:pPr>
                  <w:r>
                    <w:rPr>
                      <w:rFonts w:ascii="Times New Roman" w:eastAsia="Times New Roman" w:hAnsi="Times New Roman" w:cs="Times New Roman"/>
                    </w:rPr>
                    <w:t>206</w:t>
                  </w:r>
                </w:p>
              </w:tc>
              <w:tc>
                <w:tcPr>
                  <w:tcW w:w="851" w:type="dxa"/>
                  <w:vAlign w:val="center"/>
                </w:tcPr>
                <w:p w14:paraId="1A6CB6EA" w14:textId="77777777" w:rsidR="00FC4B79" w:rsidRDefault="00000000">
                  <w:pPr>
                    <w:jc w:val="center"/>
                    <w:rPr>
                      <w:rFonts w:ascii="Times New Roman" w:eastAsia="Times New Roman" w:hAnsi="Times New Roman" w:cs="Times New Roman"/>
                    </w:rPr>
                  </w:pPr>
                  <w:r>
                    <w:rPr>
                      <w:rFonts w:ascii="Times New Roman" w:eastAsia="Times New Roman" w:hAnsi="Times New Roman" w:cs="Times New Roman"/>
                    </w:rPr>
                    <w:t>223</w:t>
                  </w:r>
                </w:p>
              </w:tc>
              <w:tc>
                <w:tcPr>
                  <w:tcW w:w="880" w:type="dxa"/>
                  <w:vAlign w:val="center"/>
                </w:tcPr>
                <w:p w14:paraId="57B1E52E" w14:textId="77777777" w:rsidR="00FC4B79" w:rsidRDefault="00000000">
                  <w:pPr>
                    <w:jc w:val="center"/>
                    <w:rPr>
                      <w:rFonts w:ascii="Times New Roman" w:eastAsia="Times New Roman" w:hAnsi="Times New Roman" w:cs="Times New Roman"/>
                    </w:rPr>
                  </w:pPr>
                  <w:r>
                    <w:rPr>
                      <w:rFonts w:ascii="Times New Roman" w:eastAsia="Times New Roman" w:hAnsi="Times New Roman" w:cs="Times New Roman"/>
                    </w:rPr>
                    <w:t>257</w:t>
                  </w:r>
                </w:p>
              </w:tc>
              <w:tc>
                <w:tcPr>
                  <w:tcW w:w="8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EB1FC10" w14:textId="77777777" w:rsidR="00FC4B79" w:rsidRDefault="00000000">
                  <w:pPr>
                    <w:spacing w:before="240" w:after="240"/>
                    <w:ind w:left="-860"/>
                    <w:jc w:val="right"/>
                    <w:rPr>
                      <w:rFonts w:ascii="Times New Roman" w:eastAsia="Times New Roman" w:hAnsi="Times New Roman" w:cs="Times New Roman"/>
                    </w:rPr>
                  </w:pPr>
                  <w:r>
                    <w:rPr>
                      <w:rFonts w:ascii="Times New Roman" w:eastAsia="Times New Roman" w:hAnsi="Times New Roman" w:cs="Times New Roman"/>
                    </w:rPr>
                    <w:t>190</w:t>
                  </w:r>
                </w:p>
              </w:tc>
            </w:tr>
            <w:tr w:rsidR="00FC4B79" w14:paraId="18C14E4A" w14:textId="77777777">
              <w:trPr>
                <w:trHeight w:val="359"/>
                <w:tblHeader/>
              </w:trPr>
              <w:tc>
                <w:tcPr>
                  <w:tcW w:w="1989" w:type="dxa"/>
                </w:tcPr>
                <w:p w14:paraId="7886CF52" w14:textId="77777777" w:rsidR="00FC4B79" w:rsidRDefault="00000000">
                  <w:pPr>
                    <w:spacing w:line="276" w:lineRule="auto"/>
                    <w:jc w:val="center"/>
                    <w:rPr>
                      <w:rFonts w:ascii="Times New Roman" w:eastAsia="Times New Roman" w:hAnsi="Times New Roman" w:cs="Times New Roman"/>
                    </w:rPr>
                  </w:pPr>
                  <w:r>
                    <w:rPr>
                      <w:rFonts w:ascii="Times New Roman" w:eastAsia="Times New Roman" w:hAnsi="Times New Roman" w:cs="Times New Roman"/>
                    </w:rPr>
                    <w:t>formă de proprietate publică:</w:t>
                  </w:r>
                </w:p>
                <w:p w14:paraId="66CC6337" w14:textId="77777777" w:rsidR="00FC4B79" w:rsidRDefault="00000000">
                  <w:pPr>
                    <w:spacing w:line="276" w:lineRule="auto"/>
                    <w:jc w:val="center"/>
                    <w:rPr>
                      <w:rFonts w:ascii="Times New Roman" w:eastAsia="Times New Roman" w:hAnsi="Times New Roman" w:cs="Times New Roman"/>
                    </w:rPr>
                  </w:pPr>
                  <w:r>
                    <w:rPr>
                      <w:rFonts w:ascii="Times New Roman" w:eastAsia="Times New Roman" w:hAnsi="Times New Roman" w:cs="Times New Roman"/>
                    </w:rPr>
                    <w:t>% din total</w:t>
                  </w:r>
                </w:p>
              </w:tc>
              <w:tc>
                <w:tcPr>
                  <w:tcW w:w="952" w:type="dxa"/>
                  <w:vAlign w:val="center"/>
                </w:tcPr>
                <w:p w14:paraId="4A071A82" w14:textId="77777777" w:rsidR="00FC4B79" w:rsidRDefault="00000000">
                  <w:pPr>
                    <w:jc w:val="center"/>
                    <w:rPr>
                      <w:rFonts w:ascii="Times New Roman" w:eastAsia="Times New Roman" w:hAnsi="Times New Roman" w:cs="Times New Roman"/>
                    </w:rPr>
                  </w:pPr>
                  <w:r>
                    <w:rPr>
                      <w:rFonts w:ascii="Times New Roman" w:eastAsia="Times New Roman" w:hAnsi="Times New Roman" w:cs="Times New Roman"/>
                    </w:rPr>
                    <w:t>99</w:t>
                  </w:r>
                </w:p>
                <w:p w14:paraId="0D90CBCA" w14:textId="77777777" w:rsidR="00FC4B79" w:rsidRDefault="00000000">
                  <w:pPr>
                    <w:jc w:val="center"/>
                    <w:rPr>
                      <w:rFonts w:ascii="Times New Roman" w:eastAsia="Times New Roman" w:hAnsi="Times New Roman" w:cs="Times New Roman"/>
                      <w:i/>
                      <w:iCs/>
                    </w:rPr>
                  </w:pPr>
                  <w:r>
                    <w:rPr>
                      <w:rFonts w:ascii="Times New Roman" w:eastAsia="Times New Roman" w:hAnsi="Times New Roman" w:cs="Times New Roman"/>
                      <w:i/>
                      <w:iCs/>
                    </w:rPr>
                    <w:t>56,9%</w:t>
                  </w:r>
                </w:p>
              </w:tc>
              <w:tc>
                <w:tcPr>
                  <w:tcW w:w="1007" w:type="dxa"/>
                  <w:vAlign w:val="center"/>
                </w:tcPr>
                <w:p w14:paraId="06E6C0B4" w14:textId="77777777" w:rsidR="00FC4B79" w:rsidRDefault="00000000">
                  <w:pPr>
                    <w:spacing w:line="276" w:lineRule="auto"/>
                    <w:jc w:val="center"/>
                    <w:rPr>
                      <w:rFonts w:ascii="Times New Roman" w:eastAsia="Times New Roman" w:hAnsi="Times New Roman" w:cs="Times New Roman"/>
                    </w:rPr>
                  </w:pPr>
                  <w:r>
                    <w:rPr>
                      <w:rFonts w:ascii="Times New Roman" w:eastAsia="Times New Roman" w:hAnsi="Times New Roman" w:cs="Times New Roman"/>
                    </w:rPr>
                    <w:t>101</w:t>
                  </w:r>
                </w:p>
                <w:p w14:paraId="5D7B7555" w14:textId="77777777" w:rsidR="00FC4B79" w:rsidRDefault="00000000">
                  <w:pPr>
                    <w:spacing w:line="276" w:lineRule="auto"/>
                    <w:jc w:val="center"/>
                    <w:rPr>
                      <w:rFonts w:ascii="Times New Roman" w:eastAsia="Times New Roman" w:hAnsi="Times New Roman" w:cs="Times New Roman"/>
                      <w:i/>
                      <w:iCs/>
                    </w:rPr>
                  </w:pPr>
                  <w:r>
                    <w:rPr>
                      <w:rFonts w:ascii="Times New Roman" w:eastAsia="Times New Roman" w:hAnsi="Times New Roman" w:cs="Times New Roman"/>
                      <w:i/>
                      <w:iCs/>
                    </w:rPr>
                    <w:t>52,1%</w:t>
                  </w:r>
                </w:p>
              </w:tc>
              <w:tc>
                <w:tcPr>
                  <w:tcW w:w="1078" w:type="dxa"/>
                  <w:vAlign w:val="center"/>
                </w:tcPr>
                <w:p w14:paraId="645123B4" w14:textId="77777777" w:rsidR="00FC4B79" w:rsidRDefault="00000000">
                  <w:pPr>
                    <w:spacing w:line="276" w:lineRule="auto"/>
                    <w:jc w:val="center"/>
                    <w:rPr>
                      <w:rFonts w:ascii="Times New Roman" w:eastAsia="Times New Roman" w:hAnsi="Times New Roman" w:cs="Times New Roman"/>
                    </w:rPr>
                  </w:pPr>
                  <w:r>
                    <w:rPr>
                      <w:rFonts w:ascii="Times New Roman" w:eastAsia="Times New Roman" w:hAnsi="Times New Roman" w:cs="Times New Roman"/>
                    </w:rPr>
                    <w:t>112</w:t>
                  </w:r>
                </w:p>
                <w:p w14:paraId="17D3AAD4" w14:textId="77777777" w:rsidR="00FC4B79" w:rsidRDefault="00000000">
                  <w:pPr>
                    <w:spacing w:line="276" w:lineRule="auto"/>
                    <w:jc w:val="center"/>
                    <w:rPr>
                      <w:rFonts w:ascii="Times New Roman" w:eastAsia="Times New Roman" w:hAnsi="Times New Roman" w:cs="Times New Roman"/>
                      <w:i/>
                      <w:iCs/>
                    </w:rPr>
                  </w:pPr>
                  <w:r>
                    <w:rPr>
                      <w:rFonts w:ascii="Times New Roman" w:eastAsia="Times New Roman" w:hAnsi="Times New Roman" w:cs="Times New Roman"/>
                      <w:i/>
                      <w:iCs/>
                    </w:rPr>
                    <w:t>58,9%</w:t>
                  </w:r>
                </w:p>
              </w:tc>
              <w:tc>
                <w:tcPr>
                  <w:tcW w:w="880" w:type="dxa"/>
                  <w:vAlign w:val="center"/>
                </w:tcPr>
                <w:p w14:paraId="2E4D32DA" w14:textId="77777777" w:rsidR="00FC4B79" w:rsidRDefault="00000000">
                  <w:pPr>
                    <w:spacing w:line="276" w:lineRule="auto"/>
                    <w:jc w:val="center"/>
                    <w:rPr>
                      <w:rFonts w:ascii="Times New Roman" w:eastAsia="Times New Roman" w:hAnsi="Times New Roman" w:cs="Times New Roman"/>
                    </w:rPr>
                  </w:pPr>
                  <w:r>
                    <w:rPr>
                      <w:rFonts w:ascii="Times New Roman" w:eastAsia="Times New Roman" w:hAnsi="Times New Roman" w:cs="Times New Roman"/>
                    </w:rPr>
                    <w:t>141</w:t>
                  </w:r>
                </w:p>
                <w:p w14:paraId="62A492A2" w14:textId="77777777" w:rsidR="00FC4B79" w:rsidRDefault="00000000">
                  <w:pPr>
                    <w:spacing w:line="276" w:lineRule="auto"/>
                    <w:jc w:val="center"/>
                    <w:rPr>
                      <w:rFonts w:ascii="Times New Roman" w:eastAsia="Times New Roman" w:hAnsi="Times New Roman" w:cs="Times New Roman"/>
                      <w:i/>
                      <w:iCs/>
                    </w:rPr>
                  </w:pPr>
                  <w:r>
                    <w:rPr>
                      <w:rFonts w:ascii="Times New Roman" w:eastAsia="Times New Roman" w:hAnsi="Times New Roman" w:cs="Times New Roman"/>
                      <w:i/>
                      <w:iCs/>
                    </w:rPr>
                    <w:t>68,4%</w:t>
                  </w:r>
                </w:p>
              </w:tc>
              <w:tc>
                <w:tcPr>
                  <w:tcW w:w="851" w:type="dxa"/>
                  <w:vAlign w:val="center"/>
                </w:tcPr>
                <w:p w14:paraId="5E9A4EF4" w14:textId="77777777" w:rsidR="00FC4B79" w:rsidRDefault="00000000">
                  <w:pPr>
                    <w:jc w:val="center"/>
                    <w:rPr>
                      <w:rFonts w:ascii="Times New Roman" w:eastAsia="Times New Roman" w:hAnsi="Times New Roman" w:cs="Times New Roman"/>
                    </w:rPr>
                  </w:pPr>
                  <w:r>
                    <w:rPr>
                      <w:rFonts w:ascii="Times New Roman" w:eastAsia="Times New Roman" w:hAnsi="Times New Roman" w:cs="Times New Roman"/>
                    </w:rPr>
                    <w:t>153</w:t>
                  </w:r>
                </w:p>
                <w:p w14:paraId="60D3DB61" w14:textId="77777777" w:rsidR="00FC4B79" w:rsidRDefault="00000000">
                  <w:pPr>
                    <w:jc w:val="center"/>
                    <w:rPr>
                      <w:rFonts w:ascii="Times New Roman" w:eastAsia="Times New Roman" w:hAnsi="Times New Roman" w:cs="Times New Roman"/>
                      <w:i/>
                      <w:iCs/>
                    </w:rPr>
                  </w:pPr>
                  <w:r>
                    <w:rPr>
                      <w:rFonts w:ascii="Times New Roman" w:eastAsia="Times New Roman" w:hAnsi="Times New Roman" w:cs="Times New Roman"/>
                      <w:i/>
                      <w:iCs/>
                    </w:rPr>
                    <w:t>68,6%</w:t>
                  </w:r>
                </w:p>
              </w:tc>
              <w:tc>
                <w:tcPr>
                  <w:tcW w:w="880" w:type="dxa"/>
                  <w:vAlign w:val="center"/>
                </w:tcPr>
                <w:p w14:paraId="3A93F1EE" w14:textId="77777777" w:rsidR="00FC4B79" w:rsidRDefault="00000000">
                  <w:pPr>
                    <w:jc w:val="center"/>
                    <w:rPr>
                      <w:rFonts w:ascii="Times New Roman" w:eastAsia="Times New Roman" w:hAnsi="Times New Roman" w:cs="Times New Roman"/>
                    </w:rPr>
                  </w:pPr>
                  <w:r>
                    <w:rPr>
                      <w:rFonts w:ascii="Times New Roman" w:eastAsia="Times New Roman" w:hAnsi="Times New Roman" w:cs="Times New Roman"/>
                    </w:rPr>
                    <w:t>172</w:t>
                  </w:r>
                </w:p>
                <w:p w14:paraId="58B4FB32" w14:textId="77777777" w:rsidR="00FC4B79" w:rsidRDefault="00000000">
                  <w:pPr>
                    <w:jc w:val="center"/>
                    <w:rPr>
                      <w:rFonts w:ascii="Times New Roman" w:eastAsia="Times New Roman" w:hAnsi="Times New Roman" w:cs="Times New Roman"/>
                      <w:i/>
                      <w:iCs/>
                    </w:rPr>
                  </w:pPr>
                  <w:r>
                    <w:rPr>
                      <w:rFonts w:ascii="Times New Roman" w:eastAsia="Times New Roman" w:hAnsi="Times New Roman" w:cs="Times New Roman"/>
                      <w:i/>
                      <w:iCs/>
                    </w:rPr>
                    <w:t>66,9%</w:t>
                  </w:r>
                </w:p>
              </w:tc>
              <w:tc>
                <w:tcPr>
                  <w:tcW w:w="88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2158ECC" w14:textId="77777777" w:rsidR="00FC4B79" w:rsidRDefault="00000000">
                  <w:pPr>
                    <w:spacing w:before="240" w:after="240"/>
                    <w:ind w:left="-860"/>
                    <w:jc w:val="right"/>
                    <w:rPr>
                      <w:rFonts w:ascii="Times New Roman" w:eastAsia="Times New Roman" w:hAnsi="Times New Roman" w:cs="Times New Roman"/>
                    </w:rPr>
                  </w:pPr>
                  <w:r>
                    <w:rPr>
                      <w:rFonts w:ascii="Times New Roman" w:eastAsia="Times New Roman" w:hAnsi="Times New Roman" w:cs="Times New Roman"/>
                    </w:rPr>
                    <w:t>126</w:t>
                  </w:r>
                </w:p>
                <w:p w14:paraId="0013F597" w14:textId="77777777" w:rsidR="00FC4B79" w:rsidRDefault="00000000">
                  <w:pPr>
                    <w:spacing w:before="240" w:after="240"/>
                    <w:ind w:left="-860"/>
                    <w:jc w:val="right"/>
                    <w:rPr>
                      <w:rFonts w:ascii="Times New Roman" w:eastAsia="Times New Roman" w:hAnsi="Times New Roman" w:cs="Times New Roman"/>
                      <w:i/>
                      <w:iCs/>
                    </w:rPr>
                  </w:pPr>
                  <w:r>
                    <w:rPr>
                      <w:rFonts w:ascii="Times New Roman" w:eastAsia="Times New Roman" w:hAnsi="Times New Roman" w:cs="Times New Roman"/>
                      <w:i/>
                      <w:iCs/>
                    </w:rPr>
                    <w:t>66,3%</w:t>
                  </w:r>
                </w:p>
              </w:tc>
            </w:tr>
            <w:tr w:rsidR="00FC4B79" w14:paraId="3A5B86A7" w14:textId="77777777">
              <w:trPr>
                <w:trHeight w:val="566"/>
                <w:tblHeader/>
              </w:trPr>
              <w:tc>
                <w:tcPr>
                  <w:tcW w:w="1989" w:type="dxa"/>
                </w:tcPr>
                <w:p w14:paraId="4AE53BB5" w14:textId="77777777" w:rsidR="00FC4B79" w:rsidRDefault="00000000">
                  <w:pPr>
                    <w:spacing w:line="276" w:lineRule="auto"/>
                    <w:jc w:val="center"/>
                    <w:rPr>
                      <w:rFonts w:ascii="Times New Roman" w:eastAsia="Times New Roman" w:hAnsi="Times New Roman" w:cs="Times New Roman"/>
                    </w:rPr>
                  </w:pPr>
                  <w:r>
                    <w:rPr>
                      <w:rFonts w:ascii="Times New Roman" w:eastAsia="Times New Roman" w:hAnsi="Times New Roman" w:cs="Times New Roman"/>
                    </w:rPr>
                    <w:t>formă de proprietate privată:</w:t>
                  </w:r>
                </w:p>
                <w:p w14:paraId="5730798B" w14:textId="77777777" w:rsidR="00FC4B79" w:rsidRDefault="00000000">
                  <w:pPr>
                    <w:spacing w:line="276" w:lineRule="auto"/>
                    <w:jc w:val="center"/>
                    <w:rPr>
                      <w:rFonts w:ascii="Times New Roman" w:eastAsia="Times New Roman" w:hAnsi="Times New Roman" w:cs="Times New Roman"/>
                    </w:rPr>
                  </w:pPr>
                  <w:r>
                    <w:rPr>
                      <w:rFonts w:ascii="Times New Roman" w:eastAsia="Times New Roman" w:hAnsi="Times New Roman" w:cs="Times New Roman"/>
                    </w:rPr>
                    <w:t>% din total</w:t>
                  </w:r>
                </w:p>
              </w:tc>
              <w:tc>
                <w:tcPr>
                  <w:tcW w:w="952" w:type="dxa"/>
                  <w:vAlign w:val="center"/>
                </w:tcPr>
                <w:p w14:paraId="79B3BB9C" w14:textId="77777777" w:rsidR="00FC4B79" w:rsidRDefault="00000000">
                  <w:pPr>
                    <w:jc w:val="center"/>
                    <w:rPr>
                      <w:rFonts w:ascii="Times New Roman" w:eastAsia="Times New Roman" w:hAnsi="Times New Roman" w:cs="Times New Roman"/>
                    </w:rPr>
                  </w:pPr>
                  <w:r>
                    <w:rPr>
                      <w:rFonts w:ascii="Times New Roman" w:eastAsia="Times New Roman" w:hAnsi="Times New Roman" w:cs="Times New Roman"/>
                    </w:rPr>
                    <w:t>64</w:t>
                  </w:r>
                </w:p>
                <w:p w14:paraId="7F314202" w14:textId="77777777" w:rsidR="00FC4B79" w:rsidRDefault="00000000">
                  <w:pPr>
                    <w:jc w:val="center"/>
                    <w:rPr>
                      <w:rFonts w:ascii="Times New Roman" w:eastAsia="Times New Roman" w:hAnsi="Times New Roman" w:cs="Times New Roman"/>
                      <w:i/>
                      <w:iCs/>
                    </w:rPr>
                  </w:pPr>
                  <w:r>
                    <w:rPr>
                      <w:rFonts w:ascii="Times New Roman" w:eastAsia="Times New Roman" w:hAnsi="Times New Roman" w:cs="Times New Roman"/>
                      <w:i/>
                      <w:iCs/>
                    </w:rPr>
                    <w:t>36,8%</w:t>
                  </w:r>
                </w:p>
              </w:tc>
              <w:tc>
                <w:tcPr>
                  <w:tcW w:w="1007" w:type="dxa"/>
                  <w:vAlign w:val="center"/>
                </w:tcPr>
                <w:p w14:paraId="1FBE4E20" w14:textId="77777777" w:rsidR="00FC4B79" w:rsidRDefault="00000000">
                  <w:pPr>
                    <w:spacing w:line="276" w:lineRule="auto"/>
                    <w:jc w:val="center"/>
                    <w:rPr>
                      <w:rFonts w:ascii="Times New Roman" w:eastAsia="Times New Roman" w:hAnsi="Times New Roman" w:cs="Times New Roman"/>
                    </w:rPr>
                  </w:pPr>
                  <w:r>
                    <w:rPr>
                      <w:rFonts w:ascii="Times New Roman" w:eastAsia="Times New Roman" w:hAnsi="Times New Roman" w:cs="Times New Roman"/>
                    </w:rPr>
                    <w:t>79</w:t>
                  </w:r>
                </w:p>
                <w:p w14:paraId="62C7DDCA" w14:textId="77777777" w:rsidR="00FC4B79" w:rsidRDefault="00000000">
                  <w:pPr>
                    <w:spacing w:line="276" w:lineRule="auto"/>
                    <w:jc w:val="center"/>
                    <w:rPr>
                      <w:rFonts w:ascii="Times New Roman" w:eastAsia="Times New Roman" w:hAnsi="Times New Roman" w:cs="Times New Roman"/>
                      <w:i/>
                      <w:iCs/>
                    </w:rPr>
                  </w:pPr>
                  <w:r>
                    <w:rPr>
                      <w:rFonts w:ascii="Times New Roman" w:eastAsia="Times New Roman" w:hAnsi="Times New Roman" w:cs="Times New Roman"/>
                      <w:i/>
                      <w:iCs/>
                    </w:rPr>
                    <w:t>40,7%</w:t>
                  </w:r>
                </w:p>
              </w:tc>
              <w:tc>
                <w:tcPr>
                  <w:tcW w:w="1078" w:type="dxa"/>
                  <w:vAlign w:val="center"/>
                </w:tcPr>
                <w:p w14:paraId="2894891E" w14:textId="77777777" w:rsidR="00FC4B79" w:rsidRDefault="00000000">
                  <w:pPr>
                    <w:spacing w:line="276" w:lineRule="auto"/>
                    <w:jc w:val="center"/>
                    <w:rPr>
                      <w:rFonts w:ascii="Times New Roman" w:eastAsia="Times New Roman" w:hAnsi="Times New Roman" w:cs="Times New Roman"/>
                    </w:rPr>
                  </w:pPr>
                  <w:r>
                    <w:rPr>
                      <w:rFonts w:ascii="Times New Roman" w:eastAsia="Times New Roman" w:hAnsi="Times New Roman" w:cs="Times New Roman"/>
                    </w:rPr>
                    <w:t>64</w:t>
                  </w:r>
                </w:p>
                <w:p w14:paraId="655D0B9A" w14:textId="77777777" w:rsidR="00FC4B79" w:rsidRDefault="00000000">
                  <w:pPr>
                    <w:spacing w:line="276" w:lineRule="auto"/>
                    <w:jc w:val="center"/>
                    <w:rPr>
                      <w:rFonts w:ascii="Times New Roman" w:eastAsia="Times New Roman" w:hAnsi="Times New Roman" w:cs="Times New Roman"/>
                      <w:i/>
                      <w:iCs/>
                    </w:rPr>
                  </w:pPr>
                  <w:r>
                    <w:rPr>
                      <w:rFonts w:ascii="Times New Roman" w:eastAsia="Times New Roman" w:hAnsi="Times New Roman" w:cs="Times New Roman"/>
                      <w:i/>
                      <w:iCs/>
                    </w:rPr>
                    <w:t>33,7%</w:t>
                  </w:r>
                </w:p>
              </w:tc>
              <w:tc>
                <w:tcPr>
                  <w:tcW w:w="880" w:type="dxa"/>
                  <w:vAlign w:val="center"/>
                </w:tcPr>
                <w:p w14:paraId="3D930CA1" w14:textId="77777777" w:rsidR="00FC4B79" w:rsidRDefault="00000000">
                  <w:pPr>
                    <w:spacing w:line="276" w:lineRule="auto"/>
                    <w:jc w:val="center"/>
                    <w:rPr>
                      <w:rFonts w:ascii="Times New Roman" w:eastAsia="Times New Roman" w:hAnsi="Times New Roman" w:cs="Times New Roman"/>
                      <w:i/>
                      <w:iCs/>
                    </w:rPr>
                  </w:pPr>
                  <w:r>
                    <w:rPr>
                      <w:rFonts w:ascii="Times New Roman" w:eastAsia="Times New Roman" w:hAnsi="Times New Roman" w:cs="Times New Roman"/>
                      <w:i/>
                      <w:iCs/>
                    </w:rPr>
                    <w:t>45</w:t>
                  </w:r>
                </w:p>
                <w:p w14:paraId="4D5855BA" w14:textId="77777777" w:rsidR="00FC4B79" w:rsidRDefault="00000000">
                  <w:pPr>
                    <w:spacing w:line="276" w:lineRule="auto"/>
                    <w:jc w:val="center"/>
                    <w:rPr>
                      <w:rFonts w:ascii="Times New Roman" w:eastAsia="Times New Roman" w:hAnsi="Times New Roman" w:cs="Times New Roman"/>
                      <w:i/>
                      <w:iCs/>
                    </w:rPr>
                  </w:pPr>
                  <w:r>
                    <w:rPr>
                      <w:rFonts w:ascii="Times New Roman" w:eastAsia="Times New Roman" w:hAnsi="Times New Roman" w:cs="Times New Roman"/>
                      <w:i/>
                      <w:iCs/>
                    </w:rPr>
                    <w:t>21,8%</w:t>
                  </w:r>
                </w:p>
              </w:tc>
              <w:tc>
                <w:tcPr>
                  <w:tcW w:w="851" w:type="dxa"/>
                  <w:vAlign w:val="center"/>
                </w:tcPr>
                <w:p w14:paraId="50DDA739" w14:textId="77777777" w:rsidR="00FC4B79" w:rsidRDefault="00000000">
                  <w:pPr>
                    <w:jc w:val="center"/>
                    <w:rPr>
                      <w:rFonts w:ascii="Times New Roman" w:eastAsia="Times New Roman" w:hAnsi="Times New Roman" w:cs="Times New Roman"/>
                    </w:rPr>
                  </w:pPr>
                  <w:r>
                    <w:rPr>
                      <w:rFonts w:ascii="Times New Roman" w:eastAsia="Times New Roman" w:hAnsi="Times New Roman" w:cs="Times New Roman"/>
                    </w:rPr>
                    <w:t>48</w:t>
                  </w:r>
                </w:p>
                <w:p w14:paraId="626509B3" w14:textId="77777777" w:rsidR="00FC4B79" w:rsidRDefault="00000000">
                  <w:pPr>
                    <w:jc w:val="center"/>
                    <w:rPr>
                      <w:rFonts w:ascii="Times New Roman" w:eastAsia="Times New Roman" w:hAnsi="Times New Roman" w:cs="Times New Roman"/>
                      <w:i/>
                      <w:iCs/>
                    </w:rPr>
                  </w:pPr>
                  <w:r>
                    <w:rPr>
                      <w:rFonts w:ascii="Times New Roman" w:eastAsia="Times New Roman" w:hAnsi="Times New Roman" w:cs="Times New Roman"/>
                      <w:i/>
                      <w:iCs/>
                    </w:rPr>
                    <w:t>21,5%</w:t>
                  </w:r>
                </w:p>
              </w:tc>
              <w:tc>
                <w:tcPr>
                  <w:tcW w:w="880" w:type="dxa"/>
                  <w:vAlign w:val="center"/>
                </w:tcPr>
                <w:p w14:paraId="5932099E" w14:textId="77777777" w:rsidR="00FC4B79" w:rsidRDefault="00000000">
                  <w:pPr>
                    <w:jc w:val="center"/>
                    <w:rPr>
                      <w:rFonts w:ascii="Times New Roman" w:eastAsia="Times New Roman" w:hAnsi="Times New Roman" w:cs="Times New Roman"/>
                    </w:rPr>
                  </w:pPr>
                  <w:r>
                    <w:rPr>
                      <w:rFonts w:ascii="Times New Roman" w:eastAsia="Times New Roman" w:hAnsi="Times New Roman" w:cs="Times New Roman"/>
                    </w:rPr>
                    <w:t>54</w:t>
                  </w:r>
                </w:p>
                <w:p w14:paraId="6FA7DA52" w14:textId="77777777" w:rsidR="00FC4B79" w:rsidRDefault="00000000">
                  <w:pPr>
                    <w:jc w:val="center"/>
                    <w:rPr>
                      <w:rFonts w:ascii="Times New Roman" w:eastAsia="Times New Roman" w:hAnsi="Times New Roman" w:cs="Times New Roman"/>
                      <w:i/>
                      <w:iCs/>
                    </w:rPr>
                  </w:pPr>
                  <w:r>
                    <w:rPr>
                      <w:rFonts w:ascii="Times New Roman" w:eastAsia="Times New Roman" w:hAnsi="Times New Roman" w:cs="Times New Roman"/>
                      <w:i/>
                      <w:iCs/>
                    </w:rPr>
                    <w:t>21,0%</w:t>
                  </w:r>
                </w:p>
              </w:tc>
              <w:tc>
                <w:tcPr>
                  <w:tcW w:w="88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56F7986" w14:textId="77777777" w:rsidR="00FC4B79" w:rsidRDefault="00000000">
                  <w:pPr>
                    <w:spacing w:before="240" w:after="240"/>
                    <w:ind w:left="-860"/>
                    <w:jc w:val="right"/>
                    <w:rPr>
                      <w:rFonts w:ascii="Times New Roman" w:eastAsia="Times New Roman" w:hAnsi="Times New Roman" w:cs="Times New Roman"/>
                    </w:rPr>
                  </w:pPr>
                  <w:r>
                    <w:rPr>
                      <w:rFonts w:ascii="Times New Roman" w:eastAsia="Times New Roman" w:hAnsi="Times New Roman" w:cs="Times New Roman"/>
                    </w:rPr>
                    <w:t>46</w:t>
                  </w:r>
                </w:p>
                <w:p w14:paraId="7095B55C" w14:textId="77777777" w:rsidR="00FC4B79" w:rsidRDefault="00000000">
                  <w:pPr>
                    <w:spacing w:before="240" w:after="240"/>
                    <w:ind w:left="-860"/>
                    <w:jc w:val="right"/>
                    <w:rPr>
                      <w:rFonts w:ascii="Times New Roman" w:eastAsia="Times New Roman" w:hAnsi="Times New Roman" w:cs="Times New Roman"/>
                      <w:i/>
                      <w:iCs/>
                    </w:rPr>
                  </w:pPr>
                  <w:r>
                    <w:rPr>
                      <w:rFonts w:ascii="Times New Roman" w:eastAsia="Times New Roman" w:hAnsi="Times New Roman" w:cs="Times New Roman"/>
                      <w:i/>
                      <w:iCs/>
                    </w:rPr>
                    <w:t>24,2%</w:t>
                  </w:r>
                </w:p>
              </w:tc>
            </w:tr>
            <w:tr w:rsidR="00FC4B79" w14:paraId="2F0E94C2" w14:textId="77777777">
              <w:trPr>
                <w:trHeight w:val="411"/>
                <w:tblHeader/>
              </w:trPr>
              <w:tc>
                <w:tcPr>
                  <w:tcW w:w="1989" w:type="dxa"/>
                </w:tcPr>
                <w:p w14:paraId="644994CD" w14:textId="77777777" w:rsidR="00FC4B79" w:rsidRDefault="00000000">
                  <w:pPr>
                    <w:spacing w:line="276" w:lineRule="auto"/>
                    <w:jc w:val="center"/>
                    <w:rPr>
                      <w:rFonts w:ascii="Times New Roman" w:eastAsia="Times New Roman" w:hAnsi="Times New Roman" w:cs="Times New Roman"/>
                    </w:rPr>
                  </w:pPr>
                  <w:r>
                    <w:rPr>
                      <w:rFonts w:ascii="Times New Roman" w:eastAsia="Times New Roman" w:hAnsi="Times New Roman" w:cs="Times New Roman"/>
                    </w:rPr>
                    <w:t>alte forme de proprietate:</w:t>
                  </w:r>
                </w:p>
                <w:p w14:paraId="75DE5808" w14:textId="77777777" w:rsidR="00FC4B79" w:rsidRDefault="00000000">
                  <w:pPr>
                    <w:spacing w:line="276" w:lineRule="auto"/>
                    <w:jc w:val="center"/>
                    <w:rPr>
                      <w:rFonts w:ascii="Times New Roman" w:eastAsia="Times New Roman" w:hAnsi="Times New Roman" w:cs="Times New Roman"/>
                    </w:rPr>
                  </w:pPr>
                  <w:r>
                    <w:rPr>
                      <w:rFonts w:ascii="Times New Roman" w:eastAsia="Times New Roman" w:hAnsi="Times New Roman" w:cs="Times New Roman"/>
                    </w:rPr>
                    <w:t>% din total</w:t>
                  </w:r>
                </w:p>
              </w:tc>
              <w:tc>
                <w:tcPr>
                  <w:tcW w:w="952" w:type="dxa"/>
                  <w:vAlign w:val="center"/>
                </w:tcPr>
                <w:p w14:paraId="6DE429C2" w14:textId="77777777" w:rsidR="00FC4B79" w:rsidRDefault="00000000">
                  <w:pPr>
                    <w:jc w:val="center"/>
                    <w:rPr>
                      <w:rFonts w:ascii="Times New Roman" w:eastAsia="Times New Roman" w:hAnsi="Times New Roman" w:cs="Times New Roman"/>
                    </w:rPr>
                  </w:pPr>
                  <w:r>
                    <w:rPr>
                      <w:rFonts w:ascii="Times New Roman" w:eastAsia="Times New Roman" w:hAnsi="Times New Roman" w:cs="Times New Roman"/>
                    </w:rPr>
                    <w:t>11</w:t>
                  </w:r>
                </w:p>
                <w:p w14:paraId="6522E53F" w14:textId="77777777" w:rsidR="00FC4B79" w:rsidRDefault="00000000">
                  <w:pPr>
                    <w:jc w:val="center"/>
                    <w:rPr>
                      <w:rFonts w:ascii="Times New Roman" w:eastAsia="Times New Roman" w:hAnsi="Times New Roman" w:cs="Times New Roman"/>
                      <w:i/>
                      <w:iCs/>
                    </w:rPr>
                  </w:pPr>
                  <w:r>
                    <w:rPr>
                      <w:rFonts w:ascii="Times New Roman" w:eastAsia="Times New Roman" w:hAnsi="Times New Roman" w:cs="Times New Roman"/>
                      <w:i/>
                      <w:iCs/>
                    </w:rPr>
                    <w:t>6,3%</w:t>
                  </w:r>
                </w:p>
              </w:tc>
              <w:tc>
                <w:tcPr>
                  <w:tcW w:w="1007" w:type="dxa"/>
                  <w:vAlign w:val="center"/>
                </w:tcPr>
                <w:p w14:paraId="06C17FC7" w14:textId="77777777" w:rsidR="00FC4B79" w:rsidRDefault="00000000">
                  <w:pPr>
                    <w:spacing w:line="276" w:lineRule="auto"/>
                    <w:jc w:val="center"/>
                    <w:rPr>
                      <w:rFonts w:ascii="Times New Roman" w:eastAsia="Times New Roman" w:hAnsi="Times New Roman" w:cs="Times New Roman"/>
                    </w:rPr>
                  </w:pPr>
                  <w:r>
                    <w:rPr>
                      <w:rFonts w:ascii="Times New Roman" w:eastAsia="Times New Roman" w:hAnsi="Times New Roman" w:cs="Times New Roman"/>
                    </w:rPr>
                    <w:t>14</w:t>
                  </w:r>
                </w:p>
                <w:p w14:paraId="484F9942" w14:textId="77777777" w:rsidR="00FC4B79" w:rsidRDefault="00000000">
                  <w:pPr>
                    <w:spacing w:line="276" w:lineRule="auto"/>
                    <w:jc w:val="center"/>
                    <w:rPr>
                      <w:rFonts w:ascii="Times New Roman" w:eastAsia="Times New Roman" w:hAnsi="Times New Roman" w:cs="Times New Roman"/>
                      <w:i/>
                      <w:iCs/>
                    </w:rPr>
                  </w:pPr>
                  <w:r>
                    <w:rPr>
                      <w:rFonts w:ascii="Times New Roman" w:eastAsia="Times New Roman" w:hAnsi="Times New Roman" w:cs="Times New Roman"/>
                      <w:i/>
                      <w:iCs/>
                    </w:rPr>
                    <w:t>7,2%</w:t>
                  </w:r>
                </w:p>
              </w:tc>
              <w:tc>
                <w:tcPr>
                  <w:tcW w:w="1078" w:type="dxa"/>
                  <w:vAlign w:val="center"/>
                </w:tcPr>
                <w:p w14:paraId="30B75A03" w14:textId="77777777" w:rsidR="00FC4B79" w:rsidRDefault="00000000">
                  <w:pPr>
                    <w:spacing w:line="276" w:lineRule="auto"/>
                    <w:jc w:val="center"/>
                    <w:rPr>
                      <w:rFonts w:ascii="Times New Roman" w:eastAsia="Times New Roman" w:hAnsi="Times New Roman" w:cs="Times New Roman"/>
                    </w:rPr>
                  </w:pPr>
                  <w:r>
                    <w:rPr>
                      <w:rFonts w:ascii="Times New Roman" w:eastAsia="Times New Roman" w:hAnsi="Times New Roman" w:cs="Times New Roman"/>
                    </w:rPr>
                    <w:t>14</w:t>
                  </w:r>
                </w:p>
                <w:p w14:paraId="0504E130" w14:textId="77777777" w:rsidR="00FC4B79" w:rsidRDefault="00000000">
                  <w:pPr>
                    <w:spacing w:line="276" w:lineRule="auto"/>
                    <w:jc w:val="center"/>
                    <w:rPr>
                      <w:rFonts w:ascii="Times New Roman" w:eastAsia="Times New Roman" w:hAnsi="Times New Roman" w:cs="Times New Roman"/>
                      <w:i/>
                      <w:iCs/>
                    </w:rPr>
                  </w:pPr>
                  <w:r>
                    <w:rPr>
                      <w:rFonts w:ascii="Times New Roman" w:eastAsia="Times New Roman" w:hAnsi="Times New Roman" w:cs="Times New Roman"/>
                      <w:i/>
                      <w:iCs/>
                    </w:rPr>
                    <w:t>7,4%</w:t>
                  </w:r>
                </w:p>
              </w:tc>
              <w:tc>
                <w:tcPr>
                  <w:tcW w:w="880" w:type="dxa"/>
                  <w:vAlign w:val="center"/>
                </w:tcPr>
                <w:p w14:paraId="273F957A" w14:textId="77777777" w:rsidR="00FC4B79" w:rsidRDefault="00000000">
                  <w:pPr>
                    <w:spacing w:line="276" w:lineRule="auto"/>
                    <w:jc w:val="center"/>
                    <w:rPr>
                      <w:rFonts w:ascii="Times New Roman" w:eastAsia="Times New Roman" w:hAnsi="Times New Roman" w:cs="Times New Roman"/>
                      <w:i/>
                      <w:iCs/>
                    </w:rPr>
                  </w:pPr>
                  <w:r>
                    <w:rPr>
                      <w:rFonts w:ascii="Times New Roman" w:eastAsia="Times New Roman" w:hAnsi="Times New Roman" w:cs="Times New Roman"/>
                      <w:i/>
                      <w:iCs/>
                    </w:rPr>
                    <w:t>20</w:t>
                  </w:r>
                </w:p>
                <w:p w14:paraId="4D563526" w14:textId="77777777" w:rsidR="00FC4B79" w:rsidRDefault="00000000">
                  <w:pPr>
                    <w:spacing w:line="276" w:lineRule="auto"/>
                    <w:jc w:val="center"/>
                    <w:rPr>
                      <w:rFonts w:ascii="Times New Roman" w:eastAsia="Times New Roman" w:hAnsi="Times New Roman" w:cs="Times New Roman"/>
                      <w:i/>
                      <w:iCs/>
                    </w:rPr>
                  </w:pPr>
                  <w:r>
                    <w:rPr>
                      <w:rFonts w:ascii="Times New Roman" w:eastAsia="Times New Roman" w:hAnsi="Times New Roman" w:cs="Times New Roman"/>
                      <w:i/>
                      <w:iCs/>
                    </w:rPr>
                    <w:t>9,8%</w:t>
                  </w:r>
                </w:p>
              </w:tc>
              <w:tc>
                <w:tcPr>
                  <w:tcW w:w="851" w:type="dxa"/>
                  <w:vAlign w:val="center"/>
                </w:tcPr>
                <w:p w14:paraId="7F41C5BF" w14:textId="77777777" w:rsidR="00FC4B79" w:rsidRDefault="00000000">
                  <w:pPr>
                    <w:jc w:val="center"/>
                    <w:rPr>
                      <w:rFonts w:ascii="Times New Roman" w:eastAsia="Times New Roman" w:hAnsi="Times New Roman" w:cs="Times New Roman"/>
                    </w:rPr>
                  </w:pPr>
                  <w:r>
                    <w:rPr>
                      <w:rFonts w:ascii="Times New Roman" w:eastAsia="Times New Roman" w:hAnsi="Times New Roman" w:cs="Times New Roman"/>
                    </w:rPr>
                    <w:t>22</w:t>
                  </w:r>
                </w:p>
                <w:p w14:paraId="194C3384" w14:textId="77777777" w:rsidR="00FC4B79" w:rsidRDefault="00000000">
                  <w:pPr>
                    <w:jc w:val="center"/>
                    <w:rPr>
                      <w:rFonts w:ascii="Times New Roman" w:eastAsia="Times New Roman" w:hAnsi="Times New Roman" w:cs="Times New Roman"/>
                      <w:i/>
                      <w:iCs/>
                    </w:rPr>
                  </w:pPr>
                  <w:r>
                    <w:rPr>
                      <w:rFonts w:ascii="Times New Roman" w:eastAsia="Times New Roman" w:hAnsi="Times New Roman" w:cs="Times New Roman"/>
                      <w:i/>
                      <w:iCs/>
                    </w:rPr>
                    <w:t>9,9%</w:t>
                  </w:r>
                </w:p>
              </w:tc>
              <w:tc>
                <w:tcPr>
                  <w:tcW w:w="880" w:type="dxa"/>
                  <w:vAlign w:val="center"/>
                </w:tcPr>
                <w:p w14:paraId="1B60FDA3" w14:textId="77777777" w:rsidR="00FC4B79" w:rsidRDefault="00000000">
                  <w:pPr>
                    <w:jc w:val="center"/>
                    <w:rPr>
                      <w:rFonts w:ascii="Times New Roman" w:eastAsia="Times New Roman" w:hAnsi="Times New Roman" w:cs="Times New Roman"/>
                    </w:rPr>
                  </w:pPr>
                  <w:r>
                    <w:rPr>
                      <w:rFonts w:ascii="Times New Roman" w:eastAsia="Times New Roman" w:hAnsi="Times New Roman" w:cs="Times New Roman"/>
                    </w:rPr>
                    <w:t>31</w:t>
                  </w:r>
                </w:p>
                <w:p w14:paraId="72EF0FE8" w14:textId="77777777" w:rsidR="00FC4B79" w:rsidRDefault="00000000">
                  <w:pPr>
                    <w:jc w:val="center"/>
                    <w:rPr>
                      <w:rFonts w:ascii="Times New Roman" w:eastAsia="Times New Roman" w:hAnsi="Times New Roman" w:cs="Times New Roman"/>
                    </w:rPr>
                  </w:pPr>
                  <w:r>
                    <w:rPr>
                      <w:rFonts w:ascii="Times New Roman" w:eastAsia="Times New Roman" w:hAnsi="Times New Roman" w:cs="Times New Roman"/>
                      <w:i/>
                      <w:iCs/>
                    </w:rPr>
                    <w:t>12,1%</w:t>
                  </w:r>
                </w:p>
              </w:tc>
              <w:tc>
                <w:tcPr>
                  <w:tcW w:w="88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842323D" w14:textId="77777777" w:rsidR="00FC4B79" w:rsidRDefault="00000000">
                  <w:pPr>
                    <w:spacing w:before="240" w:after="240"/>
                    <w:ind w:left="-860"/>
                    <w:jc w:val="right"/>
                    <w:rPr>
                      <w:rFonts w:ascii="Times New Roman" w:eastAsia="Times New Roman" w:hAnsi="Times New Roman" w:cs="Times New Roman"/>
                    </w:rPr>
                  </w:pPr>
                  <w:r>
                    <w:rPr>
                      <w:rFonts w:ascii="Times New Roman" w:eastAsia="Times New Roman" w:hAnsi="Times New Roman" w:cs="Times New Roman"/>
                    </w:rPr>
                    <w:t>18</w:t>
                  </w:r>
                </w:p>
                <w:p w14:paraId="7E8E2AD8" w14:textId="77777777" w:rsidR="00FC4B79" w:rsidRDefault="00000000">
                  <w:pPr>
                    <w:spacing w:before="240" w:after="240"/>
                    <w:ind w:left="-860"/>
                    <w:jc w:val="right"/>
                    <w:rPr>
                      <w:rFonts w:ascii="Times New Roman" w:eastAsia="Times New Roman" w:hAnsi="Times New Roman" w:cs="Times New Roman"/>
                      <w:i/>
                      <w:iCs/>
                    </w:rPr>
                  </w:pPr>
                  <w:r>
                    <w:rPr>
                      <w:rFonts w:ascii="Times New Roman" w:eastAsia="Times New Roman" w:hAnsi="Times New Roman" w:cs="Times New Roman"/>
                      <w:i/>
                      <w:iCs/>
                    </w:rPr>
                    <w:t>9,5%</w:t>
                  </w:r>
                </w:p>
              </w:tc>
            </w:tr>
          </w:tbl>
          <w:p w14:paraId="5D6DACB8" w14:textId="77777777" w:rsidR="00FC4B79" w:rsidRDefault="00000000">
            <w:pPr>
              <w:spacing w:before="240" w:after="240" w:line="240" w:lineRule="auto"/>
              <w:ind w:firstLine="54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În medie, anual circa </w:t>
            </w:r>
            <w:r>
              <w:rPr>
                <w:rFonts w:ascii="Times New Roman" w:eastAsia="Times New Roman" w:hAnsi="Times New Roman" w:cs="Times New Roman"/>
                <w:b/>
                <w:bCs/>
                <w:sz w:val="26"/>
                <w:szCs w:val="26"/>
              </w:rPr>
              <w:t>200 angajatori</w:t>
            </w:r>
            <w:r>
              <w:rPr>
                <w:rFonts w:ascii="Times New Roman" w:eastAsia="Times New Roman" w:hAnsi="Times New Roman" w:cs="Times New Roman"/>
                <w:sz w:val="26"/>
                <w:szCs w:val="26"/>
              </w:rPr>
              <w:t xml:space="preserve"> notifică ANOFM despre disponibilizarea personalului și urmează să deruleze procedurile de informare și consultare a reprezentanților salariaților înainte de adoptarea deciziilor privind măsurile preconizate. Impactul administrativ este redus, însă esențial pentru respectarea drepturilor salariaților și evitarea sancțiunilor și litigiilor.</w:t>
            </w:r>
          </w:p>
          <w:p w14:paraId="5387EB4E" w14:textId="77777777" w:rsidR="00FC4B79" w:rsidRDefault="00000000">
            <w:pPr>
              <w:pStyle w:val="3"/>
              <w:keepNext w:val="0"/>
              <w:keepLines w:val="0"/>
              <w:spacing w:before="280" w:line="240" w:lineRule="auto"/>
              <w:ind w:firstLine="709"/>
              <w:jc w:val="both"/>
              <w:outlineLvl w:val="2"/>
              <w:rPr>
                <w:rFonts w:ascii="Times New Roman" w:eastAsia="Times New Roman" w:hAnsi="Times New Roman" w:cs="Times New Roman"/>
                <w:sz w:val="26"/>
                <w:szCs w:val="26"/>
              </w:rPr>
            </w:pPr>
            <w:bookmarkStart w:id="0" w:name="_vb8ichyxebl4" w:colFirst="0" w:colLast="0"/>
            <w:bookmarkEnd w:id="0"/>
            <w:r>
              <w:rPr>
                <w:rFonts w:ascii="Times New Roman" w:eastAsia="Times New Roman" w:hAnsi="Times New Roman" w:cs="Times New Roman"/>
                <w:b/>
                <w:bCs/>
                <w:color w:val="000000"/>
                <w:sz w:val="26"/>
                <w:szCs w:val="26"/>
                <w:highlight w:val="white"/>
              </w:rPr>
              <w:t xml:space="preserve">Directiva 2008/104/CE </w:t>
            </w:r>
          </w:p>
          <w:p w14:paraId="205AEEB9" w14:textId="77777777" w:rsidR="00FC4B79" w:rsidRDefault="00000000">
            <w:pPr>
              <w:spacing w:before="200" w:after="200" w:line="240" w:lineRule="auto"/>
              <w:ind w:firstLine="709"/>
              <w:jc w:val="both"/>
              <w:rPr>
                <w:rFonts w:ascii="Times New Roman" w:eastAsia="Times New Roman" w:hAnsi="Times New Roman" w:cs="Times New Roman"/>
                <w:b/>
                <w:bCs/>
                <w:sz w:val="26"/>
                <w:szCs w:val="26"/>
                <w:highlight w:val="white"/>
              </w:rPr>
            </w:pPr>
            <w:r>
              <w:rPr>
                <w:rFonts w:ascii="Times New Roman" w:eastAsia="Times New Roman" w:hAnsi="Times New Roman" w:cs="Times New Roman"/>
                <w:sz w:val="26"/>
                <w:szCs w:val="26"/>
              </w:rPr>
              <w:t>Transpunerea prevederilor Directiva 2008/104/CE prin modificările operate la Codul muncii are caracter preponderent tehnic și de clarificare normativă, fără a institui obligații suplimentare și fără a genera impact financiar asupra bugetului public sau asupra mediului de afaceri.</w:t>
            </w:r>
          </w:p>
          <w:p w14:paraId="5B84EB73" w14:textId="77777777" w:rsidR="00FC4B79" w:rsidRDefault="00000000">
            <w:pPr>
              <w:spacing w:before="200" w:line="240" w:lineRule="auto"/>
              <w:ind w:firstLine="540"/>
              <w:jc w:val="both"/>
              <w:rPr>
                <w:rFonts w:ascii="Times New Roman" w:eastAsia="Times New Roman" w:hAnsi="Times New Roman" w:cs="Times New Roman"/>
                <w:b/>
                <w:bCs/>
                <w:sz w:val="26"/>
                <w:szCs w:val="26"/>
                <w:highlight w:val="white"/>
              </w:rPr>
            </w:pPr>
            <w:r>
              <w:rPr>
                <w:rFonts w:ascii="Times New Roman" w:eastAsia="Times New Roman" w:hAnsi="Times New Roman" w:cs="Times New Roman"/>
                <w:b/>
                <w:bCs/>
                <w:sz w:val="26"/>
                <w:szCs w:val="26"/>
                <w:highlight w:val="white"/>
              </w:rPr>
              <w:t>Regulamentul (UE) 2019/1149</w:t>
            </w:r>
          </w:p>
          <w:p w14:paraId="1549761E" w14:textId="77777777" w:rsidR="00FC4B79" w:rsidRDefault="00000000">
            <w:pPr>
              <w:spacing w:before="200" w:line="240" w:lineRule="auto"/>
              <w:ind w:firstLine="54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lastRenderedPageBreak/>
              <w:t>În contextul aplicării prevederilor Regulamentul (UE) 2019/1149, măsurile naționale vizează desemnarea punctelor de contact, asigurarea cooperării administrative și participarea la mecanismele de schimb de informații.</w:t>
            </w:r>
          </w:p>
          <w:p w14:paraId="3E45207C" w14:textId="77777777" w:rsidR="00FC4B79" w:rsidRDefault="00000000">
            <w:pPr>
              <w:spacing w:before="200" w:after="200" w:line="240" w:lineRule="auto"/>
              <w:ind w:firstLine="54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Impactul financiar este limitat și constă în principal în cheltuieli administrative (instruire, coordonare instituțională, adaptări procedurale și ajustări tehnice pentru interoperabilitate). Implementarea se va realiza în limita alocațiilor bugetare aprobate anual, precum și cu posibilitatea atragerii suportului de asistență externă din partea partenerilor de dezvoltare.</w:t>
            </w:r>
          </w:p>
          <w:p w14:paraId="7CFC08BD" w14:textId="77777777" w:rsidR="00FC4B79" w:rsidRDefault="00000000">
            <w:pPr>
              <w:spacing w:line="240" w:lineRule="auto"/>
              <w:ind w:firstLine="540"/>
              <w:jc w:val="both"/>
              <w:rPr>
                <w:rFonts w:ascii="Times New Roman" w:eastAsia="Times New Roman" w:hAnsi="Times New Roman" w:cs="Times New Roman"/>
                <w:b/>
                <w:bCs/>
                <w:sz w:val="26"/>
                <w:szCs w:val="26"/>
                <w:highlight w:val="white"/>
              </w:rPr>
            </w:pPr>
            <w:r>
              <w:rPr>
                <w:rFonts w:ascii="Times New Roman" w:eastAsia="Times New Roman" w:hAnsi="Times New Roman" w:cs="Times New Roman"/>
                <w:b/>
                <w:bCs/>
                <w:sz w:val="26"/>
                <w:szCs w:val="26"/>
                <w:highlight w:val="white"/>
              </w:rPr>
              <w:t>Modificarea art. 103 alin. (3) din Codul muncii</w:t>
            </w:r>
          </w:p>
          <w:p w14:paraId="6BE836BD" w14:textId="77777777" w:rsidR="00FC4B79" w:rsidRDefault="00000000">
            <w:pPr>
              <w:spacing w:line="240" w:lineRule="auto"/>
              <w:ind w:firstLine="540"/>
              <w:jc w:val="both"/>
              <w:rPr>
                <w:rFonts w:ascii="Times New Roman" w:eastAsia="Times New Roman" w:hAnsi="Times New Roman" w:cs="Times New Roman"/>
                <w:b/>
                <w:bCs/>
                <w:sz w:val="26"/>
                <w:szCs w:val="26"/>
                <w:highlight w:val="white"/>
              </w:rPr>
            </w:pPr>
            <w:r>
              <w:rPr>
                <w:rFonts w:ascii="Times New Roman" w:eastAsia="Times New Roman" w:hAnsi="Times New Roman" w:cs="Times New Roman"/>
                <w:sz w:val="26"/>
                <w:szCs w:val="26"/>
                <w:highlight w:val="white"/>
              </w:rPr>
              <w:t>Implementarea prevederilor nu implică cheltuieli suplimentare din bugetul de stat și nici costuri financiare suplimentare pentru angajatori, optimizând costurile legate de organizarea și remunerarea muncii.</w:t>
            </w:r>
          </w:p>
        </w:tc>
      </w:tr>
      <w:tr w:rsidR="00FC4B79" w14:paraId="294FFCF1" w14:textId="77777777">
        <w:trPr>
          <w:trHeight w:val="7767"/>
        </w:trPr>
        <w:tc>
          <w:tcPr>
            <w:tcW w:w="903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0D622D7C" w14:textId="77777777" w:rsidR="00FC4B79" w:rsidRDefault="00000000">
            <w:pPr>
              <w:spacing w:before="200" w:after="200" w:line="240" w:lineRule="auto"/>
              <w:ind w:firstLine="720"/>
              <w:jc w:val="both"/>
              <w:rPr>
                <w:rFonts w:ascii="Times New Roman" w:eastAsia="Times New Roman" w:hAnsi="Times New Roman" w:cs="Times New Roman"/>
                <w:b/>
                <w:bCs/>
                <w:sz w:val="26"/>
                <w:szCs w:val="26"/>
                <w:highlight w:val="white"/>
              </w:rPr>
            </w:pPr>
            <w:r>
              <w:rPr>
                <w:rFonts w:ascii="Times New Roman" w:eastAsia="Times New Roman" w:hAnsi="Times New Roman" w:cs="Times New Roman"/>
                <w:b/>
                <w:bCs/>
                <w:sz w:val="26"/>
                <w:szCs w:val="26"/>
                <w:highlight w:val="white"/>
              </w:rPr>
              <w:lastRenderedPageBreak/>
              <w:t>4.3. Impactul asupra sectorului privat</w:t>
            </w:r>
          </w:p>
          <w:p w14:paraId="0A77AEA3" w14:textId="77777777" w:rsidR="00FC4B79" w:rsidRDefault="00000000">
            <w:pPr>
              <w:spacing w:before="200" w:after="200" w:line="240" w:lineRule="auto"/>
              <w:ind w:firstLine="709"/>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Adoptarea Proiectului de lege va genera efecte gestionabile asupra angajatorilor din sectorul privat, în special asupra celor care trebuie să respecte noile cerințe legale transpuse din acquis‑</w:t>
            </w:r>
            <w:proofErr w:type="spellStart"/>
            <w:r>
              <w:rPr>
                <w:rFonts w:ascii="Times New Roman" w:eastAsia="Times New Roman" w:hAnsi="Times New Roman" w:cs="Times New Roman"/>
                <w:sz w:val="26"/>
                <w:szCs w:val="26"/>
                <w:highlight w:val="white"/>
              </w:rPr>
              <w:t>ul</w:t>
            </w:r>
            <w:proofErr w:type="spellEnd"/>
            <w:r>
              <w:rPr>
                <w:rFonts w:ascii="Times New Roman" w:eastAsia="Times New Roman" w:hAnsi="Times New Roman" w:cs="Times New Roman"/>
                <w:sz w:val="26"/>
                <w:szCs w:val="26"/>
                <w:highlight w:val="white"/>
              </w:rPr>
              <w:t xml:space="preserve"> UE în domeniul securității și sănătății în muncă, protecției salariatelor gravide, egalității de tratament, informării și consultării salariaților, precum și în cazul lucrătorilor temporari și al detașărilor transnaționale.</w:t>
            </w:r>
          </w:p>
          <w:p w14:paraId="2C736CB9" w14:textId="77777777" w:rsidR="00FC4B79" w:rsidRDefault="00000000">
            <w:pPr>
              <w:spacing w:before="200" w:after="200" w:line="240" w:lineRule="auto"/>
              <w:ind w:firstLine="709"/>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Angajatorii privați trebuie să asigure conformarea strictă cu prevederile legale în toate aceste domenii, întrucât nerespectarea atrage sancțiuni conform Codului contravențional.</w:t>
            </w:r>
          </w:p>
          <w:p w14:paraId="631EAFF3" w14:textId="77777777" w:rsidR="00FC4B79" w:rsidRDefault="00000000">
            <w:pPr>
              <w:spacing w:before="200" w:after="200" w:line="240" w:lineRule="auto"/>
              <w:ind w:firstLine="709"/>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Dispensele acordate salariatelor gravide nu generează majorări directe ale costurilor salariale, însă necesită ajustări operaționale pentru redistribuirea sarcinilor și menținerea continuității activității.</w:t>
            </w:r>
          </w:p>
          <w:p w14:paraId="2B50E6B4" w14:textId="77777777" w:rsidR="00FC4B79" w:rsidRDefault="00000000">
            <w:pPr>
              <w:spacing w:before="200" w:after="200" w:line="240" w:lineRule="auto"/>
              <w:ind w:firstLine="709"/>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Cu referire la impactul asupra sectorului privat, clarificarea regimului juridic aplicabil muncii de noapte în cazurile justificate de specificul activității contribuie la creșterea previzibilității pentru angajatorii care activează în regim de muncă în schimburi sau în unități cu activitate continuă. Aceasta permite o mai bună planificare a resurselor umane și reducerea riscului de litigii legate de respectarea programului de muncă.</w:t>
            </w:r>
          </w:p>
          <w:p w14:paraId="59AF50AB" w14:textId="77777777" w:rsidR="00FC4B79" w:rsidRDefault="00000000">
            <w:pPr>
              <w:spacing w:before="200" w:after="200" w:line="240" w:lineRule="auto"/>
              <w:ind w:firstLine="709"/>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Impactul poate varia în funcție de dimensiunea întreprinderilor, fiind mai semnificativ pentru IMM-uri, care pot avea resurse mai limitate pentru adaptarea procedurilor interne, instruirea personalului și gestionarea documentației suplimentare.</w:t>
            </w:r>
          </w:p>
          <w:p w14:paraId="35B6A2B0" w14:textId="77777777" w:rsidR="00FC4B79" w:rsidRDefault="00000000">
            <w:pPr>
              <w:spacing w:before="200" w:after="200" w:line="240" w:lineRule="auto"/>
              <w:ind w:firstLine="709"/>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În ansamblu, Proiectul de lege crește responsabilitatea angajatorilor privați pentru respectarea drepturilor salariaților și conformarea cu cerințele legale, generând un impact financiar și operațional previzibil, dar sancționabil în caz de neîndeplinire.</w:t>
            </w:r>
          </w:p>
          <w:p w14:paraId="3A8C095D" w14:textId="77777777" w:rsidR="00FC4B79" w:rsidRDefault="00000000">
            <w:pPr>
              <w:spacing w:before="200" w:after="200" w:line="240" w:lineRule="auto"/>
              <w:ind w:firstLine="709"/>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lastRenderedPageBreak/>
              <w:t>În același timp, măsurile introduc un cadru clar pentru implementarea legislației UE, contribuind la reducerea incertitudinii în aplicarea normelor și la protecția lucrătorilor în context transfrontalier.</w:t>
            </w:r>
          </w:p>
        </w:tc>
      </w:tr>
      <w:tr w:rsidR="00FC4B79" w14:paraId="72228345" w14:textId="77777777">
        <w:tc>
          <w:tcPr>
            <w:tcW w:w="903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7CA78050" w14:textId="77777777" w:rsidR="00FC4B79" w:rsidRDefault="00000000">
            <w:pPr>
              <w:spacing w:before="200" w:after="200" w:line="240" w:lineRule="auto"/>
              <w:ind w:left="720"/>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lastRenderedPageBreak/>
              <w:t>4.4. Impactul social</w:t>
            </w:r>
          </w:p>
          <w:p w14:paraId="40F28A4D" w14:textId="77777777" w:rsidR="00FC4B79" w:rsidRDefault="00000000">
            <w:pPr>
              <w:spacing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Proiectul de lege are un impact social pozitiv, consolidând protecția drepturilor salariaților și promovând un mediu de muncă echitabil și incluziv. Prin reglementările propuse se asigură protecția efectivă a salariatelor gravide și a tuturor angajaților împotriva discriminării, precum și garantarea participării echitabile la deciziile organizaționale. </w:t>
            </w:r>
          </w:p>
          <w:p w14:paraId="33B094F3" w14:textId="77777777" w:rsidR="00FC4B79" w:rsidRDefault="00000000">
            <w:pPr>
              <w:spacing w:line="240" w:lineRule="auto"/>
              <w:ind w:firstLine="709"/>
              <w:jc w:val="both"/>
              <w:rPr>
                <w:rFonts w:ascii="Times New Roman" w:eastAsia="Times New Roman" w:hAnsi="Times New Roman" w:cs="Times New Roman"/>
                <w:b/>
                <w:bCs/>
                <w:sz w:val="26"/>
                <w:szCs w:val="26"/>
              </w:rPr>
            </w:pPr>
            <w:r>
              <w:rPr>
                <w:rFonts w:ascii="Times New Roman" w:eastAsia="Times New Roman" w:hAnsi="Times New Roman" w:cs="Times New Roman"/>
                <w:sz w:val="26"/>
                <w:szCs w:val="26"/>
              </w:rPr>
              <w:t>În ansamblu, proiectul sprijină coeziunea socială, creșterea incluziunii și accesul uniform la drepturi și beneficii în raporturile de muncă și cele conexe.</w:t>
            </w:r>
          </w:p>
          <w:p w14:paraId="184EF41D" w14:textId="77777777" w:rsidR="00FC4B79" w:rsidRDefault="00000000">
            <w:pPr>
              <w:spacing w:before="200" w:after="200" w:line="240" w:lineRule="auto"/>
              <w:ind w:firstLine="709"/>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4.4.1. Impactul asupra datelor cu caracter personal</w:t>
            </w:r>
          </w:p>
          <w:p w14:paraId="27F7BB1A" w14:textId="77777777" w:rsidR="00FC4B79" w:rsidRDefault="00000000">
            <w:pPr>
              <w:spacing w:before="200" w:after="200" w:line="240" w:lineRule="auto"/>
              <w:ind w:firstLine="709"/>
              <w:jc w:val="both"/>
              <w:rPr>
                <w:rFonts w:ascii="Times New Roman" w:eastAsia="Times New Roman" w:hAnsi="Times New Roman" w:cs="Times New Roman"/>
                <w:b/>
                <w:bCs/>
                <w:sz w:val="26"/>
                <w:szCs w:val="26"/>
              </w:rPr>
            </w:pPr>
            <w:r>
              <w:rPr>
                <w:rFonts w:ascii="Times New Roman" w:eastAsia="Times New Roman" w:hAnsi="Times New Roman" w:cs="Times New Roman"/>
                <w:sz w:val="26"/>
                <w:szCs w:val="26"/>
              </w:rPr>
              <w:t>Proiectul respectă principiile protecției datelor cu caracter personal, deoarece modificările nu implică colectarea sau prelucrarea suplimentară a datelor personale sensibile. Datele referitoare la salariați, cum ar fi informațiile privind remunerația, starea de graviditate, vor fi gestionate conform legislației naționale privind protecția datelor cu caracter personal, precum și a Regulamentului (UE) 2016/679 (GDPR), fără divulgarea neautorizată către terți.</w:t>
            </w:r>
          </w:p>
          <w:p w14:paraId="65D1A19F" w14:textId="77777777" w:rsidR="00FC4B79" w:rsidRDefault="00000000">
            <w:pPr>
              <w:spacing w:before="200" w:after="200" w:line="240" w:lineRule="auto"/>
              <w:ind w:firstLine="709"/>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4.4.2. Impactul asupra echității și egalității de gen</w:t>
            </w:r>
          </w:p>
          <w:p w14:paraId="36322E0C" w14:textId="77777777" w:rsidR="00FC4B79" w:rsidRDefault="00000000">
            <w:pPr>
              <w:spacing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Proiectul promovează echitatea și egalitatea de gen prin:</w:t>
            </w:r>
          </w:p>
          <w:p w14:paraId="3E1D61AB" w14:textId="77777777" w:rsidR="00FC4B79" w:rsidRDefault="00000000">
            <w:pPr>
              <w:spacing w:line="240" w:lineRule="auto"/>
              <w:ind w:firstLine="709"/>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Proiectul promovează echitatea și egalitatea de gen prin:</w:t>
            </w:r>
          </w:p>
          <w:p w14:paraId="0838B8C3" w14:textId="77777777" w:rsidR="00FC4B79" w:rsidRDefault="00000000">
            <w:pPr>
              <w:spacing w:line="240" w:lineRule="auto"/>
              <w:ind w:firstLine="709"/>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consolidarea drepturilor salariatelor gravide, prin garantarea scutirii de la muncă cu menținerea salariului pentru efectuarea consultațiilor prenatale, eliminând practici neuniforme și riscuri de discriminare indirectă;</w:t>
            </w:r>
          </w:p>
          <w:p w14:paraId="0314C9F0" w14:textId="77777777" w:rsidR="00FC4B79" w:rsidRDefault="00000000">
            <w:pPr>
              <w:spacing w:line="240" w:lineRule="auto"/>
              <w:ind w:firstLine="709"/>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aplicarea uniformă a principiului egalității de tratament în raporturile de muncă și alte raporturi conexe, eliminând discriminarea pe criterii de gen și alte criterii protejate în ocuparea forței de muncă, promovare și formare profesională;</w:t>
            </w:r>
          </w:p>
          <w:p w14:paraId="4F93BF66" w14:textId="77777777" w:rsidR="00FC4B79" w:rsidRDefault="00000000">
            <w:pPr>
              <w:spacing w:after="20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highlight w:val="white"/>
              </w:rPr>
              <w:t>– introducerea mecanismelor clare de consultare și informare, care permit tuturor angajaților, femei și bărbați, să participe echitabil la deciziile organizaționale care îi privesc</w:t>
            </w:r>
            <w:r>
              <w:rPr>
                <w:rFonts w:ascii="Times New Roman" w:eastAsia="Times New Roman" w:hAnsi="Times New Roman" w:cs="Times New Roman"/>
                <w:sz w:val="26"/>
                <w:szCs w:val="26"/>
              </w:rPr>
              <w:t>.</w:t>
            </w:r>
          </w:p>
        </w:tc>
      </w:tr>
      <w:tr w:rsidR="00FC4B79" w14:paraId="6C3B8626" w14:textId="77777777">
        <w:tc>
          <w:tcPr>
            <w:tcW w:w="903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3112EF65" w14:textId="77777777" w:rsidR="00FC4B79" w:rsidRDefault="00000000">
            <w:pPr>
              <w:spacing w:before="200" w:after="200" w:line="240" w:lineRule="auto"/>
              <w:ind w:firstLine="709"/>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lastRenderedPageBreak/>
              <w:t>4.5. Impactul asupra mediului</w:t>
            </w:r>
          </w:p>
          <w:p w14:paraId="3E76BCF3" w14:textId="77777777" w:rsidR="00FC4B79" w:rsidRDefault="00000000">
            <w:pPr>
              <w:spacing w:before="200" w:after="200" w:line="240" w:lineRule="auto"/>
              <w:ind w:firstLine="709"/>
              <w:jc w:val="both"/>
              <w:rPr>
                <w:rFonts w:ascii="Times New Roman" w:eastAsia="Times New Roman" w:hAnsi="Times New Roman" w:cs="Times New Roman"/>
                <w:b/>
                <w:bCs/>
                <w:sz w:val="26"/>
                <w:szCs w:val="26"/>
              </w:rPr>
            </w:pPr>
            <w:r>
              <w:rPr>
                <w:rFonts w:ascii="Times New Roman" w:eastAsia="Times New Roman" w:hAnsi="Times New Roman" w:cs="Times New Roman"/>
                <w:sz w:val="26"/>
                <w:szCs w:val="26"/>
              </w:rPr>
              <w:t>Proiectul nu generează impact direct asupra mediului, deoarece modificările vizează exclusiv reglementarea raporturilor de muncă, securitatea și sănătatea în muncă, egalitatea de tratament și cooperarea instituțională. Nu se prevăd obligații care să afecteze consumul de resurse naturale, poluarea, deșeurile sau alte aspecte ecologice.</w:t>
            </w:r>
          </w:p>
        </w:tc>
      </w:tr>
      <w:tr w:rsidR="00FC4B79" w14:paraId="1BCBD70C" w14:textId="77777777">
        <w:tc>
          <w:tcPr>
            <w:tcW w:w="9030" w:type="dxa"/>
            <w:tcBorders>
              <w:top w:val="nil"/>
              <w:left w:val="single" w:sz="8" w:space="0" w:color="000000"/>
              <w:bottom w:val="single" w:sz="8" w:space="0" w:color="000000"/>
              <w:right w:val="single" w:sz="8" w:space="0" w:color="000000"/>
            </w:tcBorders>
            <w:shd w:val="clear" w:color="auto" w:fill="EDEDED"/>
            <w:tcMar>
              <w:top w:w="0" w:type="dxa"/>
              <w:left w:w="108" w:type="dxa"/>
              <w:bottom w:w="0" w:type="dxa"/>
              <w:right w:w="108" w:type="dxa"/>
            </w:tcMar>
          </w:tcPr>
          <w:p w14:paraId="429651C5" w14:textId="77777777" w:rsidR="00FC4B79" w:rsidRDefault="00000000">
            <w:pPr>
              <w:spacing w:before="200" w:after="200" w:line="240" w:lineRule="auto"/>
              <w:ind w:firstLine="709"/>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4.6. Alte impacturi și informații relevante</w:t>
            </w:r>
          </w:p>
        </w:tc>
      </w:tr>
      <w:tr w:rsidR="00FC4B79" w14:paraId="53678F01" w14:textId="77777777">
        <w:tc>
          <w:tcPr>
            <w:tcW w:w="903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7605B116" w14:textId="77777777" w:rsidR="00FC4B79" w:rsidRDefault="00000000">
            <w:pPr>
              <w:spacing w:before="200" w:after="20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Nu sunt.</w:t>
            </w:r>
          </w:p>
        </w:tc>
      </w:tr>
      <w:tr w:rsidR="00FC4B79" w14:paraId="7F2E5DDE" w14:textId="77777777">
        <w:tc>
          <w:tcPr>
            <w:tcW w:w="9030" w:type="dxa"/>
            <w:tcBorders>
              <w:top w:val="nil"/>
              <w:left w:val="single" w:sz="8" w:space="0" w:color="000000"/>
              <w:bottom w:val="single" w:sz="8" w:space="0" w:color="000000"/>
              <w:right w:val="single" w:sz="8" w:space="0" w:color="000000"/>
            </w:tcBorders>
            <w:shd w:val="clear" w:color="auto" w:fill="EDEDED"/>
            <w:tcMar>
              <w:top w:w="0" w:type="dxa"/>
              <w:left w:w="108" w:type="dxa"/>
              <w:bottom w:w="0" w:type="dxa"/>
              <w:right w:w="108" w:type="dxa"/>
            </w:tcMar>
          </w:tcPr>
          <w:p w14:paraId="46E5F680" w14:textId="77777777" w:rsidR="00FC4B79" w:rsidRDefault="00000000">
            <w:pPr>
              <w:spacing w:before="200" w:after="200" w:line="240" w:lineRule="auto"/>
              <w:ind w:firstLine="709"/>
              <w:jc w:val="both"/>
              <w:rPr>
                <w:rFonts w:ascii="Times New Roman" w:eastAsia="Times New Roman" w:hAnsi="Times New Roman" w:cs="Times New Roman"/>
                <w:b/>
                <w:bCs/>
                <w:sz w:val="26"/>
                <w:szCs w:val="26"/>
                <w:shd w:val="clear" w:color="auto" w:fill="999999"/>
              </w:rPr>
            </w:pPr>
            <w:r>
              <w:rPr>
                <w:rFonts w:ascii="Times New Roman" w:eastAsia="Times New Roman" w:hAnsi="Times New Roman" w:cs="Times New Roman"/>
                <w:b/>
                <w:bCs/>
                <w:sz w:val="26"/>
                <w:szCs w:val="26"/>
                <w:shd w:val="clear" w:color="auto" w:fill="EDEDED"/>
              </w:rPr>
              <w:t>5. Compatibilitatea proiectului actului normativ cu legislația UE</w:t>
            </w:r>
            <w:r>
              <w:rPr>
                <w:rFonts w:ascii="Times New Roman" w:eastAsia="Times New Roman" w:hAnsi="Times New Roman" w:cs="Times New Roman"/>
                <w:b/>
                <w:bCs/>
                <w:sz w:val="26"/>
                <w:szCs w:val="26"/>
                <w:shd w:val="clear" w:color="auto" w:fill="999999"/>
              </w:rPr>
              <w:t xml:space="preserve"> </w:t>
            </w:r>
          </w:p>
        </w:tc>
      </w:tr>
      <w:tr w:rsidR="00FC4B79" w14:paraId="24957C22" w14:textId="77777777">
        <w:tc>
          <w:tcPr>
            <w:tcW w:w="903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30D417E4" w14:textId="77777777" w:rsidR="00FC4B79" w:rsidRDefault="00000000">
            <w:pPr>
              <w:spacing w:before="240" w:after="240" w:line="240" w:lineRule="auto"/>
              <w:ind w:firstLine="72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Proiectul de lege are relevanță pentru transpunerea acquis-ului Uniunii Europene, încadrându-se în domeniile „libera circulație a lucrătorilor” și „politica socială și ocuparea forței de muncă”.</w:t>
            </w:r>
          </w:p>
          <w:p w14:paraId="53A5649D" w14:textId="77777777" w:rsidR="00FC4B79" w:rsidRDefault="00000000">
            <w:pPr>
              <w:spacing w:before="240" w:after="240" w:line="240" w:lineRule="auto"/>
              <w:ind w:firstLine="72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În urma expertizei de compatibilitate realizate de Centrul de Armonizare a Legislației, s-a constatat că prezentul proiect:</w:t>
            </w:r>
          </w:p>
          <w:p w14:paraId="0B11AC43" w14:textId="77777777" w:rsidR="00FC4B79" w:rsidRDefault="00000000">
            <w:pPr>
              <w:numPr>
                <w:ilvl w:val="0"/>
                <w:numId w:val="2"/>
              </w:numPr>
              <w:spacing w:before="240" w:line="240" w:lineRule="auto"/>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t>transpune parțial</w:t>
            </w:r>
            <w:r>
              <w:rPr>
                <w:rFonts w:ascii="Times New Roman" w:eastAsia="Times New Roman" w:hAnsi="Times New Roman" w:cs="Times New Roman"/>
                <w:sz w:val="26"/>
                <w:szCs w:val="26"/>
                <w:highlight w:val="white"/>
              </w:rPr>
              <w:t xml:space="preserve"> un set de directive ale Uniunii Europene;</w:t>
            </w:r>
          </w:p>
          <w:p w14:paraId="400A35EB" w14:textId="77777777" w:rsidR="00FC4B79" w:rsidRDefault="00000000">
            <w:pPr>
              <w:numPr>
                <w:ilvl w:val="0"/>
                <w:numId w:val="2"/>
              </w:numPr>
              <w:spacing w:after="240" w:line="240" w:lineRule="auto"/>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t>creează cadrul juridic intern necesar pentru implementarea</w:t>
            </w:r>
            <w:r>
              <w:rPr>
                <w:rFonts w:ascii="Times New Roman" w:eastAsia="Times New Roman" w:hAnsi="Times New Roman" w:cs="Times New Roman"/>
                <w:sz w:val="26"/>
                <w:szCs w:val="26"/>
                <w:highlight w:val="white"/>
              </w:rPr>
              <w:t xml:space="preserve"> Regulamentului (UE) 2019/1149</w:t>
            </w:r>
          </w:p>
          <w:p w14:paraId="62C35F52" w14:textId="77777777" w:rsidR="00FC4B79" w:rsidRDefault="00000000">
            <w:pPr>
              <w:spacing w:before="240" w:after="240" w:line="240" w:lineRule="auto"/>
              <w:ind w:firstLine="72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Actele juridice ale Uniunii Europene relevante pentru proiect sunt:</w:t>
            </w:r>
          </w:p>
          <w:p w14:paraId="7C2CBCA7" w14:textId="77777777" w:rsidR="00FC4B79" w:rsidRDefault="00000000">
            <w:pPr>
              <w:numPr>
                <w:ilvl w:val="0"/>
                <w:numId w:val="4"/>
              </w:numPr>
              <w:spacing w:before="240" w:line="240" w:lineRule="auto"/>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Directiva 89/391/CEE a Consiliului din 12 iunie 1989;</w:t>
            </w:r>
          </w:p>
          <w:p w14:paraId="5B4E5A23" w14:textId="77777777" w:rsidR="00FC4B79" w:rsidRDefault="00000000">
            <w:pPr>
              <w:numPr>
                <w:ilvl w:val="0"/>
                <w:numId w:val="4"/>
              </w:numPr>
              <w:spacing w:line="240" w:lineRule="auto"/>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Directiva 91/383/CEE a Consiliului din 25 iunie 1991;</w:t>
            </w:r>
          </w:p>
          <w:p w14:paraId="67E4DA23" w14:textId="77777777" w:rsidR="00FC4B79" w:rsidRDefault="00000000">
            <w:pPr>
              <w:numPr>
                <w:ilvl w:val="0"/>
                <w:numId w:val="4"/>
              </w:numPr>
              <w:spacing w:line="240" w:lineRule="auto"/>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Directiva 92/85/CEE a Consiliului din 19 octombrie 1992;</w:t>
            </w:r>
          </w:p>
          <w:p w14:paraId="5191605B" w14:textId="77777777" w:rsidR="00FC4B79" w:rsidRDefault="00000000">
            <w:pPr>
              <w:numPr>
                <w:ilvl w:val="0"/>
                <w:numId w:val="4"/>
              </w:numPr>
              <w:spacing w:line="240" w:lineRule="auto"/>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Directiva 2000/43/CE a Consiliului din 29 iunie 2000;</w:t>
            </w:r>
          </w:p>
          <w:p w14:paraId="512A75A0" w14:textId="77777777" w:rsidR="00FC4B79" w:rsidRDefault="00000000">
            <w:pPr>
              <w:numPr>
                <w:ilvl w:val="0"/>
                <w:numId w:val="4"/>
              </w:numPr>
              <w:spacing w:line="240" w:lineRule="auto"/>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Directiva 2000/78/CE a Consiliului din 27 noiembrie 2000;</w:t>
            </w:r>
          </w:p>
          <w:p w14:paraId="64EF4A8C" w14:textId="77777777" w:rsidR="00FC4B79" w:rsidRDefault="00000000">
            <w:pPr>
              <w:numPr>
                <w:ilvl w:val="0"/>
                <w:numId w:val="4"/>
              </w:numPr>
              <w:spacing w:line="240" w:lineRule="auto"/>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lastRenderedPageBreak/>
              <w:t>Directiva 2002/14/CE a Parlamentului European și a Consiliului din 11 martie 2002;</w:t>
            </w:r>
          </w:p>
          <w:p w14:paraId="4B0BCB61" w14:textId="77777777" w:rsidR="00FC4B79" w:rsidRDefault="00000000">
            <w:pPr>
              <w:numPr>
                <w:ilvl w:val="0"/>
                <w:numId w:val="4"/>
              </w:numPr>
              <w:spacing w:after="240" w:line="240" w:lineRule="auto"/>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Directiva 2008/104/CE a Parlamentului European și a Consiliului din 19 noiembrie 2008.</w:t>
            </w:r>
          </w:p>
          <w:p w14:paraId="1E861F02" w14:textId="77777777" w:rsidR="00FC4B79" w:rsidRDefault="00000000">
            <w:pPr>
              <w:spacing w:before="240" w:after="240" w:line="240" w:lineRule="auto"/>
              <w:ind w:firstLine="72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Se menționează că anumite acte UE sunt în proces de actualizare (ex.: Directiva 2000/43/CE modificată prin Directiva (UE) 2024/1499).</w:t>
            </w:r>
          </w:p>
          <w:p w14:paraId="1A60503E" w14:textId="77777777" w:rsidR="00FC4B79" w:rsidRDefault="00000000">
            <w:pPr>
              <w:spacing w:before="240" w:after="240" w:line="240" w:lineRule="auto"/>
              <w:ind w:firstLine="72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Au fost actualizate </w:t>
            </w:r>
            <w:r>
              <w:rPr>
                <w:rFonts w:ascii="Times New Roman" w:eastAsia="Times New Roman" w:hAnsi="Times New Roman" w:cs="Times New Roman"/>
                <w:b/>
                <w:bCs/>
                <w:sz w:val="26"/>
                <w:szCs w:val="26"/>
                <w:highlight w:val="white"/>
              </w:rPr>
              <w:t>tabelele de concordanță</w:t>
            </w:r>
            <w:r>
              <w:rPr>
                <w:rFonts w:ascii="Times New Roman" w:eastAsia="Times New Roman" w:hAnsi="Times New Roman" w:cs="Times New Roman"/>
                <w:sz w:val="26"/>
                <w:szCs w:val="26"/>
                <w:highlight w:val="white"/>
              </w:rPr>
              <w:t>, conform cerințelor specificate.</w:t>
            </w:r>
          </w:p>
          <w:p w14:paraId="7BF31D0E" w14:textId="77777777" w:rsidR="00FC4B79" w:rsidRDefault="00000000">
            <w:pPr>
              <w:spacing w:before="200" w:after="200" w:line="240" w:lineRule="auto"/>
              <w:ind w:firstLine="709"/>
              <w:jc w:val="both"/>
              <w:rPr>
                <w:rFonts w:ascii="Times New Roman" w:eastAsia="Times New Roman" w:hAnsi="Times New Roman" w:cs="Times New Roman"/>
                <w:b/>
                <w:bCs/>
                <w:sz w:val="26"/>
                <w:szCs w:val="26"/>
                <w:highlight w:val="white"/>
              </w:rPr>
            </w:pPr>
            <w:r>
              <w:rPr>
                <w:rFonts w:ascii="Times New Roman" w:eastAsia="Times New Roman" w:hAnsi="Times New Roman" w:cs="Times New Roman"/>
                <w:b/>
                <w:bCs/>
                <w:sz w:val="26"/>
                <w:szCs w:val="26"/>
                <w:highlight w:val="white"/>
              </w:rPr>
              <w:t>5.1. Măsuri normative necesare pentru transpunerea actelor juridice ale UE în legislația națională</w:t>
            </w:r>
          </w:p>
          <w:p w14:paraId="38AEADAE" w14:textId="77777777" w:rsidR="00FC4B79" w:rsidRDefault="00000000">
            <w:pPr>
              <w:pStyle w:val="3"/>
              <w:keepNext w:val="0"/>
              <w:keepLines w:val="0"/>
              <w:spacing w:before="0" w:after="0" w:line="240" w:lineRule="auto"/>
              <w:ind w:firstLine="709"/>
              <w:jc w:val="both"/>
              <w:outlineLvl w:val="2"/>
              <w:rPr>
                <w:rFonts w:ascii="Times New Roman" w:eastAsia="Times New Roman" w:hAnsi="Times New Roman" w:cs="Times New Roman"/>
                <w:color w:val="000000"/>
                <w:sz w:val="26"/>
                <w:szCs w:val="26"/>
                <w:highlight w:val="white"/>
              </w:rPr>
            </w:pPr>
            <w:bookmarkStart w:id="1" w:name="_bd9opredc4v8" w:colFirst="0" w:colLast="0"/>
            <w:bookmarkEnd w:id="1"/>
            <w:r>
              <w:rPr>
                <w:rFonts w:ascii="Times New Roman" w:eastAsia="Times New Roman" w:hAnsi="Times New Roman" w:cs="Times New Roman"/>
                <w:color w:val="000000"/>
                <w:sz w:val="26"/>
                <w:szCs w:val="26"/>
                <w:highlight w:val="white"/>
              </w:rPr>
              <w:t>Actele UE vizate urmăresc, în principal:</w:t>
            </w:r>
          </w:p>
          <w:p w14:paraId="2049AEF9" w14:textId="77777777" w:rsidR="00FC4B79" w:rsidRDefault="00000000">
            <w:pPr>
              <w:numPr>
                <w:ilvl w:val="0"/>
                <w:numId w:val="3"/>
              </w:numPr>
              <w:spacing w:line="240" w:lineRule="auto"/>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asigurarea securității și sănătății în muncă;</w:t>
            </w:r>
          </w:p>
          <w:p w14:paraId="45CA5A3A" w14:textId="77777777" w:rsidR="00FC4B79" w:rsidRDefault="00000000">
            <w:pPr>
              <w:numPr>
                <w:ilvl w:val="0"/>
                <w:numId w:val="3"/>
              </w:numPr>
              <w:spacing w:line="240" w:lineRule="auto"/>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protecția categoriilor de salariați (femei gravide);</w:t>
            </w:r>
          </w:p>
          <w:p w14:paraId="7EF43FC1" w14:textId="77777777" w:rsidR="00FC4B79" w:rsidRDefault="00000000">
            <w:pPr>
              <w:numPr>
                <w:ilvl w:val="0"/>
                <w:numId w:val="3"/>
              </w:numPr>
              <w:spacing w:line="240" w:lineRule="auto"/>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garantarea egalității de tratament și combaterea discriminării;</w:t>
            </w:r>
          </w:p>
          <w:p w14:paraId="7B3EC366" w14:textId="77777777" w:rsidR="00FC4B79" w:rsidRDefault="00000000">
            <w:pPr>
              <w:numPr>
                <w:ilvl w:val="0"/>
                <w:numId w:val="3"/>
              </w:numPr>
              <w:spacing w:line="240" w:lineRule="auto"/>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instituirea mecanismelor de informare și consultare a salariaților;</w:t>
            </w:r>
          </w:p>
          <w:p w14:paraId="31DB1CA9" w14:textId="77777777" w:rsidR="00FC4B79" w:rsidRDefault="00000000">
            <w:pPr>
              <w:numPr>
                <w:ilvl w:val="0"/>
                <w:numId w:val="3"/>
              </w:numPr>
              <w:spacing w:line="240" w:lineRule="auto"/>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consolidarea cooperării administrative între statele membre.</w:t>
            </w:r>
          </w:p>
          <w:p w14:paraId="3DE75BEE" w14:textId="77777777" w:rsidR="00FC4B79" w:rsidRDefault="00000000">
            <w:pPr>
              <w:spacing w:before="240" w:after="240" w:line="240" w:lineRule="auto"/>
              <w:ind w:firstLine="72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Proiectul asigură </w:t>
            </w:r>
            <w:r>
              <w:rPr>
                <w:rFonts w:ascii="Times New Roman" w:eastAsia="Times New Roman" w:hAnsi="Times New Roman" w:cs="Times New Roman"/>
                <w:b/>
                <w:bCs/>
                <w:sz w:val="26"/>
                <w:szCs w:val="26"/>
                <w:highlight w:val="white"/>
              </w:rPr>
              <w:t>transpunerea parțială</w:t>
            </w:r>
            <w:r>
              <w:rPr>
                <w:rFonts w:ascii="Times New Roman" w:eastAsia="Times New Roman" w:hAnsi="Times New Roman" w:cs="Times New Roman"/>
                <w:sz w:val="26"/>
                <w:szCs w:val="26"/>
                <w:highlight w:val="white"/>
              </w:rPr>
              <w:t xml:space="preserve"> a actelor juridice ale UE menționate, completând cadrul normativ național existent, care a realizat anterior transpuneri totale sau parțiale.</w:t>
            </w:r>
          </w:p>
          <w:p w14:paraId="6FBE9FCF" w14:textId="77777777" w:rsidR="00FC4B79" w:rsidRDefault="00000000">
            <w:pPr>
              <w:spacing w:before="240" w:after="240" w:line="240" w:lineRule="auto"/>
              <w:ind w:firstLine="72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Nu este vorba de o transpunere primară, ci de o </w:t>
            </w:r>
            <w:r>
              <w:rPr>
                <w:rFonts w:ascii="Times New Roman" w:eastAsia="Times New Roman" w:hAnsi="Times New Roman" w:cs="Times New Roman"/>
                <w:b/>
                <w:bCs/>
                <w:sz w:val="26"/>
                <w:szCs w:val="26"/>
                <w:highlight w:val="white"/>
              </w:rPr>
              <w:t>transpunere complementară/ajustare</w:t>
            </w:r>
            <w:r>
              <w:rPr>
                <w:rFonts w:ascii="Times New Roman" w:eastAsia="Times New Roman" w:hAnsi="Times New Roman" w:cs="Times New Roman"/>
                <w:sz w:val="26"/>
                <w:szCs w:val="26"/>
                <w:highlight w:val="white"/>
              </w:rPr>
              <w:t>, fiind indicate actele naționale relevante deja existente (Codul muncii, Legea nr. 186/2008, Legea nr. 140/2001, Legea nr. 121/2012, Cod contravențional etc).</w:t>
            </w:r>
          </w:p>
          <w:p w14:paraId="7F05CD0B" w14:textId="77777777" w:rsidR="00FC4B79" w:rsidRDefault="00000000">
            <w:pPr>
              <w:spacing w:before="240" w:after="240" w:line="240" w:lineRule="auto"/>
              <w:ind w:firstLine="72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Pentru realizarea transpunerii sunt prevăzute modificarea actelor normative menționate supra, prin completarea normelor privind: protecția salariatelor gravide, egalitatea de tratament și nediscriminarea, informarea și consultarea salariaților, introducerea mecanismelor de raportare SSM către Comisia Europeană.</w:t>
            </w:r>
          </w:p>
          <w:p w14:paraId="1C982126" w14:textId="77777777" w:rsidR="00FC4B79" w:rsidRDefault="00000000">
            <w:pPr>
              <w:spacing w:before="240" w:after="240" w:line="240" w:lineRule="auto"/>
              <w:ind w:firstLine="72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În anumite cazuri, proiectul racordează prevederile naționale la cerințele minime ale directivelor Uniunii Europene (de exemplu, în materia informării și consultării salariaților, în sensul ajustării pragurilor de aplicare, precum și definirii exprese a noțiunilor date), în vederea asigurării conformității cu actele UE și evitării unor reglementări excesive sau disproporționate, ca urmare a celor notate în avizul CAL.</w:t>
            </w:r>
          </w:p>
          <w:p w14:paraId="133C75EA" w14:textId="77777777" w:rsidR="00FC4B79" w:rsidRDefault="00000000">
            <w:pPr>
              <w:spacing w:line="240" w:lineRule="auto"/>
              <w:ind w:firstLine="72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Referitor la unele aspecte menționate în avizul CAL, este important a nota că: obligațiile de raportare prevăzute de directivele privind egalitatea (Directiva 2000/43/CE și 2000/78/CE) necesită a fi reglementate în Legea nr. 121/2012, nu în Codul muncii, pentru a evita fragmentarea normativă.</w:t>
            </w:r>
          </w:p>
          <w:p w14:paraId="118453F3" w14:textId="77777777" w:rsidR="00FC4B79" w:rsidRDefault="00000000">
            <w:pPr>
              <w:spacing w:line="240" w:lineRule="auto"/>
              <w:ind w:firstLine="708"/>
              <w:jc w:val="both"/>
              <w:rPr>
                <w:rFonts w:ascii="Times New Roman" w:eastAsia="Times New Roman" w:hAnsi="Times New Roman" w:cs="Times New Roman"/>
                <w:b/>
                <w:bCs/>
                <w:sz w:val="26"/>
                <w:szCs w:val="26"/>
                <w:highlight w:val="white"/>
              </w:rPr>
            </w:pPr>
            <w:r>
              <w:rPr>
                <w:rFonts w:ascii="Times New Roman" w:eastAsia="Times New Roman" w:hAnsi="Times New Roman" w:cs="Times New Roman"/>
                <w:b/>
                <w:bCs/>
                <w:sz w:val="26"/>
                <w:szCs w:val="26"/>
                <w:highlight w:val="white"/>
              </w:rPr>
              <w:t>Armonizarea legislației naționale</w:t>
            </w:r>
          </w:p>
          <w:p w14:paraId="1C953EC3" w14:textId="77777777" w:rsidR="00FC4B79" w:rsidRDefault="00000000">
            <w:pPr>
              <w:spacing w:after="200" w:line="240" w:lineRule="auto"/>
              <w:ind w:firstLine="708"/>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lastRenderedPageBreak/>
              <w:t xml:space="preserve">– </w:t>
            </w:r>
            <w:r>
              <w:rPr>
                <w:rFonts w:ascii="Times New Roman" w:eastAsia="Times New Roman" w:hAnsi="Times New Roman" w:cs="Times New Roman"/>
                <w:b/>
                <w:bCs/>
                <w:sz w:val="26"/>
                <w:szCs w:val="26"/>
                <w:highlight w:val="white"/>
              </w:rPr>
              <w:t>c</w:t>
            </w:r>
            <w:r>
              <w:rPr>
                <w:rFonts w:ascii="Times New Roman" w:eastAsia="Times New Roman" w:hAnsi="Times New Roman" w:cs="Times New Roman"/>
                <w:sz w:val="26"/>
                <w:szCs w:val="26"/>
                <w:highlight w:val="white"/>
              </w:rPr>
              <w:t>orelarea prevederilor interne cu directivele UE enumerate supra pentru evitarea conflictelor de aplicare.</w:t>
            </w:r>
          </w:p>
        </w:tc>
      </w:tr>
      <w:tr w:rsidR="00FC4B79" w14:paraId="32084B26" w14:textId="77777777">
        <w:tc>
          <w:tcPr>
            <w:tcW w:w="9030" w:type="dxa"/>
            <w:tcBorders>
              <w:top w:val="nil"/>
              <w:left w:val="single" w:sz="8" w:space="0" w:color="000000"/>
              <w:bottom w:val="single" w:sz="8" w:space="0" w:color="000000"/>
              <w:right w:val="single" w:sz="8" w:space="0" w:color="000000"/>
            </w:tcBorders>
            <w:shd w:val="clear" w:color="auto" w:fill="EDEDED"/>
            <w:tcMar>
              <w:top w:w="0" w:type="dxa"/>
              <w:left w:w="108" w:type="dxa"/>
              <w:bottom w:w="0" w:type="dxa"/>
              <w:right w:w="108" w:type="dxa"/>
            </w:tcMar>
          </w:tcPr>
          <w:p w14:paraId="15C7EE29" w14:textId="77777777" w:rsidR="00FC4B79" w:rsidRDefault="00000000">
            <w:pPr>
              <w:spacing w:before="200" w:after="200" w:line="240" w:lineRule="auto"/>
              <w:ind w:firstLine="709"/>
              <w:jc w:val="both"/>
              <w:rPr>
                <w:rFonts w:ascii="Times New Roman" w:eastAsia="Times New Roman" w:hAnsi="Times New Roman" w:cs="Times New Roman"/>
                <w:b/>
                <w:bCs/>
                <w:sz w:val="26"/>
                <w:szCs w:val="26"/>
                <w:shd w:val="clear" w:color="auto" w:fill="EDEDED"/>
              </w:rPr>
            </w:pPr>
            <w:r>
              <w:rPr>
                <w:rFonts w:ascii="Times New Roman" w:eastAsia="Times New Roman" w:hAnsi="Times New Roman" w:cs="Times New Roman"/>
                <w:b/>
                <w:bCs/>
                <w:sz w:val="26"/>
                <w:szCs w:val="26"/>
                <w:shd w:val="clear" w:color="auto" w:fill="EDEDED"/>
              </w:rPr>
              <w:lastRenderedPageBreak/>
              <w:t>5.2. Măsuri normative care urmăresc crearea cadrului juridic intern necesar pentru implementarea legislației UE</w:t>
            </w:r>
          </w:p>
        </w:tc>
      </w:tr>
      <w:tr w:rsidR="00FC4B79" w14:paraId="4B9F9551" w14:textId="77777777">
        <w:tc>
          <w:tcPr>
            <w:tcW w:w="903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337C9C0" w14:textId="77777777" w:rsidR="00FC4B79" w:rsidRDefault="00000000">
            <w:pPr>
              <w:spacing w:before="200" w:after="200" w:line="240" w:lineRule="auto"/>
              <w:ind w:firstLine="72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Proiectul de lege creează cadrul juridic intern necesar pentru implementarea prevederilor unor acte ale Uniunii Europene, în special Regulamentul (UE) 2019/1149 al Parlamentului European și al Consiliului din 20 iunie 2019 privind instituirea Autorității Europene a Muncii.</w:t>
            </w:r>
          </w:p>
          <w:p w14:paraId="0E436F2B" w14:textId="77777777" w:rsidR="00FC4B79" w:rsidRDefault="00000000">
            <w:pPr>
              <w:spacing w:before="200" w:after="200" w:line="240" w:lineRule="auto"/>
              <w:ind w:firstLine="72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În acest sens, sunt prevăzute măsuri normative pentru consolidarea cooperării administrative și a schimbului de informații între autoritățile naționale și instituțiile Uniunii Europene, inclusiv prin desemnarea Inspectoratului de Stat al Muncii drept autoritate competentă și punct de contact. Proiectul reglementează mecanismele de cooperare cu autoritățile statelor membre, procedurile de notificare și schimb de informații, precum și cadrul juridic pentru participarea la activitățile Autorității Europene a Muncii, inclusiv soluționarea litigiilor transfrontaliere prin mediere. </w:t>
            </w:r>
          </w:p>
          <w:p w14:paraId="4C0C82BD" w14:textId="77777777" w:rsidR="00FC4B79" w:rsidRDefault="00000000">
            <w:pPr>
              <w:spacing w:before="200" w:after="200" w:line="240" w:lineRule="auto"/>
              <w:ind w:firstLine="72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Măsurile propuse sunt necesare pentru aplicarea efectivă a legislației Uniunii Europene, pentru îndeplinirea obligațiilor asumate de Republica Moldova în cadrul Acordului de Asociere RM–UE, pentru funcționarea eficientă a mecanismelor de cooperare administrativă la nivel european și pentru protecția drepturilor lucrătorilor în context transfrontalier. </w:t>
            </w:r>
          </w:p>
          <w:p w14:paraId="17006D65" w14:textId="77777777" w:rsidR="00FC4B79" w:rsidRDefault="00000000">
            <w:pPr>
              <w:spacing w:before="200" w:after="200" w:line="240" w:lineRule="auto"/>
              <w:ind w:firstLine="72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Armonizarea legislației interne asigură corelarea cadrului normativ național cu actele UE și evitarea conflictelor de aplicare în domeniul muncii, sănătății și securității în muncă, protecției salariaților.</w:t>
            </w:r>
          </w:p>
          <w:p w14:paraId="06718247" w14:textId="77777777" w:rsidR="00FC4B79" w:rsidRDefault="00000000">
            <w:pPr>
              <w:spacing w:before="200" w:after="200" w:line="240" w:lineRule="auto"/>
              <w:ind w:firstLine="72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Tabelele de concordanță, elaborate și actualizate în conformitate cu legislația aplicabilă, reflectă gradul de transpunere, prevederile neaplicabile și justificările aferente, iar proiectul nu conține </w:t>
            </w:r>
            <w:proofErr w:type="spellStart"/>
            <w:r>
              <w:rPr>
                <w:rFonts w:ascii="Times New Roman" w:eastAsia="Times New Roman" w:hAnsi="Times New Roman" w:cs="Times New Roman"/>
                <w:sz w:val="26"/>
                <w:szCs w:val="26"/>
                <w:highlight w:val="white"/>
              </w:rPr>
              <w:t>suprareglementări</w:t>
            </w:r>
            <w:proofErr w:type="spellEnd"/>
            <w:r>
              <w:rPr>
                <w:rFonts w:ascii="Times New Roman" w:eastAsia="Times New Roman" w:hAnsi="Times New Roman" w:cs="Times New Roman"/>
                <w:sz w:val="26"/>
                <w:szCs w:val="26"/>
                <w:highlight w:val="white"/>
              </w:rPr>
              <w:t xml:space="preserve"> incompatibile cu legislația Uniunii Europene.</w:t>
            </w:r>
          </w:p>
        </w:tc>
      </w:tr>
      <w:tr w:rsidR="00FC4B79" w14:paraId="02B2E326" w14:textId="77777777">
        <w:tc>
          <w:tcPr>
            <w:tcW w:w="9030" w:type="dxa"/>
            <w:tcBorders>
              <w:top w:val="nil"/>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44300EC1" w14:textId="77777777" w:rsidR="00FC4B79" w:rsidRDefault="00000000">
            <w:pPr>
              <w:spacing w:before="200" w:after="200" w:line="240" w:lineRule="auto"/>
              <w:ind w:firstLine="709"/>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6. Avizarea și consultarea publică a proiectului actului normativ</w:t>
            </w:r>
          </w:p>
        </w:tc>
      </w:tr>
      <w:tr w:rsidR="00FC4B79" w14:paraId="7ABB9DA3" w14:textId="77777777">
        <w:tc>
          <w:tcPr>
            <w:tcW w:w="903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3C0E4E6" w14:textId="77777777" w:rsidR="00FC4B79" w:rsidRDefault="00000000">
            <w:pPr>
              <w:spacing w:before="200" w:after="200"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Pentru respectarea prevederilor Legii nr. 239/2008 privind transparența în procesul decizional, materialele aferente proiectului de lege au fost publicate pentru consultări publice pe portalul guvernamental </w:t>
            </w:r>
            <w:hyperlink r:id="rId6">
              <w:r>
                <w:rPr>
                  <w:rFonts w:ascii="Times New Roman" w:eastAsia="Times New Roman" w:hAnsi="Times New Roman" w:cs="Times New Roman"/>
                  <w:color w:val="1155CC"/>
                  <w:sz w:val="26"/>
                  <w:szCs w:val="26"/>
                  <w:u w:val="single"/>
                </w:rPr>
                <w:t>www.particip.gov.md</w:t>
              </w:r>
            </w:hyperlink>
            <w:r>
              <w:rPr>
                <w:rFonts w:ascii="Times New Roman" w:eastAsia="Times New Roman" w:hAnsi="Times New Roman" w:cs="Times New Roman"/>
                <w:sz w:val="26"/>
                <w:szCs w:val="26"/>
              </w:rPr>
              <w:t xml:space="preserve"> și poate fi accesat la următorul link:  </w:t>
            </w:r>
            <w:hyperlink r:id="rId7">
              <w:r>
                <w:rPr>
                  <w:rFonts w:ascii="Times New Roman" w:eastAsia="Times New Roman" w:hAnsi="Times New Roman" w:cs="Times New Roman"/>
                  <w:color w:val="1155CC"/>
                  <w:sz w:val="26"/>
                  <w:szCs w:val="26"/>
                  <w:u w:val="single"/>
                </w:rPr>
                <w:t>https://particip.gov.md/ro/document/stages/*/16085</w:t>
              </w:r>
            </w:hyperlink>
            <w:r>
              <w:rPr>
                <w:rFonts w:ascii="Times New Roman" w:eastAsia="Times New Roman" w:hAnsi="Times New Roman" w:cs="Times New Roman"/>
                <w:sz w:val="26"/>
                <w:szCs w:val="26"/>
              </w:rPr>
              <w:t>.</w:t>
            </w:r>
          </w:p>
          <w:p w14:paraId="3A1A18F5" w14:textId="77777777" w:rsidR="00FC4B79" w:rsidRDefault="00000000">
            <w:pPr>
              <w:spacing w:before="200" w:after="200"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Discuții prealabile asupra inițiativei de transpunere a acestor acte UE din domeniul muncii, securității și sănătății în muncă și egalității de tratament au fost organizate la sediul Ministerului Muncii și Protecției Sociale, </w:t>
            </w:r>
            <w:r>
              <w:rPr>
                <w:rFonts w:ascii="Times New Roman" w:eastAsia="Times New Roman" w:hAnsi="Times New Roman" w:cs="Times New Roman"/>
                <w:b/>
                <w:bCs/>
                <w:sz w:val="26"/>
                <w:szCs w:val="26"/>
              </w:rPr>
              <w:t xml:space="preserve">la data de 24 februarie </w:t>
            </w:r>
            <w:r>
              <w:rPr>
                <w:rFonts w:ascii="Times New Roman" w:eastAsia="Times New Roman" w:hAnsi="Times New Roman" w:cs="Times New Roman"/>
                <w:b/>
                <w:bCs/>
                <w:sz w:val="26"/>
                <w:szCs w:val="26"/>
              </w:rPr>
              <w:lastRenderedPageBreak/>
              <w:t>2026</w:t>
            </w:r>
            <w:r>
              <w:rPr>
                <w:rFonts w:ascii="Times New Roman" w:eastAsia="Times New Roman" w:hAnsi="Times New Roman" w:cs="Times New Roman"/>
                <w:sz w:val="26"/>
                <w:szCs w:val="26"/>
              </w:rPr>
              <w:t xml:space="preserve">, la care au participat reprezentanți ai autorităților publice, ai partenerilor sociali și ai mediului de afaceri </w:t>
            </w:r>
            <w:hyperlink r:id="rId8">
              <w:r>
                <w:rPr>
                  <w:rFonts w:ascii="Times New Roman" w:eastAsia="Times New Roman" w:hAnsi="Times New Roman" w:cs="Times New Roman"/>
                  <w:color w:val="1155CC"/>
                  <w:sz w:val="26"/>
                  <w:szCs w:val="26"/>
                  <w:u w:val="single"/>
                </w:rPr>
                <w:t>(link)</w:t>
              </w:r>
            </w:hyperlink>
            <w:r>
              <w:rPr>
                <w:rFonts w:ascii="Times New Roman" w:eastAsia="Times New Roman" w:hAnsi="Times New Roman" w:cs="Times New Roman"/>
                <w:sz w:val="26"/>
                <w:szCs w:val="26"/>
              </w:rPr>
              <w:t xml:space="preserve">. </w:t>
            </w:r>
          </w:p>
          <w:p w14:paraId="163C51D6" w14:textId="77777777" w:rsidR="00FC4B79" w:rsidRDefault="00000000">
            <w:pPr>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Conform celor </w:t>
            </w:r>
            <w:proofErr w:type="spellStart"/>
            <w:r>
              <w:rPr>
                <w:rFonts w:ascii="Times New Roman" w:eastAsia="Times New Roman" w:hAnsi="Times New Roman" w:cs="Times New Roman"/>
                <w:sz w:val="26"/>
                <w:szCs w:val="26"/>
              </w:rPr>
              <w:t>protocolate</w:t>
            </w:r>
            <w:proofErr w:type="spellEnd"/>
            <w:r>
              <w:rPr>
                <w:rFonts w:ascii="Times New Roman" w:eastAsia="Times New Roman" w:hAnsi="Times New Roman" w:cs="Times New Roman"/>
                <w:sz w:val="26"/>
                <w:szCs w:val="26"/>
              </w:rPr>
              <w:t>,</w:t>
            </w:r>
            <w:r>
              <w:rPr>
                <w:rFonts w:ascii="Times New Roman" w:eastAsia="Times New Roman" w:hAnsi="Times New Roman" w:cs="Times New Roman"/>
                <w:b/>
                <w:bCs/>
                <w:sz w:val="26"/>
                <w:szCs w:val="26"/>
                <w:highlight w:val="white"/>
              </w:rPr>
              <w:t xml:space="preserve"> </w:t>
            </w:r>
            <w:r>
              <w:rPr>
                <w:rFonts w:ascii="Times New Roman" w:eastAsia="Times New Roman" w:hAnsi="Times New Roman" w:cs="Times New Roman"/>
                <w:sz w:val="26"/>
                <w:szCs w:val="26"/>
              </w:rPr>
              <w:t>urmare a discuțiilor purtate, autorul a luat în considerare cele ce s-au decis:</w:t>
            </w:r>
          </w:p>
          <w:p w14:paraId="231C48A0" w14:textId="77777777" w:rsidR="00FC4B79" w:rsidRDefault="00000000">
            <w:pPr>
              <w:jc w:val="both"/>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 xml:space="preserve">-  Omiterea din proiect a părții ce ține de executarea </w:t>
            </w:r>
            <w:r>
              <w:rPr>
                <w:rFonts w:ascii="Times New Roman" w:eastAsia="Times New Roman" w:hAnsi="Times New Roman" w:cs="Times New Roman"/>
                <w:i/>
                <w:iCs/>
                <w:sz w:val="26"/>
                <w:szCs w:val="26"/>
                <w:u w:val="single"/>
              </w:rPr>
              <w:t>Hotărârii Curții Constituționale nr. 9/2025 (Art.90 al.(2), lit. a) privind plafonarea despăgubirii acordate de angajator în cazul concedierii ilegale a salariatului</w:t>
            </w:r>
            <w:r>
              <w:rPr>
                <w:rFonts w:ascii="Times New Roman" w:eastAsia="Times New Roman" w:hAnsi="Times New Roman" w:cs="Times New Roman"/>
                <w:i/>
                <w:iCs/>
                <w:sz w:val="26"/>
                <w:szCs w:val="26"/>
              </w:rPr>
              <w:t>, aceasta urmând a fi discutată separat, prin inițierea și promovarea unui proiect de lege distinct;</w:t>
            </w:r>
          </w:p>
          <w:p w14:paraId="0F1AD95A" w14:textId="77777777" w:rsidR="00FC4B79" w:rsidRDefault="00000000">
            <w:pPr>
              <w:jc w:val="both"/>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  Corectarea omisiunilor tehnice admise în textul proiectului;</w:t>
            </w:r>
          </w:p>
          <w:p w14:paraId="14110027" w14:textId="77777777" w:rsidR="00FC4B79" w:rsidRDefault="00000000">
            <w:pPr>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 xml:space="preserve">-  Transmiterea </w:t>
            </w:r>
            <w:r>
              <w:rPr>
                <w:rFonts w:ascii="Times New Roman" w:eastAsia="Times New Roman" w:hAnsi="Times New Roman" w:cs="Times New Roman"/>
                <w:i/>
                <w:iCs/>
                <w:sz w:val="26"/>
                <w:szCs w:val="26"/>
                <w:u w:val="single"/>
              </w:rPr>
              <w:t>proiectului de lege pentru modificarea</w:t>
            </w:r>
            <w:r>
              <w:rPr>
                <w:rFonts w:ascii="Times New Roman" w:eastAsia="Times New Roman" w:hAnsi="Times New Roman" w:cs="Times New Roman"/>
                <w:i/>
                <w:iCs/>
                <w:sz w:val="26"/>
                <w:szCs w:val="26"/>
              </w:rPr>
              <w:t xml:space="preserve"> </w:t>
            </w:r>
            <w:r>
              <w:rPr>
                <w:rFonts w:ascii="Times New Roman" w:eastAsia="Times New Roman" w:hAnsi="Times New Roman" w:cs="Times New Roman"/>
                <w:i/>
                <w:iCs/>
                <w:sz w:val="26"/>
                <w:szCs w:val="26"/>
                <w:u w:val="single"/>
              </w:rPr>
              <w:t>Codului muncii și a unor acte normative</w:t>
            </w:r>
            <w:r>
              <w:rPr>
                <w:rFonts w:ascii="Times New Roman" w:eastAsia="Times New Roman" w:hAnsi="Times New Roman" w:cs="Times New Roman"/>
                <w:i/>
                <w:iCs/>
                <w:sz w:val="26"/>
                <w:szCs w:val="26"/>
              </w:rPr>
              <w:t xml:space="preserve"> în ședința secretarilor generali și, ulterior, pentru avizare autorităților de resort și consultare publică.</w:t>
            </w:r>
          </w:p>
          <w:p w14:paraId="6B3FA352" w14:textId="77777777" w:rsidR="00FC4B79" w:rsidRDefault="00000000">
            <w:pPr>
              <w:spacing w:before="200" w:after="200"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De asemenea, </w:t>
            </w:r>
            <w:r>
              <w:rPr>
                <w:rFonts w:ascii="Times New Roman" w:eastAsia="Times New Roman" w:hAnsi="Times New Roman" w:cs="Times New Roman"/>
                <w:b/>
                <w:bCs/>
                <w:sz w:val="26"/>
                <w:szCs w:val="26"/>
              </w:rPr>
              <w:t>la data de 10 martie 2026</w:t>
            </w:r>
            <w:r>
              <w:rPr>
                <w:rFonts w:ascii="Times New Roman" w:eastAsia="Times New Roman" w:hAnsi="Times New Roman" w:cs="Times New Roman"/>
                <w:sz w:val="26"/>
                <w:szCs w:val="26"/>
              </w:rPr>
              <w:t>, a fost organizată o ședință de lucru extinsă cu părțile interesate referitoare la aplicarea prevederilor Articolul 103. Munca de noapte din Codul muncii nr.154/2003. Propunerile formulate în cadrul ședinței se regăsesc în proiectul de lege.</w:t>
            </w:r>
          </w:p>
          <w:p w14:paraId="036961C0" w14:textId="77777777" w:rsidR="00FC4B79" w:rsidRDefault="00000000">
            <w:pPr>
              <w:spacing w:before="200" w:after="200"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Proiectul de lege a parcurs etapa avizării cu autoritățile publice interesate și partenerii sociali, de obiecțiile și propunerile cărora s-a ținut cont, în măsura relevanței, la etapa de definitivare a proiectului de lege. </w:t>
            </w:r>
          </w:p>
          <w:p w14:paraId="7CD7B805" w14:textId="77777777" w:rsidR="00FC4B79" w:rsidRDefault="00000000">
            <w:pPr>
              <w:spacing w:before="200" w:after="200"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Adițional, la etapa finală, proiectul de lege a fost examinat în cadrul ședinței ordinare a Comisiei Naționale de Consultări și Negocieri Colective din data de 22 aprilie 2026, careva obiecții și/sau propuneri din partea autorităților publice participante, precum și a partenerilor sociali nu au fost expuse.</w:t>
            </w:r>
          </w:p>
        </w:tc>
      </w:tr>
      <w:tr w:rsidR="00FC4B79" w14:paraId="05BC5F6B" w14:textId="77777777">
        <w:tc>
          <w:tcPr>
            <w:tcW w:w="9030" w:type="dxa"/>
            <w:tcBorders>
              <w:top w:val="nil"/>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0A9B5FF1" w14:textId="77777777" w:rsidR="00FC4B79" w:rsidRDefault="00000000">
            <w:pPr>
              <w:spacing w:before="200" w:after="200" w:line="240" w:lineRule="auto"/>
              <w:ind w:firstLine="709"/>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lastRenderedPageBreak/>
              <w:t>7. Concluziile expertizelor</w:t>
            </w:r>
          </w:p>
        </w:tc>
      </w:tr>
      <w:tr w:rsidR="00FC4B79" w14:paraId="2EC390C1" w14:textId="77777777">
        <w:tc>
          <w:tcPr>
            <w:tcW w:w="903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6A54E8F" w14:textId="77777777" w:rsidR="00FC4B79" w:rsidRDefault="00000000">
            <w:pPr>
              <w:spacing w:before="200" w:after="200" w:line="240" w:lineRule="auto"/>
              <w:ind w:firstLine="709"/>
              <w:jc w:val="both"/>
              <w:rPr>
                <w:rFonts w:ascii="Times New Roman" w:eastAsia="Times New Roman" w:hAnsi="Times New Roman" w:cs="Times New Roman"/>
                <w:b/>
                <w:bCs/>
                <w:sz w:val="26"/>
                <w:szCs w:val="26"/>
              </w:rPr>
            </w:pPr>
            <w:r>
              <w:rPr>
                <w:rFonts w:ascii="Times New Roman" w:eastAsia="Times New Roman" w:hAnsi="Times New Roman" w:cs="Times New Roman"/>
                <w:sz w:val="26"/>
                <w:szCs w:val="26"/>
              </w:rPr>
              <w:t>Proiectul de lege a fost transmis Ministerului Justiției pentru expertiză juridică și Centrului Național Anticorupție pentru expertiză anticorupție, în conformitate cu art. 36 și 37 din Legea nr. 100/2017 privind actele normative. Rezultatele expertizelor au fost incluse după primirea rapoartelor respective în sinteza obiecțiilor și propunerilor.</w:t>
            </w:r>
          </w:p>
        </w:tc>
      </w:tr>
      <w:tr w:rsidR="00FC4B79" w14:paraId="30C39980" w14:textId="77777777">
        <w:tc>
          <w:tcPr>
            <w:tcW w:w="9030" w:type="dxa"/>
            <w:tcBorders>
              <w:top w:val="nil"/>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1F94F68F" w14:textId="77777777" w:rsidR="00FC4B79" w:rsidRDefault="00000000">
            <w:pPr>
              <w:spacing w:before="200" w:after="200" w:line="240" w:lineRule="auto"/>
              <w:ind w:firstLine="709"/>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8. Modul de încorporare a actului în cadrul normativ existent</w:t>
            </w:r>
          </w:p>
        </w:tc>
      </w:tr>
      <w:tr w:rsidR="00FC4B79" w14:paraId="63211554" w14:textId="77777777">
        <w:trPr>
          <w:trHeight w:val="2002"/>
        </w:trPr>
        <w:tc>
          <w:tcPr>
            <w:tcW w:w="903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AE49D43" w14:textId="77777777" w:rsidR="00FC4B79" w:rsidRDefault="00000000">
            <w:pPr>
              <w:spacing w:before="200" w:after="20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Proiectul de lege se încorporează în cadrul normativ existent și prevede modificarea următoarelor acte normative:</w:t>
            </w:r>
          </w:p>
          <w:p w14:paraId="0F720469" w14:textId="77777777" w:rsidR="00FC4B79" w:rsidRDefault="00000000">
            <w:pPr>
              <w:numPr>
                <w:ilvl w:val="0"/>
                <w:numId w:val="1"/>
              </w:numPr>
              <w:pBdr>
                <w:top w:val="none" w:sz="0" w:space="0" w:color="000000"/>
                <w:left w:val="none" w:sz="0" w:space="0" w:color="000000"/>
                <w:bottom w:val="none" w:sz="0" w:space="0" w:color="000000"/>
                <w:right w:val="none" w:sz="0" w:space="0" w:color="000000"/>
              </w:pBdr>
              <w:tabs>
                <w:tab w:val="left" w:pos="884"/>
                <w:tab w:val="left" w:pos="1196"/>
              </w:tabs>
              <w:spacing w:line="240" w:lineRule="auto"/>
              <w:jc w:val="both"/>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Legea nr. 140/2001 privind Inspectoratul de Stat al Muncii</w:t>
            </w:r>
          </w:p>
          <w:p w14:paraId="241FE74B" w14:textId="77777777" w:rsidR="00FC4B79" w:rsidRDefault="00000000">
            <w:pPr>
              <w:numPr>
                <w:ilvl w:val="0"/>
                <w:numId w:val="1"/>
              </w:numPr>
              <w:pBdr>
                <w:top w:val="none" w:sz="0" w:space="0" w:color="000000"/>
                <w:left w:val="none" w:sz="0" w:space="0" w:color="000000"/>
                <w:bottom w:val="none" w:sz="0" w:space="0" w:color="000000"/>
                <w:right w:val="none" w:sz="0" w:space="0" w:color="000000"/>
              </w:pBdr>
              <w:tabs>
                <w:tab w:val="left" w:pos="884"/>
                <w:tab w:val="left" w:pos="1196"/>
              </w:tabs>
              <w:spacing w:line="240" w:lineRule="auto"/>
              <w:jc w:val="both"/>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Codul muncii al Republicii Moldova nr. 154/2003</w:t>
            </w:r>
          </w:p>
          <w:p w14:paraId="76F8F618" w14:textId="77777777" w:rsidR="00FC4B79" w:rsidRDefault="00000000">
            <w:pPr>
              <w:numPr>
                <w:ilvl w:val="0"/>
                <w:numId w:val="1"/>
              </w:numPr>
              <w:pBdr>
                <w:top w:val="none" w:sz="0" w:space="0" w:color="000000"/>
                <w:left w:val="none" w:sz="0" w:space="0" w:color="000000"/>
                <w:bottom w:val="none" w:sz="0" w:space="0" w:color="000000"/>
                <w:right w:val="none" w:sz="0" w:space="0" w:color="000000"/>
              </w:pBdr>
              <w:tabs>
                <w:tab w:val="left" w:pos="884"/>
                <w:tab w:val="left" w:pos="1196"/>
              </w:tabs>
              <w:spacing w:line="240" w:lineRule="auto"/>
              <w:jc w:val="both"/>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Legea securității și sănătății în muncă nr. 186/2008</w:t>
            </w:r>
          </w:p>
          <w:p w14:paraId="4805EC5B" w14:textId="77777777" w:rsidR="00FC4B79" w:rsidRDefault="00000000">
            <w:pPr>
              <w:numPr>
                <w:ilvl w:val="0"/>
                <w:numId w:val="1"/>
              </w:numPr>
              <w:pBdr>
                <w:top w:val="none" w:sz="0" w:space="0" w:color="000000"/>
                <w:left w:val="none" w:sz="0" w:space="0" w:color="000000"/>
                <w:bottom w:val="none" w:sz="0" w:space="0" w:color="000000"/>
                <w:right w:val="none" w:sz="0" w:space="0" w:color="000000"/>
              </w:pBdr>
              <w:tabs>
                <w:tab w:val="left" w:pos="884"/>
                <w:tab w:val="left" w:pos="1196"/>
              </w:tabs>
              <w:spacing w:line="240" w:lineRule="auto"/>
              <w:jc w:val="both"/>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Codul contravențional al Republicii Moldova nr. 218/2008</w:t>
            </w:r>
          </w:p>
          <w:p w14:paraId="26493FCB" w14:textId="77777777" w:rsidR="00FC4B79" w:rsidRDefault="00000000">
            <w:pPr>
              <w:pBdr>
                <w:top w:val="none" w:sz="0" w:space="0" w:color="000000"/>
                <w:left w:val="none" w:sz="0" w:space="0" w:color="000000"/>
                <w:bottom w:val="none" w:sz="0" w:space="0" w:color="000000"/>
                <w:right w:val="none" w:sz="0" w:space="0" w:color="000000"/>
              </w:pBdr>
              <w:tabs>
                <w:tab w:val="left" w:pos="884"/>
                <w:tab w:val="left" w:pos="1196"/>
              </w:tabs>
              <w:spacing w:before="200" w:after="200" w:line="240" w:lineRule="auto"/>
              <w:ind w:firstLine="63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rPr>
              <w:lastRenderedPageBreak/>
              <w:t>Se propune ca proiectul de lege să între în vigoare la data publicării în Monitorul Oficial al Republicii Moldova</w:t>
            </w:r>
            <w:r>
              <w:rPr>
                <w:rFonts w:ascii="Times New Roman" w:eastAsia="Times New Roman" w:hAnsi="Times New Roman" w:cs="Times New Roman"/>
                <w:sz w:val="26"/>
                <w:szCs w:val="26"/>
                <w:highlight w:val="white"/>
              </w:rPr>
              <w:t xml:space="preserve">, cu excepția </w:t>
            </w:r>
            <w:proofErr w:type="spellStart"/>
            <w:r>
              <w:rPr>
                <w:rFonts w:ascii="Times New Roman" w:eastAsia="Times New Roman" w:hAnsi="Times New Roman" w:cs="Times New Roman"/>
                <w:sz w:val="26"/>
                <w:szCs w:val="26"/>
                <w:highlight w:val="white"/>
              </w:rPr>
              <w:t>Art.III</w:t>
            </w:r>
            <w:proofErr w:type="spellEnd"/>
            <w:r>
              <w:rPr>
                <w:rFonts w:ascii="Times New Roman" w:eastAsia="Times New Roman" w:hAnsi="Times New Roman" w:cs="Times New Roman"/>
                <w:sz w:val="26"/>
                <w:szCs w:val="26"/>
                <w:highlight w:val="white"/>
              </w:rPr>
              <w:t xml:space="preserve"> pct. 10 care intră în vigoare la data aderării Republicii Moldova la Uniunea Europeană. </w:t>
            </w:r>
          </w:p>
        </w:tc>
      </w:tr>
      <w:tr w:rsidR="00FC4B79" w14:paraId="270DDAC0" w14:textId="77777777">
        <w:tc>
          <w:tcPr>
            <w:tcW w:w="9030" w:type="dxa"/>
            <w:tcBorders>
              <w:top w:val="nil"/>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073C1568" w14:textId="77777777" w:rsidR="00FC4B79" w:rsidRDefault="00000000">
            <w:pPr>
              <w:spacing w:before="200" w:after="200" w:line="240" w:lineRule="auto"/>
              <w:ind w:firstLine="709"/>
              <w:jc w:val="both"/>
              <w:rPr>
                <w:rFonts w:ascii="Times New Roman" w:eastAsia="Times New Roman" w:hAnsi="Times New Roman" w:cs="Times New Roman"/>
                <w:b/>
                <w:bCs/>
                <w:sz w:val="26"/>
                <w:szCs w:val="26"/>
                <w:shd w:val="clear" w:color="auto" w:fill="BFBFBF"/>
              </w:rPr>
            </w:pPr>
            <w:r>
              <w:rPr>
                <w:rFonts w:ascii="Times New Roman" w:eastAsia="Times New Roman" w:hAnsi="Times New Roman" w:cs="Times New Roman"/>
                <w:b/>
                <w:bCs/>
                <w:sz w:val="26"/>
                <w:szCs w:val="26"/>
                <w:shd w:val="clear" w:color="auto" w:fill="BFBFBF"/>
              </w:rPr>
              <w:lastRenderedPageBreak/>
              <w:t>9. Măsurile necesare pentru implementarea prevederilor proiectului actului normativ</w:t>
            </w:r>
          </w:p>
        </w:tc>
      </w:tr>
      <w:tr w:rsidR="00FC4B79" w14:paraId="5AB1EFBC" w14:textId="77777777">
        <w:tc>
          <w:tcPr>
            <w:tcW w:w="903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98DB26B" w14:textId="77777777" w:rsidR="00FC4B79" w:rsidRDefault="00000000">
            <w:pPr>
              <w:spacing w:before="200" w:after="20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u w:val="single"/>
              </w:rPr>
              <w:t>Proiectul de lege va intra în vigoare la publicarea în Monitorul Oficial.</w:t>
            </w:r>
          </w:p>
          <w:p w14:paraId="2C029554" w14:textId="77777777" w:rsidR="00FC4B79" w:rsidRDefault="00000000">
            <w:pPr>
              <w:spacing w:before="200" w:after="20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Ministerul Muncii și Protecției Sociale va întocmi rapoarte periodice către Comisia Europeană privind punerea în aplicare a standardelor europene în domeniul securității și sănătății în muncă.</w:t>
            </w:r>
          </w:p>
          <w:p w14:paraId="7A2784EA" w14:textId="77777777" w:rsidR="00FC4B79" w:rsidRDefault="00000000">
            <w:pPr>
              <w:spacing w:before="200" w:after="20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Angajatorii vor acorda dispense pentru consultațiile prenatale, fără diminuarea salariului și fără consecințe negative pentru salariatele gravide.</w:t>
            </w:r>
          </w:p>
          <w:p w14:paraId="5922F733" w14:textId="77777777" w:rsidR="00FC4B79" w:rsidRDefault="00000000">
            <w:pPr>
              <w:spacing w:before="200" w:after="20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Se vor aplica principiile egalității de tratament și interzicerea discriminării în toate raporturile de muncă și conexe. Vor fi aplicate aceleași măsuri de securitate și sănătate în muncă pentru toți salariații, inclusiv pentru cei cu contracte pe perioadă determinată și salariații temporari.</w:t>
            </w:r>
          </w:p>
          <w:p w14:paraId="2D723279" w14:textId="77777777" w:rsidR="00FC4B79" w:rsidRDefault="00000000">
            <w:pPr>
              <w:spacing w:before="200" w:after="20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Inspectoratul de Stat al Muncii va organiza, în termen de 12 luni, programe de instruire inițiale și continue pentru personal, în vederea aplicării Regulamentului UE 2019/1149, și va asigura cooperarea cu Autoritatea Europeană a Muncii.</w:t>
            </w:r>
          </w:p>
          <w:p w14:paraId="110728B9" w14:textId="77777777" w:rsidR="00FC4B79" w:rsidRDefault="00000000">
            <w:pPr>
              <w:spacing w:before="200" w:after="20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La necesitate, actele normative interne se vor actualiza pentru a reflecta prevederile actelor Uniunii Europene în domeniul muncii, securității și sănătății în muncă, egalității de tratament și de raportare către Comisia Europeană.</w:t>
            </w:r>
          </w:p>
        </w:tc>
      </w:tr>
    </w:tbl>
    <w:p w14:paraId="7746F7C7" w14:textId="77777777" w:rsidR="00FC4B79" w:rsidRDefault="00FC4B79">
      <w:pPr>
        <w:rPr>
          <w:rFonts w:ascii="Times New Roman" w:eastAsia="Times New Roman" w:hAnsi="Times New Roman" w:cs="Times New Roman"/>
          <w:sz w:val="26"/>
          <w:szCs w:val="26"/>
        </w:rPr>
      </w:pPr>
    </w:p>
    <w:p w14:paraId="789C907D" w14:textId="77777777" w:rsidR="00FC4B79" w:rsidRDefault="00FC4B79">
      <w:pPr>
        <w:ind w:left="1440"/>
        <w:rPr>
          <w:rFonts w:ascii="Times New Roman" w:eastAsia="Times New Roman" w:hAnsi="Times New Roman" w:cs="Times New Roman"/>
          <w:sz w:val="26"/>
          <w:szCs w:val="26"/>
        </w:rPr>
      </w:pPr>
    </w:p>
    <w:p w14:paraId="29600DB6" w14:textId="77777777" w:rsidR="00FC4B79"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b/>
          <w:bCs/>
          <w:sz w:val="26"/>
          <w:szCs w:val="26"/>
        </w:rPr>
        <w:t>Secretar de Stat                                     Mihai-Gabriel CIOBANU</w:t>
      </w:r>
    </w:p>
    <w:sectPr w:rsidR="00FC4B79">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BD9FD73D-6416-4152-930C-1B380675992D}"/>
  </w:font>
  <w:font w:name="Georgia">
    <w:panose1 w:val="02040502050405020303"/>
    <w:charset w:val="00"/>
    <w:family w:val="roman"/>
    <w:pitch w:val="variable"/>
    <w:sig w:usb0="00000287" w:usb1="00000000" w:usb2="00000000" w:usb3="00000000" w:csb0="0000009F" w:csb1="00000000"/>
    <w:embedRegular r:id="rId2" w:fontKey="{6B6CBA64-C8F8-4A54-A690-55B7CAEDF92F}"/>
  </w:font>
  <w:font w:name="Cambria">
    <w:panose1 w:val="02040503050406030204"/>
    <w:charset w:val="00"/>
    <w:family w:val="roman"/>
    <w:pitch w:val="variable"/>
    <w:sig w:usb0="E00006FF" w:usb1="420024FF" w:usb2="02000000" w:usb3="00000000" w:csb0="0000019F" w:csb1="00000000"/>
    <w:embedRegular r:id="rId3" w:fontKey="{EDBBE85C-9680-4D50-8EB2-44C9CC65EAC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C5D3C"/>
    <w:multiLevelType w:val="multilevel"/>
    <w:tmpl w:val="1522F9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8CB2122"/>
    <w:multiLevelType w:val="multilevel"/>
    <w:tmpl w:val="B9C2F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076562F"/>
    <w:multiLevelType w:val="multilevel"/>
    <w:tmpl w:val="03682E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A1B31C4"/>
    <w:multiLevelType w:val="multilevel"/>
    <w:tmpl w:val="ADFAF7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72028315">
    <w:abstractNumId w:val="3"/>
  </w:num>
  <w:num w:numId="2" w16cid:durableId="269287539">
    <w:abstractNumId w:val="2"/>
  </w:num>
  <w:num w:numId="3" w16cid:durableId="630214328">
    <w:abstractNumId w:val="1"/>
  </w:num>
  <w:num w:numId="4" w16cid:durableId="876619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B79"/>
    <w:rsid w:val="00112FB8"/>
    <w:rsid w:val="0048512E"/>
    <w:rsid w:val="00FC4B79"/>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DD369"/>
  <w15:docId w15:val="{B40415AB-C872-4699-8F37-934684519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o" w:eastAsia="ro-M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uiPriority w:val="9"/>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6">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7">
    <w:basedOn w:val="TableNormal"/>
    <w:pPr>
      <w:spacing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ocial.gov.md/comunicare/comunicate/discutii-prealabile-asupra-initiativei-de-transpunere-a-mai-multor-acte-ue-din-domeniul-muncii-securitatii-si-sanatatii-in-munca-si-egalitatii-de-tratament/" TargetMode="External"/><Relationship Id="rId3" Type="http://schemas.openxmlformats.org/officeDocument/2006/relationships/settings" Target="settings.xml"/><Relationship Id="rId7" Type="http://schemas.openxmlformats.org/officeDocument/2006/relationships/hyperlink" Target="https://particip.gov.md/ro/document/stages/*/1608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articip.gov.md" TargetMode="External"/><Relationship Id="rId5" Type="http://schemas.openxmlformats.org/officeDocument/2006/relationships/hyperlink" Target="https://ms.gov.md/wp-content/uploads/2025/05/PCS-%E2%80%9E%C3%8Engrijiri-antenatale-pentru-o-experien%C8%9B%C4%83-pozitiv%C4%83-%C3%AEn-sarcin%C4%83%E2%80%9D-aprobat-prin-Ordinul-MS-nr.-357-din-18.04.2025-.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7161</Words>
  <Characters>41536</Characters>
  <Application>Microsoft Office Word</Application>
  <DocSecurity>0</DocSecurity>
  <Lines>346</Lines>
  <Paragraphs>97</Paragraphs>
  <ScaleCrop>false</ScaleCrop>
  <Company/>
  <LinksUpToDate>false</LinksUpToDate>
  <CharactersWithSpaces>48600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Scurtu</dc:creator>
  <cp:lastModifiedBy>Direcția Politici în Domeniul Raporturi de Muncă</cp:lastModifiedBy>
  <cp:revision>2</cp:revision>
  <dcterms:created xsi:type="dcterms:W3CDTF">2026-04-28T07:19:00Z</dcterms:created>
  <dcterms:modified xsi:type="dcterms:W3CDTF">2026-04-28T07:19:00Z</dcterms:modified>
</cp:coreProperties>
</file>