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B591" w14:textId="77777777" w:rsidR="002F36A6" w:rsidRDefault="002F36A6">
      <w:pPr>
        <w:rPr>
          <w:sz w:val="2"/>
          <w:szCs w:val="2"/>
        </w:rPr>
      </w:pPr>
    </w:p>
    <w:p w14:paraId="315931B3" w14:textId="77777777" w:rsidR="002F36A6" w:rsidRDefault="002F36A6">
      <w:pPr>
        <w:pStyle w:val="Heading3"/>
        <w:numPr>
          <w:ilvl w:val="2"/>
          <w:numId w:val="4"/>
        </w:numPr>
        <w:rPr>
          <w:b/>
          <w:bCs/>
          <w:color w:val="000000"/>
          <w:sz w:val="22"/>
          <w:szCs w:val="22"/>
        </w:rPr>
      </w:pPr>
    </w:p>
    <w:p w14:paraId="45D47871" w14:textId="77777777" w:rsidR="002F36A6" w:rsidRDefault="00000000">
      <w:pPr>
        <w:jc w:val="center"/>
        <w:rPr>
          <w:b/>
          <w:bCs/>
          <w:sz w:val="28"/>
          <w:szCs w:val="28"/>
        </w:rPr>
      </w:pPr>
      <w:r>
        <w:rPr>
          <w:b/>
          <w:bCs/>
          <w:sz w:val="28"/>
          <w:szCs w:val="28"/>
        </w:rPr>
        <w:t>Tabel de concordanță</w:t>
      </w:r>
    </w:p>
    <w:p w14:paraId="031D6DC8" w14:textId="77777777" w:rsidR="002F36A6" w:rsidRDefault="002F36A6">
      <w:pPr>
        <w:rPr>
          <w:color w:val="000000"/>
          <w:sz w:val="22"/>
          <w:szCs w:val="22"/>
        </w:rPr>
      </w:pPr>
    </w:p>
    <w:tbl>
      <w:tblPr>
        <w:tblStyle w:val="a"/>
        <w:tblW w:w="15975"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
        <w:gridCol w:w="15450"/>
      </w:tblGrid>
      <w:tr w:rsidR="002F36A6" w14:paraId="634F509A" w14:textId="77777777">
        <w:tc>
          <w:tcPr>
            <w:tcW w:w="525" w:type="dxa"/>
          </w:tcPr>
          <w:p w14:paraId="1B094642" w14:textId="77777777" w:rsidR="002F36A6" w:rsidRDefault="00000000">
            <w:pPr>
              <w:ind w:left="142" w:right="176"/>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w:t>
            </w:r>
          </w:p>
        </w:tc>
        <w:tc>
          <w:tcPr>
            <w:tcW w:w="15450" w:type="dxa"/>
            <w:vAlign w:val="center"/>
          </w:tcPr>
          <w:p w14:paraId="4DD91916" w14:textId="77777777" w:rsidR="002F36A6" w:rsidRDefault="00000000">
            <w:pPr>
              <w:ind w:right="28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Titlul actului UE, inclusiv cea mai recentă modificare, nr. CELEX</w:t>
            </w:r>
          </w:p>
          <w:p w14:paraId="1CA439EF" w14:textId="77777777" w:rsidR="002F36A6" w:rsidRDefault="00000000">
            <w:pPr>
              <w:ind w:right="281"/>
              <w:jc w:val="both"/>
              <w:rPr>
                <w:rFonts w:ascii="Times New Roman" w:eastAsia="Times New Roman" w:hAnsi="Times New Roman" w:cs="Times New Roman"/>
                <w:b/>
                <w:bCs/>
                <w:sz w:val="22"/>
                <w:szCs w:val="22"/>
              </w:rPr>
            </w:pPr>
            <w:r>
              <w:rPr>
                <w:rFonts w:ascii="Times New Roman" w:eastAsia="Times New Roman" w:hAnsi="Times New Roman" w:cs="Times New Roman"/>
                <w:b/>
                <w:bCs/>
                <w:color w:val="000000"/>
                <w:sz w:val="22"/>
                <w:szCs w:val="22"/>
              </w:rPr>
              <w:t>Regulamentul (UE) 2024/3190 al Comisiei din 19 decembrie 2024 privind utilizarea bisfenolului A (BPA) și a altor bisfenoli și derivați ai bisfenolului cu clasificare armonizată pentru proprietăți periculoase specifice în anumite materiale și articole destinate să vină în contact cu alimentele, de modificare a Regulamentului (UE) nr. 10/2011 și de abrogare a Regulamentului (UE) 2018/213, CELEX: 32024R3190</w:t>
            </w:r>
            <w:r>
              <w:rPr>
                <w:rFonts w:ascii="Times New Roman" w:eastAsia="Times New Roman" w:hAnsi="Times New Roman" w:cs="Times New Roman"/>
                <w:b/>
                <w:bCs/>
                <w:sz w:val="22"/>
                <w:szCs w:val="22"/>
              </w:rPr>
              <w:t xml:space="preserve"> așa cum a fost modificat ultima dată prin </w:t>
            </w:r>
            <w:r>
              <w:rPr>
                <w:rFonts w:ascii="Times New Roman" w:eastAsia="Times New Roman" w:hAnsi="Times New Roman" w:cs="Times New Roman"/>
                <w:b/>
                <w:bCs/>
                <w:sz w:val="22"/>
                <w:szCs w:val="22"/>
                <w:highlight w:val="white"/>
              </w:rPr>
              <w:t>Regulamentul (UE) 2026/250 al Comisiei din 2 februarie 2026.</w:t>
            </w:r>
          </w:p>
        </w:tc>
      </w:tr>
      <w:tr w:rsidR="002F36A6" w14:paraId="2995B552" w14:textId="77777777">
        <w:tc>
          <w:tcPr>
            <w:tcW w:w="525" w:type="dxa"/>
          </w:tcPr>
          <w:p w14:paraId="74D4086C" w14:textId="77777777" w:rsidR="002F36A6" w:rsidRDefault="00000000">
            <w:pPr>
              <w:ind w:left="141"/>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2</w:t>
            </w:r>
          </w:p>
        </w:tc>
        <w:tc>
          <w:tcPr>
            <w:tcW w:w="15450" w:type="dxa"/>
            <w:vAlign w:val="center"/>
          </w:tcPr>
          <w:p w14:paraId="05540755" w14:textId="77777777" w:rsidR="002F36A6" w:rsidRDefault="00000000">
            <w:pPr>
              <w:ind w:right="281"/>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Titlul proiectului actului normativ naţional</w:t>
            </w:r>
          </w:p>
          <w:p w14:paraId="03A9F12B" w14:textId="77777777" w:rsidR="002F36A6" w:rsidRDefault="00000000">
            <w:pPr>
              <w:widowControl w:val="0"/>
              <w:pBdr>
                <w:top w:val="nil"/>
                <w:left w:val="nil"/>
                <w:bottom w:val="nil"/>
                <w:right w:val="nil"/>
                <w:between w:val="nil"/>
              </w:pBdr>
              <w:jc w:val="both"/>
              <w:rPr>
                <w:rFonts w:ascii="Times New Roman" w:eastAsia="Times New Roman" w:hAnsi="Times New Roman" w:cs="Times New Roman"/>
                <w:b/>
                <w:bCs/>
                <w:sz w:val="22"/>
                <w:szCs w:val="22"/>
              </w:rPr>
            </w:pPr>
            <w:r>
              <w:rPr>
                <w:rFonts w:ascii="Times New Roman" w:eastAsia="Times New Roman" w:hAnsi="Times New Roman" w:cs="Times New Roman"/>
                <w:color w:val="000000"/>
                <w:sz w:val="22"/>
                <w:szCs w:val="22"/>
              </w:rPr>
              <w:t xml:space="preserve">Proiectul hotărârii de Guvern pentru aprobarea Regulamentului sanitar privind utilizarea bisfenolului A (BPA) și a altor bisfenoli și derivați ai bisfenolului cu clasificare armonizată pentru proprietăți periculoase specifice în anumite materiale și articole destinate să vină în contact cu produsele alimentare. </w:t>
            </w:r>
          </w:p>
        </w:tc>
      </w:tr>
      <w:tr w:rsidR="002F36A6" w14:paraId="12D6F0FA" w14:textId="77777777">
        <w:tc>
          <w:tcPr>
            <w:tcW w:w="525" w:type="dxa"/>
          </w:tcPr>
          <w:p w14:paraId="6F59D531" w14:textId="77777777" w:rsidR="002F36A6" w:rsidRDefault="00000000">
            <w:pPr>
              <w:ind w:left="141"/>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w:t>
            </w:r>
          </w:p>
        </w:tc>
        <w:tc>
          <w:tcPr>
            <w:tcW w:w="15450" w:type="dxa"/>
            <w:vAlign w:val="center"/>
          </w:tcPr>
          <w:p w14:paraId="6454A0CD" w14:textId="77777777" w:rsidR="002F36A6" w:rsidRDefault="00000000">
            <w:pPr>
              <w:ind w:right="281"/>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Gradul general de compatibilitate                                        </w:t>
            </w:r>
          </w:p>
          <w:p w14:paraId="1DA9B6CF"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Compatibil </w:t>
            </w:r>
          </w:p>
        </w:tc>
      </w:tr>
      <w:tr w:rsidR="002F36A6" w14:paraId="24D56F66" w14:textId="77777777">
        <w:trPr>
          <w:trHeight w:val="873"/>
        </w:trPr>
        <w:tc>
          <w:tcPr>
            <w:tcW w:w="525" w:type="dxa"/>
          </w:tcPr>
          <w:p w14:paraId="5AE76F20" w14:textId="77777777" w:rsidR="002F36A6" w:rsidRDefault="00000000">
            <w:pPr>
              <w:ind w:left="141"/>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4</w:t>
            </w:r>
          </w:p>
        </w:tc>
        <w:tc>
          <w:tcPr>
            <w:tcW w:w="15450" w:type="dxa"/>
            <w:vAlign w:val="center"/>
          </w:tcPr>
          <w:p w14:paraId="7B9F0353" w14:textId="77777777" w:rsidR="002F36A6"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Autoritatea/persoana responsabilă</w:t>
            </w:r>
          </w:p>
          <w:p w14:paraId="1E4F8C27" w14:textId="77777777" w:rsidR="002F36A6" w:rsidRDefault="00000000">
            <w:pPr>
              <w:ind w:right="281"/>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Ministerul Sănătății, </w:t>
            </w:r>
            <w:r>
              <w:rPr>
                <w:rFonts w:ascii="Times New Roman" w:eastAsia="Times New Roman" w:hAnsi="Times New Roman" w:cs="Times New Roman"/>
                <w:color w:val="000000"/>
                <w:sz w:val="22"/>
                <w:szCs w:val="22"/>
                <w:highlight w:val="white"/>
              </w:rPr>
              <w:t>Direcția politici în domeniul sănătății publice și urgențe în sănătatea publică, Mihaela Popa, mihaela.popa@ms.gov.md, tel.022 268 865</w:t>
            </w:r>
          </w:p>
          <w:p w14:paraId="6CC07787" w14:textId="77777777" w:rsidR="002F36A6" w:rsidRDefault="00000000">
            <w:pPr>
              <w:ind w:right="281"/>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Agenția Națională pentru Sănătate Publică, Ștefan Constantinovici, email: </w:t>
            </w:r>
            <w:hyperlink r:id="rId8">
              <w:r w:rsidR="002F36A6">
                <w:rPr>
                  <w:rFonts w:ascii="Times New Roman" w:eastAsia="Times New Roman" w:hAnsi="Times New Roman" w:cs="Times New Roman"/>
                  <w:color w:val="000000"/>
                  <w:sz w:val="22"/>
                  <w:szCs w:val="22"/>
                  <w:u w:val="single"/>
                </w:rPr>
                <w:t>stefan.constantinovici@ansp.gov.md</w:t>
              </w:r>
            </w:hyperlink>
            <w:r>
              <w:rPr>
                <w:rFonts w:ascii="Times New Roman" w:eastAsia="Times New Roman" w:hAnsi="Times New Roman" w:cs="Times New Roman"/>
                <w:color w:val="000000"/>
                <w:sz w:val="22"/>
                <w:szCs w:val="22"/>
              </w:rPr>
              <w:t xml:space="preserve">, </w:t>
            </w:r>
          </w:p>
          <w:p w14:paraId="2EB65B33" w14:textId="77777777" w:rsidR="002F36A6" w:rsidRDefault="00000000">
            <w:pPr>
              <w:ind w:right="281"/>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Agenția Națională pentru Sănătate Publică, Anna Mocanu, email: anna.mocanu@ansp.gov.md.</w:t>
            </w:r>
          </w:p>
        </w:tc>
      </w:tr>
      <w:tr w:rsidR="002F36A6" w14:paraId="6DFD06D7" w14:textId="77777777">
        <w:tc>
          <w:tcPr>
            <w:tcW w:w="525" w:type="dxa"/>
          </w:tcPr>
          <w:p w14:paraId="2B1F548D" w14:textId="77777777" w:rsidR="002F36A6" w:rsidRDefault="00000000">
            <w:pPr>
              <w:ind w:left="141"/>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5</w:t>
            </w:r>
          </w:p>
        </w:tc>
        <w:tc>
          <w:tcPr>
            <w:tcW w:w="15450" w:type="dxa"/>
            <w:vAlign w:val="center"/>
          </w:tcPr>
          <w:p w14:paraId="6BFB7D69" w14:textId="77777777" w:rsidR="002F36A6" w:rsidRDefault="00000000">
            <w:pPr>
              <w:pBdr>
                <w:top w:val="nil"/>
                <w:left w:val="nil"/>
                <w:bottom w:val="nil"/>
                <w:right w:val="nil"/>
                <w:between w:val="nil"/>
              </w:pBdr>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Data completării</w:t>
            </w:r>
          </w:p>
          <w:p w14:paraId="2A071D55" w14:textId="77777777" w:rsidR="002F36A6"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27</w:t>
            </w:r>
            <w:r>
              <w:rPr>
                <w:rFonts w:ascii="Times New Roman" w:eastAsia="Times New Roman" w:hAnsi="Times New Roman" w:cs="Times New Roman"/>
                <w:color w:val="000000"/>
                <w:sz w:val="22"/>
                <w:szCs w:val="22"/>
              </w:rPr>
              <w:t>.0</w:t>
            </w:r>
            <w:r>
              <w:rPr>
                <w:rFonts w:ascii="Times New Roman" w:eastAsia="Times New Roman" w:hAnsi="Times New Roman" w:cs="Times New Roman"/>
                <w:sz w:val="22"/>
                <w:szCs w:val="22"/>
              </w:rPr>
              <w:t>3</w:t>
            </w:r>
            <w:r>
              <w:rPr>
                <w:rFonts w:ascii="Times New Roman" w:eastAsia="Times New Roman" w:hAnsi="Times New Roman" w:cs="Times New Roman"/>
                <w:color w:val="000000"/>
                <w:sz w:val="22"/>
                <w:szCs w:val="22"/>
              </w:rPr>
              <w:t>.2026</w:t>
            </w:r>
          </w:p>
        </w:tc>
      </w:tr>
    </w:tbl>
    <w:p w14:paraId="1EFC5274" w14:textId="77777777" w:rsidR="002F36A6" w:rsidRDefault="002F36A6">
      <w:pPr>
        <w:rPr>
          <w:color w:val="000000"/>
          <w:sz w:val="22"/>
          <w:szCs w:val="22"/>
        </w:rPr>
      </w:pPr>
    </w:p>
    <w:tbl>
      <w:tblPr>
        <w:tblStyle w:val="a0"/>
        <w:tblW w:w="15982"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7"/>
        <w:gridCol w:w="4877"/>
        <w:gridCol w:w="1559"/>
        <w:gridCol w:w="2589"/>
      </w:tblGrid>
      <w:tr w:rsidR="002F36A6" w14:paraId="1C411CAD" w14:textId="77777777">
        <w:tc>
          <w:tcPr>
            <w:tcW w:w="6957" w:type="dxa"/>
          </w:tcPr>
          <w:p w14:paraId="50F3F8CB" w14:textId="77777777" w:rsidR="002F36A6" w:rsidRDefault="00000000">
            <w:pPr>
              <w:ind w:left="-104"/>
              <w:jc w:val="center"/>
              <w:rPr>
                <w:rFonts w:ascii="Times New Roman" w:eastAsia="Times New Roman" w:hAnsi="Times New Roman" w:cs="Times New Roman"/>
                <w:b/>
                <w:bCs/>
                <w:color w:val="000000"/>
                <w:sz w:val="20"/>
                <w:szCs w:val="20"/>
              </w:rPr>
            </w:pPr>
            <w:bookmarkStart w:id="0" w:name="_heading=h.brbujpr2kveo" w:colFirst="0" w:colLast="0"/>
            <w:bookmarkEnd w:id="0"/>
            <w:r>
              <w:rPr>
                <w:rFonts w:ascii="Times New Roman" w:eastAsia="Times New Roman" w:hAnsi="Times New Roman" w:cs="Times New Roman"/>
                <w:b/>
                <w:bCs/>
                <w:color w:val="000000"/>
                <w:sz w:val="20"/>
                <w:szCs w:val="20"/>
              </w:rPr>
              <w:t>Actul Uniunii Europene</w:t>
            </w:r>
          </w:p>
        </w:tc>
        <w:tc>
          <w:tcPr>
            <w:tcW w:w="4877" w:type="dxa"/>
          </w:tcPr>
          <w:p w14:paraId="3A9C569E" w14:textId="77777777" w:rsidR="002F36A6"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Proiectul actului normativ naţional</w:t>
            </w:r>
          </w:p>
        </w:tc>
        <w:tc>
          <w:tcPr>
            <w:tcW w:w="1559" w:type="dxa"/>
          </w:tcPr>
          <w:p w14:paraId="1AB3C132" w14:textId="77777777" w:rsidR="002F36A6"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Gradul de compatibilitate</w:t>
            </w:r>
          </w:p>
        </w:tc>
        <w:tc>
          <w:tcPr>
            <w:tcW w:w="2589" w:type="dxa"/>
          </w:tcPr>
          <w:p w14:paraId="7D074DD0" w14:textId="77777777" w:rsidR="002F36A6" w:rsidRDefault="00000000">
            <w:pPr>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Observațiile</w:t>
            </w:r>
          </w:p>
        </w:tc>
      </w:tr>
      <w:tr w:rsidR="002F36A6" w14:paraId="2FF6F772" w14:textId="77777777">
        <w:tc>
          <w:tcPr>
            <w:tcW w:w="6957" w:type="dxa"/>
          </w:tcPr>
          <w:p w14:paraId="08F5D2EC" w14:textId="77777777" w:rsidR="002F36A6" w:rsidRDefault="00000000">
            <w:pPr>
              <w:jc w:val="both"/>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Articolul 1</w:t>
            </w:r>
          </w:p>
          <w:p w14:paraId="59A95271" w14:textId="77777777" w:rsidR="002F36A6" w:rsidRDefault="00000000">
            <w:pPr>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Obiect și domeniu de aplicare</w:t>
            </w:r>
          </w:p>
          <w:p w14:paraId="4FCCA76B" w14:textId="77777777" w:rsidR="002F36A6" w:rsidRDefault="00000000">
            <w:pPr>
              <w:numPr>
                <w:ilvl w:val="0"/>
                <w:numId w:val="3"/>
              </w:numPr>
              <w:pBdr>
                <w:top w:val="nil"/>
                <w:left w:val="nil"/>
                <w:bottom w:val="nil"/>
                <w:right w:val="nil"/>
                <w:between w:val="nil"/>
              </w:pBdr>
              <w:spacing w:after="200" w:line="276" w:lineRule="auto"/>
              <w:ind w:left="0" w:firstLine="34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Prezentul regulament constituie o măsură specială în sensul articolului 5 din Regulamentul (CE) nr. 1935/2004.</w:t>
            </w:r>
          </w:p>
          <w:p w14:paraId="793FA310" w14:textId="77777777" w:rsidR="002F36A6" w:rsidRDefault="002F36A6">
            <w:pPr>
              <w:ind w:left="-104"/>
              <w:jc w:val="center"/>
              <w:rPr>
                <w:rFonts w:ascii="Times New Roman" w:eastAsia="Times New Roman" w:hAnsi="Times New Roman" w:cs="Times New Roman"/>
                <w:b/>
                <w:bCs/>
                <w:color w:val="000000"/>
                <w:sz w:val="22"/>
                <w:szCs w:val="22"/>
              </w:rPr>
            </w:pPr>
          </w:p>
        </w:tc>
        <w:tc>
          <w:tcPr>
            <w:tcW w:w="4877" w:type="dxa"/>
          </w:tcPr>
          <w:p w14:paraId="195F8BEF" w14:textId="77777777" w:rsidR="002F36A6" w:rsidRDefault="002F36A6">
            <w:pPr>
              <w:jc w:val="both"/>
              <w:rPr>
                <w:rFonts w:ascii="Times New Roman" w:eastAsia="Times New Roman" w:hAnsi="Times New Roman" w:cs="Times New Roman"/>
                <w:b/>
                <w:bCs/>
                <w:sz w:val="22"/>
                <w:szCs w:val="22"/>
              </w:rPr>
            </w:pPr>
          </w:p>
          <w:p w14:paraId="018811B1" w14:textId="77777777" w:rsidR="002F36A6" w:rsidRDefault="002F36A6">
            <w:pPr>
              <w:pBdr>
                <w:top w:val="nil"/>
                <w:left w:val="nil"/>
                <w:bottom w:val="nil"/>
                <w:right w:val="nil"/>
                <w:between w:val="nil"/>
              </w:pBdr>
              <w:ind w:left="720"/>
              <w:jc w:val="both"/>
              <w:rPr>
                <w:rFonts w:ascii="Times New Roman" w:eastAsia="Times New Roman" w:hAnsi="Times New Roman" w:cs="Times New Roman"/>
                <w:b/>
                <w:bCs/>
                <w:strike/>
                <w:sz w:val="22"/>
                <w:szCs w:val="22"/>
              </w:rPr>
            </w:pPr>
          </w:p>
          <w:p w14:paraId="5C1B59D0" w14:textId="77777777" w:rsidR="002F36A6" w:rsidRDefault="002F36A6">
            <w:pPr>
              <w:jc w:val="both"/>
              <w:rPr>
                <w:rFonts w:ascii="Times New Roman" w:eastAsia="Times New Roman" w:hAnsi="Times New Roman" w:cs="Times New Roman"/>
                <w:color w:val="000000"/>
                <w:sz w:val="16"/>
                <w:szCs w:val="16"/>
                <w:highlight w:val="white"/>
              </w:rPr>
            </w:pPr>
          </w:p>
        </w:tc>
        <w:tc>
          <w:tcPr>
            <w:tcW w:w="1559" w:type="dxa"/>
          </w:tcPr>
          <w:p w14:paraId="20516857" w14:textId="77777777" w:rsidR="002F36A6" w:rsidRDefault="00000000">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Prevedere UE neaplicabilă</w:t>
            </w:r>
          </w:p>
        </w:tc>
        <w:tc>
          <w:tcPr>
            <w:tcW w:w="2589" w:type="dxa"/>
          </w:tcPr>
          <w:p w14:paraId="6E1CA67F" w14:textId="77777777" w:rsidR="002F36A6" w:rsidRDefault="00000000">
            <w:pPr>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Regulamentul </w:t>
            </w:r>
            <w:r>
              <w:rPr>
                <w:rFonts w:ascii="Times New Roman" w:eastAsia="Times New Roman" w:hAnsi="Times New Roman" w:cs="Times New Roman"/>
                <w:sz w:val="22"/>
                <w:szCs w:val="22"/>
              </w:rPr>
              <w:t xml:space="preserve">(CE) </w:t>
            </w:r>
            <w:r>
              <w:rPr>
                <w:rFonts w:ascii="Times New Roman" w:eastAsia="Times New Roman" w:hAnsi="Times New Roman" w:cs="Times New Roman"/>
                <w:b/>
                <w:bCs/>
                <w:sz w:val="20"/>
                <w:szCs w:val="20"/>
              </w:rPr>
              <w:t>1935/2004 a fost transpus prin Regulamentul sanitar privind materialele şi obiectele destinate să vină în contact cu produsele alimentare aprobat prin Hotărârea Guvernului nr. 308/2011.</w:t>
            </w:r>
          </w:p>
          <w:p w14:paraId="5C2C4E9F" w14:textId="77777777" w:rsidR="002F36A6" w:rsidRDefault="002F36A6">
            <w:pPr>
              <w:jc w:val="both"/>
              <w:rPr>
                <w:rFonts w:ascii="Times New Roman" w:eastAsia="Times New Roman" w:hAnsi="Times New Roman" w:cs="Times New Roman"/>
                <w:sz w:val="22"/>
                <w:szCs w:val="22"/>
              </w:rPr>
            </w:pPr>
          </w:p>
          <w:p w14:paraId="2AD10699" w14:textId="77777777" w:rsidR="002F36A6" w:rsidRDefault="00000000">
            <w:pPr>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0"/>
                <w:szCs w:val="20"/>
              </w:rPr>
              <w:t xml:space="preserve">    Art. 5  nu este aplicabil pentru că se referă la  competența Comisiei Europene privind adoptarea măsurilor specifice. </w:t>
            </w:r>
          </w:p>
        </w:tc>
      </w:tr>
      <w:tr w:rsidR="002F36A6" w14:paraId="49AA8D90" w14:textId="77777777">
        <w:trPr>
          <w:trHeight w:val="1880"/>
        </w:trPr>
        <w:tc>
          <w:tcPr>
            <w:tcW w:w="6957" w:type="dxa"/>
          </w:tcPr>
          <w:p w14:paraId="307F9E6A"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   Prezentul regulament stabilește cerințe specifice privind 4,4’-izopropilidendifenolul („bisfenol A” sau „BPA”) (nr. CAS 80-05-7) și sărurile acestuia, precum și alți bisfenoli periculoși și derivați periculoși ai bisfenolului, în ceea ce privește utilizarea lor la fabricarea următoarelor grupe de materiale și articole destinate să vină în contact cu alimentele care intră în domeniul de aplicare al articolului 1 alineatul (2) din Regulamentul (CE) nr. 1935/2004, care sunt introduse pe piața Uniunii:</w:t>
            </w:r>
          </w:p>
          <w:tbl>
            <w:tblPr>
              <w:tblStyle w:val="a1"/>
              <w:tblW w:w="6741" w:type="dxa"/>
              <w:tblInd w:w="0" w:type="dxa"/>
              <w:tblLayout w:type="fixed"/>
              <w:tblLook w:val="0400" w:firstRow="0" w:lastRow="0" w:firstColumn="0" w:lastColumn="0" w:noHBand="0" w:noVBand="1"/>
            </w:tblPr>
            <w:tblGrid>
              <w:gridCol w:w="1515"/>
              <w:gridCol w:w="5226"/>
            </w:tblGrid>
            <w:tr w:rsidR="002F36A6" w14:paraId="5C27D6D5" w14:textId="77777777">
              <w:tc>
                <w:tcPr>
                  <w:tcW w:w="1515" w:type="dxa"/>
                </w:tcPr>
                <w:p w14:paraId="2AED25B8" w14:textId="77777777" w:rsidR="002F36A6" w:rsidRDefault="00000000">
                  <w:pPr>
                    <w:jc w:val="both"/>
                    <w:rPr>
                      <w:color w:val="000000"/>
                      <w:sz w:val="22"/>
                      <w:szCs w:val="22"/>
                    </w:rPr>
                  </w:pPr>
                  <w:r>
                    <w:rPr>
                      <w:color w:val="000000"/>
                      <w:sz w:val="22"/>
                      <w:szCs w:val="22"/>
                    </w:rPr>
                    <w:t>(a)</w:t>
                  </w:r>
                </w:p>
              </w:tc>
              <w:tc>
                <w:tcPr>
                  <w:tcW w:w="5226" w:type="dxa"/>
                </w:tcPr>
                <w:p w14:paraId="66CCDC2F" w14:textId="77777777" w:rsidR="002F36A6" w:rsidRDefault="00000000">
                  <w:pPr>
                    <w:jc w:val="both"/>
                    <w:rPr>
                      <w:color w:val="000000"/>
                      <w:sz w:val="22"/>
                      <w:szCs w:val="22"/>
                    </w:rPr>
                  </w:pPr>
                  <w:r>
                    <w:rPr>
                      <w:color w:val="000000"/>
                      <w:sz w:val="22"/>
                      <w:szCs w:val="22"/>
                    </w:rPr>
                    <w:t>adezivi;</w:t>
                  </w:r>
                </w:p>
              </w:tc>
            </w:tr>
          </w:tbl>
          <w:p w14:paraId="7F698876"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bl>
            <w:tblPr>
              <w:tblStyle w:val="a2"/>
              <w:tblW w:w="6741" w:type="dxa"/>
              <w:tblInd w:w="0" w:type="dxa"/>
              <w:tblLayout w:type="fixed"/>
              <w:tblLook w:val="0400" w:firstRow="0" w:lastRow="0" w:firstColumn="0" w:lastColumn="0" w:noHBand="0" w:noVBand="1"/>
            </w:tblPr>
            <w:tblGrid>
              <w:gridCol w:w="1474"/>
              <w:gridCol w:w="5267"/>
            </w:tblGrid>
            <w:tr w:rsidR="002F36A6" w14:paraId="6FC679E3" w14:textId="77777777">
              <w:tc>
                <w:tcPr>
                  <w:tcW w:w="1474" w:type="dxa"/>
                </w:tcPr>
                <w:p w14:paraId="0EA503F7" w14:textId="77777777" w:rsidR="002F36A6" w:rsidRDefault="00000000">
                  <w:pPr>
                    <w:jc w:val="both"/>
                    <w:rPr>
                      <w:color w:val="000000"/>
                      <w:sz w:val="22"/>
                      <w:szCs w:val="22"/>
                    </w:rPr>
                  </w:pPr>
                  <w:r>
                    <w:rPr>
                      <w:color w:val="000000"/>
                      <w:sz w:val="22"/>
                      <w:szCs w:val="22"/>
                    </w:rPr>
                    <w:t>(b)</w:t>
                  </w:r>
                </w:p>
              </w:tc>
              <w:tc>
                <w:tcPr>
                  <w:tcW w:w="5267" w:type="dxa"/>
                </w:tcPr>
                <w:p w14:paraId="6B95E030" w14:textId="77777777" w:rsidR="002F36A6" w:rsidRDefault="00000000">
                  <w:pPr>
                    <w:jc w:val="both"/>
                    <w:rPr>
                      <w:color w:val="000000"/>
                      <w:sz w:val="22"/>
                      <w:szCs w:val="22"/>
                    </w:rPr>
                  </w:pPr>
                  <w:r>
                    <w:rPr>
                      <w:color w:val="000000"/>
                      <w:sz w:val="22"/>
                      <w:szCs w:val="22"/>
                    </w:rPr>
                    <w:t>cauciucuri;</w:t>
                  </w:r>
                </w:p>
              </w:tc>
            </w:tr>
          </w:tbl>
          <w:p w14:paraId="2C3EDB66"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bl>
            <w:tblPr>
              <w:tblStyle w:val="a3"/>
              <w:tblW w:w="6741" w:type="dxa"/>
              <w:tblInd w:w="0" w:type="dxa"/>
              <w:tblLayout w:type="fixed"/>
              <w:tblLook w:val="0400" w:firstRow="0" w:lastRow="0" w:firstColumn="0" w:lastColumn="0" w:noHBand="0" w:noVBand="1"/>
            </w:tblPr>
            <w:tblGrid>
              <w:gridCol w:w="627"/>
              <w:gridCol w:w="6114"/>
            </w:tblGrid>
            <w:tr w:rsidR="002F36A6" w14:paraId="6C3E8BEA" w14:textId="77777777">
              <w:tc>
                <w:tcPr>
                  <w:tcW w:w="627" w:type="dxa"/>
                </w:tcPr>
                <w:p w14:paraId="02739B1F" w14:textId="77777777" w:rsidR="002F36A6" w:rsidRDefault="00000000">
                  <w:pPr>
                    <w:jc w:val="both"/>
                    <w:rPr>
                      <w:color w:val="000000"/>
                      <w:sz w:val="22"/>
                      <w:szCs w:val="22"/>
                    </w:rPr>
                  </w:pPr>
                  <w:r>
                    <w:rPr>
                      <w:color w:val="000000"/>
                      <w:sz w:val="22"/>
                      <w:szCs w:val="22"/>
                    </w:rPr>
                    <w:t>(c)</w:t>
                  </w:r>
                </w:p>
              </w:tc>
              <w:tc>
                <w:tcPr>
                  <w:tcW w:w="6114" w:type="dxa"/>
                </w:tcPr>
                <w:p w14:paraId="2812972E" w14:textId="77777777" w:rsidR="002F36A6" w:rsidRDefault="00000000">
                  <w:pPr>
                    <w:jc w:val="both"/>
                    <w:rPr>
                      <w:color w:val="000000"/>
                      <w:sz w:val="22"/>
                      <w:szCs w:val="22"/>
                    </w:rPr>
                  </w:pPr>
                  <w:r>
                    <w:rPr>
                      <w:color w:val="000000"/>
                      <w:sz w:val="22"/>
                      <w:szCs w:val="22"/>
                    </w:rPr>
                    <w:t>rășini schimbătoare de ioni;</w:t>
                  </w:r>
                </w:p>
              </w:tc>
            </w:tr>
          </w:tbl>
          <w:p w14:paraId="368A7670"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bl>
            <w:tblPr>
              <w:tblStyle w:val="a4"/>
              <w:tblW w:w="6741" w:type="dxa"/>
              <w:tblInd w:w="0" w:type="dxa"/>
              <w:tblLayout w:type="fixed"/>
              <w:tblLook w:val="0400" w:firstRow="0" w:lastRow="0" w:firstColumn="0" w:lastColumn="0" w:noHBand="0" w:noVBand="1"/>
            </w:tblPr>
            <w:tblGrid>
              <w:gridCol w:w="900"/>
              <w:gridCol w:w="5841"/>
            </w:tblGrid>
            <w:tr w:rsidR="002F36A6" w14:paraId="0BC8E0F2" w14:textId="77777777">
              <w:tc>
                <w:tcPr>
                  <w:tcW w:w="900" w:type="dxa"/>
                </w:tcPr>
                <w:p w14:paraId="78EE65D9" w14:textId="77777777" w:rsidR="002F36A6" w:rsidRDefault="00000000">
                  <w:pPr>
                    <w:jc w:val="both"/>
                    <w:rPr>
                      <w:color w:val="000000"/>
                      <w:sz w:val="22"/>
                      <w:szCs w:val="22"/>
                    </w:rPr>
                  </w:pPr>
                  <w:r>
                    <w:rPr>
                      <w:color w:val="000000"/>
                      <w:sz w:val="22"/>
                      <w:szCs w:val="22"/>
                    </w:rPr>
                    <w:t>(d)</w:t>
                  </w:r>
                </w:p>
              </w:tc>
              <w:tc>
                <w:tcPr>
                  <w:tcW w:w="5841" w:type="dxa"/>
                </w:tcPr>
                <w:p w14:paraId="6CC63AC1" w14:textId="77777777" w:rsidR="002F36A6" w:rsidRDefault="00000000">
                  <w:pPr>
                    <w:jc w:val="both"/>
                    <w:rPr>
                      <w:color w:val="000000"/>
                      <w:sz w:val="22"/>
                      <w:szCs w:val="22"/>
                    </w:rPr>
                  </w:pPr>
                  <w:r>
                    <w:rPr>
                      <w:color w:val="000000"/>
                      <w:sz w:val="22"/>
                      <w:szCs w:val="22"/>
                    </w:rPr>
                    <w:t>materialele plastice;</w:t>
                  </w:r>
                </w:p>
              </w:tc>
            </w:tr>
          </w:tbl>
          <w:p w14:paraId="346A6DDF"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bl>
            <w:tblPr>
              <w:tblStyle w:val="a5"/>
              <w:tblW w:w="6741" w:type="dxa"/>
              <w:tblInd w:w="0" w:type="dxa"/>
              <w:tblLayout w:type="fixed"/>
              <w:tblLook w:val="0400" w:firstRow="0" w:lastRow="0" w:firstColumn="0" w:lastColumn="0" w:noHBand="0" w:noVBand="1"/>
            </w:tblPr>
            <w:tblGrid>
              <w:gridCol w:w="829"/>
              <w:gridCol w:w="5912"/>
            </w:tblGrid>
            <w:tr w:rsidR="002F36A6" w14:paraId="05610D76" w14:textId="77777777">
              <w:tc>
                <w:tcPr>
                  <w:tcW w:w="829" w:type="dxa"/>
                </w:tcPr>
                <w:p w14:paraId="7205C233" w14:textId="77777777" w:rsidR="002F36A6" w:rsidRDefault="00000000">
                  <w:pPr>
                    <w:jc w:val="both"/>
                    <w:rPr>
                      <w:color w:val="000000"/>
                      <w:sz w:val="22"/>
                      <w:szCs w:val="22"/>
                    </w:rPr>
                  </w:pPr>
                  <w:r>
                    <w:rPr>
                      <w:color w:val="000000"/>
                      <w:sz w:val="22"/>
                      <w:szCs w:val="22"/>
                    </w:rPr>
                    <w:t>(e)</w:t>
                  </w:r>
                </w:p>
              </w:tc>
              <w:tc>
                <w:tcPr>
                  <w:tcW w:w="5912" w:type="dxa"/>
                </w:tcPr>
                <w:p w14:paraId="61F81596" w14:textId="77777777" w:rsidR="002F36A6" w:rsidRDefault="00000000">
                  <w:pPr>
                    <w:jc w:val="both"/>
                    <w:rPr>
                      <w:color w:val="000000"/>
                      <w:sz w:val="22"/>
                      <w:szCs w:val="22"/>
                    </w:rPr>
                  </w:pPr>
                  <w:r>
                    <w:rPr>
                      <w:color w:val="000000"/>
                      <w:sz w:val="22"/>
                      <w:szCs w:val="22"/>
                    </w:rPr>
                    <w:t>cerneluri tipografice;</w:t>
                  </w:r>
                </w:p>
              </w:tc>
            </w:tr>
          </w:tbl>
          <w:p w14:paraId="774E25E8"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bl>
            <w:tblPr>
              <w:tblStyle w:val="a6"/>
              <w:tblW w:w="6740" w:type="dxa"/>
              <w:tblInd w:w="0" w:type="dxa"/>
              <w:tblLayout w:type="fixed"/>
              <w:tblLook w:val="0400" w:firstRow="0" w:lastRow="0" w:firstColumn="0" w:lastColumn="0" w:noHBand="0" w:noVBand="1"/>
            </w:tblPr>
            <w:tblGrid>
              <w:gridCol w:w="1423"/>
              <w:gridCol w:w="5317"/>
            </w:tblGrid>
            <w:tr w:rsidR="002F36A6" w14:paraId="2AA390C8" w14:textId="77777777">
              <w:tc>
                <w:tcPr>
                  <w:tcW w:w="1423" w:type="dxa"/>
                </w:tcPr>
                <w:p w14:paraId="0C111E69" w14:textId="77777777" w:rsidR="002F36A6" w:rsidRDefault="00000000">
                  <w:pPr>
                    <w:jc w:val="both"/>
                    <w:rPr>
                      <w:color w:val="000000"/>
                      <w:sz w:val="22"/>
                      <w:szCs w:val="22"/>
                    </w:rPr>
                  </w:pPr>
                  <w:r>
                    <w:rPr>
                      <w:color w:val="000000"/>
                      <w:sz w:val="22"/>
                      <w:szCs w:val="22"/>
                    </w:rPr>
                    <w:t>(f)</w:t>
                  </w:r>
                </w:p>
              </w:tc>
              <w:tc>
                <w:tcPr>
                  <w:tcW w:w="5317" w:type="dxa"/>
                </w:tcPr>
                <w:p w14:paraId="07C84FA1" w14:textId="77777777" w:rsidR="002F36A6" w:rsidRDefault="00000000">
                  <w:pPr>
                    <w:jc w:val="both"/>
                    <w:rPr>
                      <w:color w:val="000000"/>
                      <w:sz w:val="22"/>
                      <w:szCs w:val="22"/>
                    </w:rPr>
                  </w:pPr>
                  <w:r>
                    <w:rPr>
                      <w:color w:val="000000"/>
                      <w:sz w:val="22"/>
                      <w:szCs w:val="22"/>
                    </w:rPr>
                    <w:t>siliconi și</w:t>
                  </w:r>
                </w:p>
              </w:tc>
            </w:tr>
          </w:tbl>
          <w:p w14:paraId="5FF61276"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bl>
            <w:tblPr>
              <w:tblStyle w:val="a7"/>
              <w:tblW w:w="6741" w:type="dxa"/>
              <w:tblInd w:w="0" w:type="dxa"/>
              <w:tblLayout w:type="fixed"/>
              <w:tblLook w:val="0400" w:firstRow="0" w:lastRow="0" w:firstColumn="0" w:lastColumn="0" w:noHBand="0" w:noVBand="1"/>
            </w:tblPr>
            <w:tblGrid>
              <w:gridCol w:w="377"/>
              <w:gridCol w:w="6364"/>
            </w:tblGrid>
            <w:tr w:rsidR="002F36A6" w14:paraId="21D114C4" w14:textId="77777777">
              <w:tc>
                <w:tcPr>
                  <w:tcW w:w="377" w:type="dxa"/>
                </w:tcPr>
                <w:p w14:paraId="7E2F0F7B" w14:textId="77777777" w:rsidR="002F36A6" w:rsidRDefault="00000000">
                  <w:pPr>
                    <w:jc w:val="both"/>
                    <w:rPr>
                      <w:color w:val="000000"/>
                      <w:sz w:val="22"/>
                      <w:szCs w:val="22"/>
                    </w:rPr>
                  </w:pPr>
                  <w:r>
                    <w:rPr>
                      <w:color w:val="000000"/>
                      <w:sz w:val="22"/>
                      <w:szCs w:val="22"/>
                    </w:rPr>
                    <w:t>(g)</w:t>
                  </w:r>
                </w:p>
              </w:tc>
              <w:tc>
                <w:tcPr>
                  <w:tcW w:w="6364" w:type="dxa"/>
                </w:tcPr>
                <w:p w14:paraId="6E71E0FC" w14:textId="77777777" w:rsidR="002F36A6" w:rsidRDefault="00000000">
                  <w:pPr>
                    <w:jc w:val="both"/>
                    <w:rPr>
                      <w:color w:val="000000"/>
                      <w:sz w:val="22"/>
                      <w:szCs w:val="22"/>
                    </w:rPr>
                  </w:pPr>
                  <w:r>
                    <w:rPr>
                      <w:color w:val="000000"/>
                      <w:sz w:val="22"/>
                      <w:szCs w:val="22"/>
                    </w:rPr>
                    <w:t>materiale pentru învelișul interior al recipientelor.</w:t>
                  </w:r>
                </w:p>
              </w:tc>
            </w:tr>
          </w:tbl>
          <w:p w14:paraId="6D16685C"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14:paraId="0FAE845D" w14:textId="77777777" w:rsidR="002F36A6" w:rsidRDefault="002F36A6">
            <w:pPr>
              <w:jc w:val="both"/>
              <w:rPr>
                <w:rFonts w:ascii="Times New Roman" w:eastAsia="Times New Roman" w:hAnsi="Times New Roman" w:cs="Times New Roman"/>
                <w:color w:val="000000"/>
                <w:sz w:val="22"/>
                <w:szCs w:val="22"/>
              </w:rPr>
            </w:pPr>
          </w:p>
        </w:tc>
        <w:tc>
          <w:tcPr>
            <w:tcW w:w="4877" w:type="dxa"/>
          </w:tcPr>
          <w:p w14:paraId="3518AFD7" w14:textId="77777777" w:rsidR="002F36A6" w:rsidRDefault="002F36A6">
            <w:pPr>
              <w:jc w:val="both"/>
              <w:rPr>
                <w:rFonts w:ascii="Times New Roman" w:eastAsia="Times New Roman" w:hAnsi="Times New Roman" w:cs="Times New Roman"/>
                <w:b/>
                <w:bCs/>
                <w:color w:val="000000"/>
                <w:sz w:val="2"/>
                <w:szCs w:val="2"/>
              </w:rPr>
            </w:pPr>
          </w:p>
          <w:p w14:paraId="0F1E8C99" w14:textId="77777777" w:rsidR="002F36A6" w:rsidRDefault="002F36A6">
            <w:pPr>
              <w:widowControl w:val="0"/>
              <w:pBdr>
                <w:top w:val="nil"/>
                <w:left w:val="nil"/>
                <w:bottom w:val="nil"/>
                <w:right w:val="nil"/>
                <w:between w:val="nil"/>
              </w:pBdr>
              <w:jc w:val="both"/>
              <w:rPr>
                <w:rFonts w:ascii="Times New Roman" w:eastAsia="Times New Roman" w:hAnsi="Times New Roman" w:cs="Times New Roman"/>
                <w:color w:val="000000"/>
                <w:sz w:val="2"/>
                <w:szCs w:val="2"/>
              </w:rPr>
            </w:pPr>
          </w:p>
          <w:p w14:paraId="2204739E" w14:textId="77777777" w:rsidR="002F36A6" w:rsidRDefault="00000000">
            <w:pPr>
              <w:numPr>
                <w:ilvl w:val="0"/>
                <w:numId w:val="6"/>
              </w:numPr>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Dispoziţii generale</w:t>
            </w:r>
          </w:p>
          <w:p w14:paraId="1FD44A6B" w14:textId="77777777" w:rsidR="002F36A6" w:rsidRDefault="002F36A6">
            <w:pPr>
              <w:pBdr>
                <w:top w:val="nil"/>
                <w:left w:val="nil"/>
                <w:bottom w:val="nil"/>
                <w:right w:val="nil"/>
                <w:between w:val="nil"/>
              </w:pBdr>
              <w:ind w:left="720"/>
              <w:jc w:val="both"/>
              <w:rPr>
                <w:rFonts w:ascii="Times New Roman" w:eastAsia="Times New Roman" w:hAnsi="Times New Roman" w:cs="Times New Roman"/>
                <w:b/>
                <w:bCs/>
                <w:strike/>
                <w:sz w:val="22"/>
                <w:szCs w:val="22"/>
              </w:rPr>
            </w:pPr>
          </w:p>
          <w:p w14:paraId="2E37B26E" w14:textId="77777777" w:rsidR="002F36A6" w:rsidRDefault="00000000">
            <w:pPr>
              <w:widowControl w:val="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sz w:val="22"/>
                <w:szCs w:val="22"/>
                <w:highlight w:val="white"/>
              </w:rPr>
              <w:t xml:space="preserve">1. </w:t>
            </w:r>
            <w:r>
              <w:rPr>
                <w:rFonts w:ascii="Times New Roman" w:eastAsia="Times New Roman" w:hAnsi="Times New Roman" w:cs="Times New Roman"/>
                <w:sz w:val="22"/>
                <w:szCs w:val="22"/>
                <w:highlight w:val="white"/>
              </w:rPr>
              <w:t>Regulamentul sanitar privind bisfenolului A (BPA) și a altor bisfenoli și derivați ai bisfenolului cu clasificare armonizată pentru proprietăți periculoase specifice în anumite materiale și articole destinate să vină în contact cu produsele alimentare (</w:t>
            </w:r>
            <w:r>
              <w:rPr>
                <w:rFonts w:ascii="Times New Roman" w:eastAsia="Times New Roman" w:hAnsi="Times New Roman" w:cs="Times New Roman"/>
                <w:i/>
                <w:iCs/>
                <w:sz w:val="22"/>
                <w:szCs w:val="22"/>
                <w:highlight w:val="white"/>
              </w:rPr>
              <w:t>în continuare - Regulament</w:t>
            </w:r>
            <w:r>
              <w:rPr>
                <w:rFonts w:ascii="Times New Roman" w:eastAsia="Times New Roman" w:hAnsi="Times New Roman" w:cs="Times New Roman"/>
                <w:sz w:val="22"/>
                <w:szCs w:val="22"/>
                <w:highlight w:val="white"/>
              </w:rPr>
              <w:t>) definește cadrul juridic de reglementare privind restricțiile de utilizare, condițiile de introducere pe piață, cerințele de conformitate, precum și responsabilitățile autorităților responsabile în vederea asigurării unui nivel înalt de protecție a sănătății umane.</w:t>
            </w:r>
          </w:p>
          <w:p w14:paraId="29C4EB59" w14:textId="77777777" w:rsidR="002F36A6" w:rsidRDefault="002F36A6">
            <w:pPr>
              <w:widowControl w:val="0"/>
              <w:pBdr>
                <w:top w:val="nil"/>
                <w:left w:val="nil"/>
                <w:bottom w:val="nil"/>
                <w:right w:val="nil"/>
                <w:between w:val="nil"/>
              </w:pBdr>
              <w:jc w:val="both"/>
              <w:rPr>
                <w:rFonts w:ascii="Times New Roman" w:eastAsia="Times New Roman" w:hAnsi="Times New Roman" w:cs="Times New Roman"/>
                <w:color w:val="000000"/>
                <w:sz w:val="22"/>
                <w:szCs w:val="22"/>
              </w:rPr>
            </w:pPr>
          </w:p>
          <w:p w14:paraId="02857074" w14:textId="77777777" w:rsidR="002F36A6" w:rsidRDefault="00000000">
            <w:pPr>
              <w:widowControl w:val="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2.Regulamentul stabilește:</w:t>
            </w:r>
          </w:p>
          <w:p w14:paraId="5437D1AE" w14:textId="77777777" w:rsidR="002F36A6" w:rsidRDefault="00000000">
            <w:pPr>
              <w:widowControl w:val="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 cerințe specifice privind 4,4’-izopropilidendifenolul („bisfenol A” sau „BPA”) (nr. CAS 80-05-7) și sărurile acestuia, precum și alți bisfenoli periculoși și derivați periculoși ai bisfenolului, în ceea ce privește utilizarea lor la fabricarea următoarelor grupe de materiale și articole destinate să vină în contact cu produsele alimentare care intră în domeniul de aplicare al punctului 2 din Regulamentul sanitar privind materialele şi obiectele destinate să vină în contact cu produsele alimentare aprobat prin Hotărârea Guvernului nr. 308/2011</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w:t>
            </w:r>
            <w:r>
              <w:rPr>
                <w:rFonts w:ascii="Times New Roman" w:eastAsia="Times New Roman" w:hAnsi="Times New Roman" w:cs="Times New Roman"/>
                <w:i/>
                <w:iCs/>
                <w:color w:val="000000"/>
                <w:sz w:val="22"/>
                <w:szCs w:val="22"/>
              </w:rPr>
              <w:t>în continuare-  Regulamentul sanitar  aprobat prin Hotărârea Guvernului nr. 308/2011)</w:t>
            </w:r>
            <w:r>
              <w:rPr>
                <w:rFonts w:ascii="Times New Roman" w:eastAsia="Times New Roman" w:hAnsi="Times New Roman" w:cs="Times New Roman"/>
                <w:color w:val="000000"/>
                <w:sz w:val="22"/>
                <w:szCs w:val="22"/>
              </w:rPr>
              <w:t xml:space="preserve"> și care sunt introduse pe piața Republicii Moldova:</w:t>
            </w:r>
          </w:p>
          <w:p w14:paraId="7C73DB3F" w14:textId="77777777" w:rsidR="002F36A6" w:rsidRDefault="00000000">
            <w:pPr>
              <w:widowControl w:val="0"/>
              <w:pBdr>
                <w:top w:val="nil"/>
                <w:left w:val="nil"/>
                <w:bottom w:val="nil"/>
                <w:right w:val="nil"/>
                <w:between w:val="nil"/>
              </w:pBdr>
              <w:tabs>
                <w:tab w:val="left" w:pos="709"/>
                <w:tab w:val="left" w:pos="993"/>
                <w:tab w:val="left" w:pos="1134"/>
              </w:tabs>
              <w:ind w:left="567" w:right="9" w:hanging="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2.1.1. adezivi;</w:t>
            </w:r>
          </w:p>
          <w:p w14:paraId="03AF0B55" w14:textId="77777777" w:rsidR="002F36A6" w:rsidRDefault="00000000">
            <w:pPr>
              <w:widowControl w:val="0"/>
              <w:pBdr>
                <w:top w:val="nil"/>
                <w:left w:val="nil"/>
                <w:bottom w:val="nil"/>
                <w:right w:val="nil"/>
                <w:between w:val="nil"/>
              </w:pBdr>
              <w:tabs>
                <w:tab w:val="left" w:pos="709"/>
                <w:tab w:val="left" w:pos="993"/>
                <w:tab w:val="left" w:pos="1134"/>
              </w:tabs>
              <w:ind w:left="567" w:right="9" w:hanging="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sz w:val="22"/>
                <w:szCs w:val="22"/>
              </w:rPr>
              <w:t>1</w:t>
            </w:r>
            <w:r>
              <w:rPr>
                <w:rFonts w:ascii="Times New Roman" w:eastAsia="Times New Roman" w:hAnsi="Times New Roman" w:cs="Times New Roman"/>
                <w:color w:val="000000"/>
                <w:sz w:val="22"/>
                <w:szCs w:val="22"/>
              </w:rPr>
              <w:t>.2. cauciucuri;</w:t>
            </w:r>
          </w:p>
          <w:p w14:paraId="6D5270B3" w14:textId="77777777" w:rsidR="002F36A6" w:rsidRDefault="00000000">
            <w:pPr>
              <w:widowControl w:val="0"/>
              <w:pBdr>
                <w:top w:val="nil"/>
                <w:left w:val="nil"/>
                <w:bottom w:val="nil"/>
                <w:right w:val="nil"/>
                <w:between w:val="nil"/>
              </w:pBdr>
              <w:tabs>
                <w:tab w:val="left" w:pos="709"/>
                <w:tab w:val="left" w:pos="993"/>
                <w:tab w:val="left" w:pos="1134"/>
              </w:tabs>
              <w:ind w:left="567" w:right="9" w:hanging="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2.1.3. rășini schimbătoare de ioni;</w:t>
            </w:r>
          </w:p>
          <w:p w14:paraId="0EBA8568" w14:textId="77777777" w:rsidR="002F36A6" w:rsidRDefault="00000000">
            <w:pPr>
              <w:widowControl w:val="0"/>
              <w:pBdr>
                <w:top w:val="nil"/>
                <w:left w:val="nil"/>
                <w:bottom w:val="nil"/>
                <w:right w:val="nil"/>
                <w:between w:val="nil"/>
              </w:pBdr>
              <w:tabs>
                <w:tab w:val="left" w:pos="709"/>
                <w:tab w:val="left" w:pos="993"/>
                <w:tab w:val="left" w:pos="1134"/>
              </w:tabs>
              <w:ind w:left="567" w:right="9" w:hanging="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2.1.4. materialele plastice;</w:t>
            </w:r>
          </w:p>
          <w:p w14:paraId="249C9C5B" w14:textId="77777777" w:rsidR="002F36A6" w:rsidRDefault="00000000">
            <w:pPr>
              <w:widowControl w:val="0"/>
              <w:pBdr>
                <w:top w:val="nil"/>
                <w:left w:val="nil"/>
                <w:bottom w:val="nil"/>
                <w:right w:val="nil"/>
                <w:between w:val="nil"/>
              </w:pBdr>
              <w:tabs>
                <w:tab w:val="left" w:pos="709"/>
                <w:tab w:val="left" w:pos="993"/>
                <w:tab w:val="left" w:pos="1134"/>
              </w:tabs>
              <w:ind w:left="567" w:right="9" w:hanging="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2.1.5. cerneluri tipografice;</w:t>
            </w:r>
          </w:p>
          <w:p w14:paraId="27272407" w14:textId="77777777" w:rsidR="002F36A6" w:rsidRDefault="00000000">
            <w:pPr>
              <w:widowControl w:val="0"/>
              <w:pBdr>
                <w:top w:val="nil"/>
                <w:left w:val="nil"/>
                <w:bottom w:val="nil"/>
                <w:right w:val="nil"/>
                <w:between w:val="nil"/>
              </w:pBdr>
              <w:tabs>
                <w:tab w:val="left" w:pos="709"/>
                <w:tab w:val="left" w:pos="993"/>
                <w:tab w:val="left" w:pos="1134"/>
              </w:tabs>
              <w:ind w:left="567" w:right="9" w:hanging="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sz w:val="22"/>
                <w:szCs w:val="22"/>
              </w:rPr>
              <w:t>1.</w:t>
            </w:r>
            <w:r>
              <w:rPr>
                <w:rFonts w:ascii="Times New Roman" w:eastAsia="Times New Roman" w:hAnsi="Times New Roman" w:cs="Times New Roman"/>
                <w:color w:val="000000"/>
                <w:sz w:val="22"/>
                <w:szCs w:val="22"/>
              </w:rPr>
              <w:t xml:space="preserve">6. siliconi și </w:t>
            </w:r>
          </w:p>
          <w:p w14:paraId="239DF9A3" w14:textId="77777777" w:rsidR="002F36A6" w:rsidRDefault="00000000">
            <w:pPr>
              <w:widowControl w:val="0"/>
              <w:pBdr>
                <w:top w:val="nil"/>
                <w:left w:val="nil"/>
                <w:bottom w:val="nil"/>
                <w:right w:val="nil"/>
                <w:between w:val="nil"/>
              </w:pBdr>
              <w:tabs>
                <w:tab w:val="left" w:pos="709"/>
                <w:tab w:val="left" w:pos="993"/>
                <w:tab w:val="left" w:pos="1134"/>
              </w:tabs>
              <w:ind w:left="567" w:right="9" w:hanging="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2.1.7. materiale pentru învelișul interior al recipientelor.</w:t>
            </w:r>
          </w:p>
        </w:tc>
        <w:tc>
          <w:tcPr>
            <w:tcW w:w="1559" w:type="dxa"/>
          </w:tcPr>
          <w:p w14:paraId="7E7E9490"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Compatibil</w:t>
            </w:r>
          </w:p>
        </w:tc>
        <w:tc>
          <w:tcPr>
            <w:tcW w:w="2589" w:type="dxa"/>
          </w:tcPr>
          <w:p w14:paraId="59165AE9" w14:textId="77777777" w:rsidR="002F36A6" w:rsidRDefault="002F36A6">
            <w:pPr>
              <w:jc w:val="both"/>
              <w:rPr>
                <w:rFonts w:ascii="Times New Roman" w:eastAsia="Times New Roman" w:hAnsi="Times New Roman" w:cs="Times New Roman"/>
                <w:color w:val="000000"/>
                <w:sz w:val="22"/>
                <w:szCs w:val="22"/>
              </w:rPr>
            </w:pPr>
          </w:p>
        </w:tc>
      </w:tr>
      <w:tr w:rsidR="002F36A6" w14:paraId="512089EE" w14:textId="77777777">
        <w:tc>
          <w:tcPr>
            <w:tcW w:w="6957" w:type="dxa"/>
          </w:tcPr>
          <w:p w14:paraId="2F059CE3"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Prezentul regulament stabilește, de asemenea, cerințe specifice privind conținutul de BPA din materialele și articolele destinate să vină în contact </w:t>
            </w:r>
            <w:r>
              <w:rPr>
                <w:rFonts w:ascii="Times New Roman" w:eastAsia="Times New Roman" w:hAnsi="Times New Roman" w:cs="Times New Roman"/>
                <w:color w:val="000000"/>
                <w:sz w:val="22"/>
                <w:szCs w:val="22"/>
              </w:rPr>
              <w:lastRenderedPageBreak/>
              <w:t>cu alimentele, care au fost fabricate utilizând un alt bisfenol sau derivat al bisfenolului</w:t>
            </w:r>
          </w:p>
        </w:tc>
        <w:tc>
          <w:tcPr>
            <w:tcW w:w="4877" w:type="dxa"/>
          </w:tcPr>
          <w:p w14:paraId="05608690" w14:textId="77777777" w:rsidR="002F36A6" w:rsidRDefault="00000000">
            <w:pPr>
              <w:widowControl w:val="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2.2. cerințe specifice privind conținutul de BPA din materialele și articolele destinate să vină în contact cu produsele alimentare, care au fost fabricate utilizând </w:t>
            </w:r>
            <w:r>
              <w:rPr>
                <w:rFonts w:ascii="Times New Roman" w:eastAsia="Times New Roman" w:hAnsi="Times New Roman" w:cs="Times New Roman"/>
                <w:color w:val="000000"/>
                <w:sz w:val="22"/>
                <w:szCs w:val="22"/>
              </w:rPr>
              <w:lastRenderedPageBreak/>
              <w:t>un alt bisfenol sau derivat al bisfenolului.</w:t>
            </w:r>
          </w:p>
          <w:p w14:paraId="6316EA79" w14:textId="77777777" w:rsidR="002F36A6" w:rsidRDefault="002F36A6">
            <w:pPr>
              <w:shd w:val="clear" w:color="auto" w:fill="FFFFFF"/>
              <w:tabs>
                <w:tab w:val="left" w:pos="993"/>
              </w:tabs>
              <w:spacing w:before="120"/>
              <w:jc w:val="both"/>
              <w:rPr>
                <w:rFonts w:ascii="Times New Roman" w:eastAsia="Times New Roman" w:hAnsi="Times New Roman" w:cs="Times New Roman"/>
                <w:b/>
                <w:bCs/>
                <w:sz w:val="20"/>
                <w:szCs w:val="20"/>
              </w:rPr>
            </w:pPr>
          </w:p>
        </w:tc>
        <w:tc>
          <w:tcPr>
            <w:tcW w:w="1559" w:type="dxa"/>
          </w:tcPr>
          <w:p w14:paraId="012E0B96"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lastRenderedPageBreak/>
              <w:t>Compatibil</w:t>
            </w:r>
          </w:p>
        </w:tc>
        <w:tc>
          <w:tcPr>
            <w:tcW w:w="2589" w:type="dxa"/>
          </w:tcPr>
          <w:p w14:paraId="5E7F34FC" w14:textId="77777777" w:rsidR="002F36A6" w:rsidRDefault="002F36A6">
            <w:pPr>
              <w:jc w:val="center"/>
              <w:rPr>
                <w:rFonts w:ascii="Times New Roman" w:eastAsia="Times New Roman" w:hAnsi="Times New Roman" w:cs="Times New Roman"/>
                <w:b/>
                <w:bCs/>
                <w:color w:val="000000"/>
                <w:sz w:val="22"/>
                <w:szCs w:val="22"/>
              </w:rPr>
            </w:pPr>
          </w:p>
        </w:tc>
      </w:tr>
      <w:tr w:rsidR="002F36A6" w14:paraId="304C09CB" w14:textId="77777777">
        <w:tc>
          <w:tcPr>
            <w:tcW w:w="6957" w:type="dxa"/>
          </w:tcPr>
          <w:p w14:paraId="6858415B" w14:textId="77777777" w:rsidR="002F36A6" w:rsidRDefault="00000000">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Articolul 2</w:t>
            </w:r>
          </w:p>
          <w:p w14:paraId="1CD02E5B"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Definiții</w:t>
            </w:r>
          </w:p>
          <w:p w14:paraId="798F1AEB"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În sensul prezentului regulament, se aplică definițiile de la articolul 3 din Regulamentul (UE) nr. 10/2011.</w:t>
            </w:r>
          </w:p>
          <w:p w14:paraId="02089C9D"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În sensul prezentului regulament se aplică, de asemenea, următoarele definiții:</w:t>
            </w:r>
          </w:p>
          <w:tbl>
            <w:tblPr>
              <w:tblStyle w:val="a8"/>
              <w:tblW w:w="6741" w:type="dxa"/>
              <w:tblInd w:w="0" w:type="dxa"/>
              <w:tblLayout w:type="fixed"/>
              <w:tblLook w:val="0400" w:firstRow="0" w:lastRow="0" w:firstColumn="0" w:lastColumn="0" w:noHBand="0" w:noVBand="1"/>
            </w:tblPr>
            <w:tblGrid>
              <w:gridCol w:w="222"/>
              <w:gridCol w:w="6519"/>
            </w:tblGrid>
            <w:tr w:rsidR="002F36A6" w14:paraId="0F6A5A88" w14:textId="77777777">
              <w:tc>
                <w:tcPr>
                  <w:tcW w:w="222" w:type="dxa"/>
                </w:tcPr>
                <w:p w14:paraId="1F6CF49A" w14:textId="77777777" w:rsidR="002F36A6" w:rsidRDefault="00000000">
                  <w:pPr>
                    <w:jc w:val="both"/>
                    <w:rPr>
                      <w:color w:val="000000"/>
                      <w:sz w:val="22"/>
                      <w:szCs w:val="22"/>
                    </w:rPr>
                  </w:pPr>
                  <w:r>
                    <w:rPr>
                      <w:color w:val="000000"/>
                      <w:sz w:val="22"/>
                      <w:szCs w:val="22"/>
                    </w:rPr>
                    <w:t>(a)</w:t>
                  </w:r>
                </w:p>
              </w:tc>
              <w:tc>
                <w:tcPr>
                  <w:tcW w:w="6519" w:type="dxa"/>
                </w:tcPr>
                <w:p w14:paraId="31F068F4" w14:textId="77777777" w:rsidR="002F36A6" w:rsidRDefault="00000000">
                  <w:pPr>
                    <w:jc w:val="both"/>
                    <w:rPr>
                      <w:color w:val="000000"/>
                      <w:sz w:val="22"/>
                      <w:szCs w:val="22"/>
                    </w:rPr>
                  </w:pPr>
                  <w:r>
                    <w:rPr>
                      <w:color w:val="000000"/>
                      <w:sz w:val="22"/>
                      <w:szCs w:val="22"/>
                    </w:rPr>
                    <w:t>„articole finite destinate să vină în contact cu alimentele” înseamnă produse compuse dintr-unul sau mai multe materiale și articole destinate să vină în contact cu produsele alimentare care intră în domeniul de aplicare al articolului 1 alineatul (2) din Regulamentul (CE) nr. 1935/2004, care sunt în stare de produs finit pentru utilizare finală, fără a fi supuse niciunei prelucrări sau modificări chimice, biologice sau fizice suplimentare, cu excepția prelucrării sau a modificării lor suplimentare în vederea umplerii cu alimente, pentru a fi utilizate pentru ambalaje de unică folosință, inclusiv pentru procesul de sigilare;</w:t>
                  </w:r>
                </w:p>
                <w:p w14:paraId="6EF71B2D" w14:textId="77777777" w:rsidR="002F36A6" w:rsidRDefault="002F36A6">
                  <w:pPr>
                    <w:jc w:val="both"/>
                    <w:rPr>
                      <w:color w:val="000000"/>
                      <w:sz w:val="22"/>
                      <w:szCs w:val="22"/>
                    </w:rPr>
                  </w:pPr>
                </w:p>
                <w:p w14:paraId="18DA7294" w14:textId="77777777" w:rsidR="002F36A6" w:rsidRDefault="002F36A6">
                  <w:pPr>
                    <w:jc w:val="both"/>
                    <w:rPr>
                      <w:color w:val="000000"/>
                      <w:sz w:val="22"/>
                      <w:szCs w:val="22"/>
                    </w:rPr>
                  </w:pPr>
                </w:p>
              </w:tc>
            </w:tr>
          </w:tbl>
          <w:p w14:paraId="7E1FC0CF" w14:textId="77777777" w:rsidR="002F36A6" w:rsidRDefault="002F36A6">
            <w:pPr>
              <w:jc w:val="both"/>
              <w:rPr>
                <w:rFonts w:ascii="Times New Roman" w:eastAsia="Times New Roman" w:hAnsi="Times New Roman" w:cs="Times New Roman"/>
                <w:color w:val="000000"/>
                <w:sz w:val="22"/>
                <w:szCs w:val="22"/>
              </w:rPr>
            </w:pPr>
          </w:p>
        </w:tc>
        <w:tc>
          <w:tcPr>
            <w:tcW w:w="4877" w:type="dxa"/>
          </w:tcPr>
          <w:p w14:paraId="2334C840" w14:textId="77777777" w:rsidR="002F36A6" w:rsidRDefault="00000000">
            <w:pPr>
              <w:widowControl w:val="0"/>
              <w:numPr>
                <w:ilvl w:val="0"/>
                <w:numId w:val="5"/>
              </w:numPr>
              <w:pBdr>
                <w:top w:val="nil"/>
                <w:left w:val="nil"/>
                <w:bottom w:val="nil"/>
                <w:right w:val="nil"/>
                <w:between w:val="nil"/>
              </w:pBdr>
              <w:tabs>
                <w:tab w:val="left" w:pos="5107"/>
              </w:tabs>
              <w:ind w:left="46"/>
              <w:jc w:val="both"/>
              <w:rPr>
                <w:rFonts w:ascii="Times New Roman" w:eastAsia="Times New Roman" w:hAnsi="Times New Roman" w:cs="Times New Roman"/>
                <w:b/>
                <w:bCs/>
                <w:color w:val="000000"/>
                <w:sz w:val="22"/>
                <w:szCs w:val="22"/>
              </w:rPr>
            </w:pPr>
            <w:bookmarkStart w:id="1" w:name="_heading=h.xam2gco48nph" w:colFirst="0" w:colLast="0"/>
            <w:bookmarkEnd w:id="1"/>
            <w:r>
              <w:rPr>
                <w:rFonts w:ascii="Times New Roman" w:eastAsia="Times New Roman" w:hAnsi="Times New Roman" w:cs="Times New Roman"/>
                <w:b/>
                <w:bCs/>
                <w:color w:val="000000"/>
                <w:sz w:val="22"/>
                <w:szCs w:val="22"/>
              </w:rPr>
              <w:t>3</w:t>
            </w:r>
            <w:r>
              <w:rPr>
                <w:rFonts w:ascii="Times New Roman" w:eastAsia="Times New Roman" w:hAnsi="Times New Roman" w:cs="Times New Roman"/>
                <w:color w:val="000000"/>
                <w:sz w:val="22"/>
                <w:szCs w:val="22"/>
              </w:rPr>
              <w:t>. În sensul prezentului Regulament, se utilizează noțiunile definite în </w:t>
            </w:r>
            <w:r>
              <w:rPr>
                <w:rFonts w:ascii="Times New Roman" w:eastAsia="Times New Roman" w:hAnsi="Times New Roman" w:cs="Times New Roman"/>
                <w:b/>
                <w:bCs/>
                <w:color w:val="1F1F1F"/>
                <w:sz w:val="22"/>
                <w:szCs w:val="22"/>
                <w:highlight w:val="white"/>
              </w:rPr>
              <w:t xml:space="preserve">Regulamentul sanitar privind materialele şi obiectele </w:t>
            </w:r>
            <w:r>
              <w:rPr>
                <w:rFonts w:ascii="Times New Roman" w:eastAsia="Times New Roman" w:hAnsi="Times New Roman" w:cs="Times New Roman"/>
                <w:b/>
                <w:bCs/>
                <w:color w:val="1F1F1F"/>
                <w:sz w:val="22"/>
                <w:szCs w:val="22"/>
              </w:rPr>
              <w:t>din plastic destinate să vină în contact cu produsele alimentare</w:t>
            </w:r>
            <w:r>
              <w:rPr>
                <w:rFonts w:ascii="Times New Roman" w:eastAsia="Times New Roman" w:hAnsi="Times New Roman" w:cs="Times New Roman"/>
                <w:b/>
                <w:bCs/>
                <w:color w:val="000000"/>
                <w:sz w:val="22"/>
                <w:szCs w:val="22"/>
              </w:rPr>
              <w:t xml:space="preserve"> </w:t>
            </w:r>
            <w:r>
              <w:rPr>
                <w:rFonts w:ascii="Times New Roman" w:eastAsia="Times New Roman" w:hAnsi="Times New Roman" w:cs="Times New Roman"/>
                <w:color w:val="000000"/>
                <w:sz w:val="22"/>
                <w:szCs w:val="22"/>
              </w:rPr>
              <w:t>aprobat prin Hotărârea Guvernului nr. 278/2013 (î</w:t>
            </w:r>
            <w:r>
              <w:rPr>
                <w:rFonts w:ascii="Times New Roman" w:eastAsia="Times New Roman" w:hAnsi="Times New Roman" w:cs="Times New Roman"/>
                <w:i/>
                <w:iCs/>
                <w:color w:val="000000"/>
                <w:sz w:val="22"/>
                <w:szCs w:val="22"/>
              </w:rPr>
              <w:t xml:space="preserve">n continuare - </w:t>
            </w:r>
            <w:r>
              <w:rPr>
                <w:rFonts w:ascii="Times New Roman" w:eastAsia="Times New Roman" w:hAnsi="Times New Roman" w:cs="Times New Roman"/>
                <w:i/>
                <w:iCs/>
                <w:sz w:val="22"/>
                <w:szCs w:val="22"/>
              </w:rPr>
              <w:t>Regulamentul sanitar aprobat prin Hotărârea Guvernului nr. 278/2013</w:t>
            </w:r>
            <w:r>
              <w:rPr>
                <w:rFonts w:ascii="Times New Roman" w:eastAsia="Times New Roman" w:hAnsi="Times New Roman" w:cs="Times New Roman"/>
                <w:sz w:val="22"/>
                <w:szCs w:val="22"/>
              </w:rPr>
              <w:t>)</w:t>
            </w:r>
            <w:r>
              <w:rPr>
                <w:rFonts w:ascii="Times New Roman" w:eastAsia="Times New Roman" w:hAnsi="Times New Roman" w:cs="Times New Roman"/>
                <w:color w:val="000000"/>
                <w:sz w:val="22"/>
                <w:szCs w:val="22"/>
              </w:rPr>
              <w:t>, precum și următoarele definiții:</w:t>
            </w:r>
          </w:p>
          <w:p w14:paraId="3AF30D40" w14:textId="77777777" w:rsidR="002F36A6" w:rsidRDefault="00000000">
            <w:pPr>
              <w:widowControl w:val="0"/>
              <w:numPr>
                <w:ilvl w:val="0"/>
                <w:numId w:val="5"/>
              </w:numPr>
              <w:pBdr>
                <w:top w:val="nil"/>
                <w:left w:val="nil"/>
                <w:bottom w:val="nil"/>
                <w:right w:val="nil"/>
                <w:between w:val="nil"/>
              </w:pBdr>
              <w:tabs>
                <w:tab w:val="left" w:pos="5107"/>
              </w:tabs>
              <w:ind w:left="46"/>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 </w:t>
            </w:r>
            <w:r>
              <w:rPr>
                <w:rFonts w:ascii="Times New Roman" w:eastAsia="Times New Roman" w:hAnsi="Times New Roman" w:cs="Times New Roman"/>
                <w:b/>
                <w:bCs/>
                <w:sz w:val="22"/>
                <w:szCs w:val="22"/>
              </w:rPr>
              <w:t>3</w:t>
            </w:r>
            <w:r>
              <w:rPr>
                <w:rFonts w:ascii="Times New Roman" w:eastAsia="Times New Roman" w:hAnsi="Times New Roman" w:cs="Times New Roman"/>
                <w:b/>
                <w:bCs/>
                <w:color w:val="000000"/>
                <w:sz w:val="22"/>
                <w:szCs w:val="22"/>
              </w:rPr>
              <w:t xml:space="preserve">.1. </w:t>
            </w:r>
            <w:r>
              <w:rPr>
                <w:rFonts w:ascii="Times New Roman" w:eastAsia="Times New Roman" w:hAnsi="Times New Roman" w:cs="Times New Roman"/>
                <w:i/>
                <w:iCs/>
                <w:color w:val="000000"/>
                <w:sz w:val="22"/>
                <w:szCs w:val="22"/>
              </w:rPr>
              <w:t>articole finite destinate să vină în contact cu produsele alimentare</w:t>
            </w:r>
            <w:r>
              <w:rPr>
                <w:rFonts w:ascii="Times New Roman" w:eastAsia="Times New Roman" w:hAnsi="Times New Roman" w:cs="Times New Roman"/>
                <w:color w:val="000000"/>
                <w:sz w:val="22"/>
                <w:szCs w:val="22"/>
              </w:rPr>
              <w:t xml:space="preserve"> - produse compuse dintr-unul sau mai multe materiale și articole destinate să vină în contact cu produsele alimentare care intră în domeniul de aplicare în pct. 2 din Regulamentul sanitar aprobat prin Hotărârea Guvernului nr.308/2011, care sunt în stare de produs finit pentru utilizare finală, fără a fi supuse niciunei prelucrări sau modificări chimice, biologice sau fizice suplimentare, cu excepția prelucrării sau a modificării lor suplimentare în vederea umplerii cu produsele alimentare, pentru a fi utilizate pentru ambalaje de unică folosință, inclusiv pentru procesul de sigilare;</w:t>
            </w:r>
          </w:p>
          <w:p w14:paraId="19502D77" w14:textId="77777777" w:rsidR="002F36A6" w:rsidRDefault="002F36A6">
            <w:pPr>
              <w:widowControl w:val="0"/>
              <w:numPr>
                <w:ilvl w:val="0"/>
                <w:numId w:val="5"/>
              </w:numPr>
              <w:pBdr>
                <w:top w:val="nil"/>
                <w:left w:val="nil"/>
                <w:bottom w:val="nil"/>
                <w:right w:val="nil"/>
                <w:between w:val="nil"/>
              </w:pBdr>
              <w:tabs>
                <w:tab w:val="left" w:pos="5107"/>
              </w:tabs>
              <w:ind w:left="46"/>
              <w:jc w:val="both"/>
              <w:rPr>
                <w:rFonts w:ascii="Times New Roman" w:eastAsia="Times New Roman" w:hAnsi="Times New Roman" w:cs="Times New Roman"/>
                <w:b/>
                <w:bCs/>
                <w:color w:val="000000"/>
                <w:sz w:val="22"/>
                <w:szCs w:val="22"/>
              </w:rPr>
            </w:pPr>
          </w:p>
        </w:tc>
        <w:tc>
          <w:tcPr>
            <w:tcW w:w="1559" w:type="dxa"/>
          </w:tcPr>
          <w:p w14:paraId="33ECE035"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Compatibil</w:t>
            </w:r>
          </w:p>
        </w:tc>
        <w:tc>
          <w:tcPr>
            <w:tcW w:w="2589" w:type="dxa"/>
          </w:tcPr>
          <w:p w14:paraId="21623104"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În prezent, nu toate definițiile prevăzute de Regulamentul (UE) nr. 10/2011 sunt transpuse în Hotărârea Guvernului nr. 278/2013. Modificarea acesteia este planificată prin acțiunea nr. 57 din Anexa A, capitolul 12, iar în cadrul procesului de modificare vor fi preluate și celelalte definiții</w:t>
            </w:r>
          </w:p>
          <w:p w14:paraId="4EFF1F2C" w14:textId="77777777" w:rsidR="002F36A6" w:rsidRDefault="00000000">
            <w:pPr>
              <w:tabs>
                <w:tab w:val="left" w:pos="0"/>
                <w:tab w:val="left" w:pos="567"/>
                <w:tab w:val="left" w:pos="851"/>
              </w:tabs>
              <w:jc w:val="both"/>
              <w:rPr>
                <w:rFonts w:ascii="Times New Roman" w:eastAsia="Times New Roman" w:hAnsi="Times New Roman" w:cs="Times New Roman"/>
                <w:b/>
                <w:bCs/>
                <w:color w:val="000000"/>
              </w:rPr>
            </w:pPr>
            <w:bookmarkStart w:id="2" w:name="_heading=h.mpba4jks6pz5" w:colFirst="0" w:colLast="0"/>
            <w:bookmarkEnd w:id="2"/>
            <w:r>
              <w:rPr>
                <w:rFonts w:ascii="Times New Roman" w:eastAsia="Times New Roman" w:hAnsi="Times New Roman" w:cs="Times New Roman"/>
                <w:color w:val="000000"/>
                <w:sz w:val="22"/>
                <w:szCs w:val="22"/>
              </w:rPr>
              <w:t>în vederea asigurării unei alinieri complete la legislația Uniunii Europene ( la moment este la etapa de definitivare a PHG</w:t>
            </w:r>
            <w:r>
              <w:rPr>
                <w:rFonts w:ascii="Times New Roman" w:eastAsia="Times New Roman" w:hAnsi="Times New Roman" w:cs="Times New Roman"/>
                <w:color w:val="000000"/>
              </w:rPr>
              <w:t xml:space="preserve"> cu privire la modificarea unor hotărâri ale Guvernului</w:t>
            </w:r>
            <w:r>
              <w:rPr>
                <w:rFonts w:ascii="Times New Roman" w:eastAsia="Times New Roman" w:hAnsi="Times New Roman" w:cs="Times New Roman"/>
                <w:b/>
                <w:bCs/>
                <w:color w:val="000000"/>
              </w:rPr>
              <w:t xml:space="preserve"> </w:t>
            </w:r>
            <w:r>
              <w:rPr>
                <w:rFonts w:ascii="Times New Roman" w:eastAsia="Times New Roman" w:hAnsi="Times New Roman" w:cs="Times New Roman"/>
                <w:i/>
                <w:iCs/>
                <w:color w:val="000000"/>
              </w:rPr>
              <w:t>(privind materialele destinate să vină în contact cu produsele alimentare).</w:t>
            </w:r>
          </w:p>
          <w:p w14:paraId="2C5BC815" w14:textId="77777777" w:rsidR="002F36A6" w:rsidRDefault="002F36A6">
            <w:pPr>
              <w:jc w:val="both"/>
              <w:rPr>
                <w:rFonts w:ascii="Times New Roman" w:eastAsia="Times New Roman" w:hAnsi="Times New Roman" w:cs="Times New Roman"/>
                <w:color w:val="000000"/>
                <w:sz w:val="22"/>
                <w:szCs w:val="22"/>
              </w:rPr>
            </w:pPr>
          </w:p>
          <w:p w14:paraId="58179316"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Totodată, menționăm că actele normative din acest domeniu sunt interdependente, din acest motiv, modificările actelor normative respective sunt elaborate și vor fi promovate în paralel, pentru a asigura coerența cadrului normativ și evitarea neconcordanțelor legislative.</w:t>
            </w:r>
          </w:p>
          <w:p w14:paraId="1B729B72" w14:textId="77777777" w:rsidR="002F36A6" w:rsidRDefault="002F36A6">
            <w:pPr>
              <w:jc w:val="center"/>
              <w:rPr>
                <w:rFonts w:ascii="Times New Roman" w:eastAsia="Times New Roman" w:hAnsi="Times New Roman" w:cs="Times New Roman"/>
                <w:color w:val="000000"/>
                <w:sz w:val="22"/>
                <w:szCs w:val="22"/>
              </w:rPr>
            </w:pPr>
          </w:p>
          <w:p w14:paraId="16C21FD6" w14:textId="77777777" w:rsidR="002F36A6" w:rsidRDefault="002F36A6">
            <w:pPr>
              <w:rPr>
                <w:rFonts w:ascii="Times New Roman" w:eastAsia="Times New Roman" w:hAnsi="Times New Roman" w:cs="Times New Roman"/>
                <w:b/>
                <w:bCs/>
                <w:color w:val="000000"/>
                <w:sz w:val="22"/>
                <w:szCs w:val="22"/>
              </w:rPr>
            </w:pPr>
          </w:p>
        </w:tc>
      </w:tr>
      <w:tr w:rsidR="002F36A6" w14:paraId="2E51B95D" w14:textId="77777777">
        <w:tc>
          <w:tcPr>
            <w:tcW w:w="6957" w:type="dxa"/>
          </w:tcPr>
          <w:p w14:paraId="70207B4C"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(b)</w:t>
            </w:r>
            <w:r>
              <w:rPr>
                <w:rFonts w:ascii="Times New Roman" w:eastAsia="Times New Roman" w:hAnsi="Times New Roman" w:cs="Times New Roman"/>
                <w:color w:val="000000"/>
                <w:sz w:val="22"/>
                <w:szCs w:val="22"/>
              </w:rPr>
              <w:tab/>
              <w:t>„materiale intermediare destinate să vină în contact cu alimentele” înseamnă materiale care sunt destinate să fie supuse unor prelucrări sau modificări chimice, biologice sau fizice suplimentare pentru a deveni integral sau parțial un articol finit destinat să vină în contact cu alimentele, altele decât prelucrarea sau modificarea suplimentară în vederea umplerii cu alimente, pentru a fi utilizate pentru ambalaje de unică folosință, inclusiv pentru procesul de sigilare;</w:t>
            </w:r>
          </w:p>
        </w:tc>
        <w:tc>
          <w:tcPr>
            <w:tcW w:w="4877" w:type="dxa"/>
          </w:tcPr>
          <w:p w14:paraId="2927088C" w14:textId="77777777" w:rsidR="002F36A6" w:rsidRDefault="00000000">
            <w:pPr>
              <w:widowControl w:val="0"/>
              <w:numPr>
                <w:ilvl w:val="0"/>
                <w:numId w:val="5"/>
              </w:numPr>
              <w:pBdr>
                <w:top w:val="nil"/>
                <w:left w:val="nil"/>
                <w:bottom w:val="nil"/>
                <w:right w:val="nil"/>
                <w:between w:val="nil"/>
              </w:pBdr>
              <w:tabs>
                <w:tab w:val="left" w:pos="5107"/>
              </w:tabs>
              <w:ind w:left="46"/>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i/>
                <w:iCs/>
                <w:sz w:val="22"/>
                <w:szCs w:val="22"/>
              </w:rPr>
              <w:t>3</w:t>
            </w:r>
            <w:r>
              <w:rPr>
                <w:rFonts w:ascii="Times New Roman" w:eastAsia="Times New Roman" w:hAnsi="Times New Roman" w:cs="Times New Roman"/>
                <w:i/>
                <w:iCs/>
                <w:color w:val="000000"/>
                <w:sz w:val="22"/>
                <w:szCs w:val="22"/>
              </w:rPr>
              <w:t>.2.materiale intermediare destinate să vină în contact cu produsele alimentare</w:t>
            </w:r>
            <w:r>
              <w:rPr>
                <w:rFonts w:ascii="Times New Roman" w:eastAsia="Times New Roman" w:hAnsi="Times New Roman" w:cs="Times New Roman"/>
                <w:color w:val="000000"/>
                <w:sz w:val="22"/>
                <w:szCs w:val="22"/>
              </w:rPr>
              <w:t xml:space="preserve">  -  materiale care sunt destinate să fie supuse unor prelucrări sau modificări chimice, biologice sau fizice suplimentare pentru a deveni integral sau parțial un articol finit destinat să vină în contact cu produsele alimentare, altele decât prelucrarea sau modificarea suplimentară în vederea umplerii cu  produsele alimentare, pentru a fi utilizate pentru ambalaje de unică folosință, inclusiv pentru procesul de sigilare;</w:t>
            </w:r>
          </w:p>
          <w:p w14:paraId="597FB91A" w14:textId="77777777" w:rsidR="002F36A6" w:rsidRDefault="002F36A6">
            <w:pPr>
              <w:widowControl w:val="0"/>
              <w:pBdr>
                <w:top w:val="nil"/>
                <w:left w:val="nil"/>
                <w:bottom w:val="nil"/>
                <w:right w:val="nil"/>
                <w:between w:val="nil"/>
              </w:pBdr>
              <w:tabs>
                <w:tab w:val="left" w:pos="5107"/>
              </w:tabs>
              <w:ind w:left="46"/>
              <w:jc w:val="both"/>
              <w:rPr>
                <w:rFonts w:ascii="Times New Roman" w:eastAsia="Times New Roman" w:hAnsi="Times New Roman" w:cs="Times New Roman"/>
                <w:b/>
                <w:bCs/>
                <w:color w:val="000000"/>
                <w:sz w:val="22"/>
                <w:szCs w:val="22"/>
              </w:rPr>
            </w:pPr>
          </w:p>
        </w:tc>
        <w:tc>
          <w:tcPr>
            <w:tcW w:w="1559" w:type="dxa"/>
          </w:tcPr>
          <w:p w14:paraId="13ECF6E9"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compatibil</w:t>
            </w:r>
          </w:p>
        </w:tc>
        <w:tc>
          <w:tcPr>
            <w:tcW w:w="2589" w:type="dxa"/>
          </w:tcPr>
          <w:p w14:paraId="04C901AB" w14:textId="77777777" w:rsidR="002F36A6" w:rsidRDefault="002F36A6">
            <w:pPr>
              <w:jc w:val="center"/>
              <w:rPr>
                <w:rFonts w:ascii="Times New Roman" w:eastAsia="Times New Roman" w:hAnsi="Times New Roman" w:cs="Times New Roman"/>
                <w:b/>
                <w:bCs/>
                <w:color w:val="000000"/>
                <w:sz w:val="22"/>
                <w:szCs w:val="22"/>
              </w:rPr>
            </w:pPr>
          </w:p>
        </w:tc>
      </w:tr>
      <w:tr w:rsidR="002F36A6" w14:paraId="7D426941" w14:textId="77777777">
        <w:tc>
          <w:tcPr>
            <w:tcW w:w="6957" w:type="dxa"/>
          </w:tcPr>
          <w:p w14:paraId="10410020" w14:textId="77777777" w:rsidR="002F36A6" w:rsidRDefault="00000000">
            <w:pPr>
              <w:tabs>
                <w:tab w:val="left" w:pos="750"/>
              </w:tabs>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(c)</w:t>
            </w:r>
            <w:r>
              <w:rPr>
                <w:rFonts w:ascii="Times New Roman" w:eastAsia="Times New Roman" w:hAnsi="Times New Roman" w:cs="Times New Roman"/>
                <w:color w:val="000000"/>
                <w:sz w:val="22"/>
                <w:szCs w:val="22"/>
                <w:highlight w:val="white"/>
              </w:rPr>
              <w:tab/>
              <w:t>„bisfenol” înseamnă o substanță care constă în două grupe funcționale de hidroxifenil legate printr-un atom de legătură, în conformitate cu structura A stabilită în anexa I și include forma de sare a bisfenolului. Pot fi atașate grupuri suplimentare la atomul de legătură;</w:t>
            </w:r>
          </w:p>
        </w:tc>
        <w:tc>
          <w:tcPr>
            <w:tcW w:w="4877" w:type="dxa"/>
          </w:tcPr>
          <w:p w14:paraId="28AE8F36" w14:textId="77777777" w:rsidR="002F36A6" w:rsidRDefault="00000000">
            <w:pPr>
              <w:widowControl w:val="0"/>
              <w:pBdr>
                <w:top w:val="nil"/>
                <w:left w:val="nil"/>
                <w:bottom w:val="nil"/>
                <w:right w:val="nil"/>
                <w:between w:val="nil"/>
              </w:pBdr>
              <w:tabs>
                <w:tab w:val="left" w:pos="5107"/>
              </w:tabs>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i/>
                <w:iCs/>
                <w:sz w:val="22"/>
                <w:szCs w:val="22"/>
              </w:rPr>
              <w:t>3</w:t>
            </w:r>
            <w:r>
              <w:rPr>
                <w:rFonts w:ascii="Times New Roman" w:eastAsia="Times New Roman" w:hAnsi="Times New Roman" w:cs="Times New Roman"/>
                <w:i/>
                <w:iCs/>
                <w:color w:val="000000"/>
                <w:sz w:val="22"/>
                <w:szCs w:val="22"/>
              </w:rPr>
              <w:t>.3. bisfenol</w:t>
            </w:r>
            <w:r>
              <w:rPr>
                <w:rFonts w:ascii="Times New Roman" w:eastAsia="Times New Roman" w:hAnsi="Times New Roman" w:cs="Times New Roman"/>
                <w:color w:val="000000"/>
                <w:sz w:val="22"/>
                <w:szCs w:val="22"/>
              </w:rPr>
              <w:t xml:space="preserve"> - o substanță care constă în două grupe funcționale de hidroxifenil legate printr-un atom de legătură, în conformitate cu structura A stabilită în anexa nr.1 și include forma de sare a bisfenolului. Pot fi atașate grupuri suplimentare la atomul de legătură</w:t>
            </w:r>
          </w:p>
          <w:p w14:paraId="4BB8DE50" w14:textId="77777777" w:rsidR="002F36A6" w:rsidRDefault="002F36A6">
            <w:pPr>
              <w:widowControl w:val="0"/>
              <w:pBdr>
                <w:top w:val="nil"/>
                <w:left w:val="nil"/>
                <w:bottom w:val="nil"/>
                <w:right w:val="nil"/>
                <w:between w:val="nil"/>
              </w:pBdr>
              <w:tabs>
                <w:tab w:val="left" w:pos="5107"/>
              </w:tabs>
              <w:jc w:val="both"/>
              <w:rPr>
                <w:rFonts w:ascii="Times New Roman" w:eastAsia="Times New Roman" w:hAnsi="Times New Roman" w:cs="Times New Roman"/>
                <w:b/>
                <w:bCs/>
                <w:color w:val="000000"/>
                <w:sz w:val="22"/>
                <w:szCs w:val="22"/>
              </w:rPr>
            </w:pPr>
          </w:p>
        </w:tc>
        <w:tc>
          <w:tcPr>
            <w:tcW w:w="1559" w:type="dxa"/>
          </w:tcPr>
          <w:p w14:paraId="0E3578C9"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compatibil</w:t>
            </w:r>
          </w:p>
        </w:tc>
        <w:tc>
          <w:tcPr>
            <w:tcW w:w="2589" w:type="dxa"/>
          </w:tcPr>
          <w:p w14:paraId="346762B4" w14:textId="77777777" w:rsidR="002F36A6" w:rsidRDefault="002F36A6">
            <w:pPr>
              <w:jc w:val="center"/>
              <w:rPr>
                <w:rFonts w:ascii="Times New Roman" w:eastAsia="Times New Roman" w:hAnsi="Times New Roman" w:cs="Times New Roman"/>
                <w:b/>
                <w:bCs/>
                <w:color w:val="000000"/>
                <w:sz w:val="22"/>
                <w:szCs w:val="22"/>
              </w:rPr>
            </w:pPr>
          </w:p>
        </w:tc>
      </w:tr>
      <w:tr w:rsidR="002F36A6" w14:paraId="32580278" w14:textId="77777777">
        <w:tc>
          <w:tcPr>
            <w:tcW w:w="6957" w:type="dxa"/>
          </w:tcPr>
          <w:p w14:paraId="77CCE8F5"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(d)</w:t>
            </w:r>
            <w:r>
              <w:rPr>
                <w:rFonts w:ascii="Times New Roman" w:eastAsia="Times New Roman" w:hAnsi="Times New Roman" w:cs="Times New Roman"/>
                <w:color w:val="000000"/>
                <w:sz w:val="22"/>
                <w:szCs w:val="22"/>
                <w:highlight w:val="white"/>
              </w:rPr>
              <w:tab/>
              <w:t>„derivat al bisfenolului” înseamnă o substanță indicată de structura generală B stabilită în anexa I, care nu include forma de sare a bisfenolului;</w:t>
            </w:r>
          </w:p>
        </w:tc>
        <w:tc>
          <w:tcPr>
            <w:tcW w:w="4877" w:type="dxa"/>
          </w:tcPr>
          <w:p w14:paraId="0B11F312" w14:textId="77777777" w:rsidR="002F36A6" w:rsidRDefault="00000000">
            <w:pPr>
              <w:widowControl w:val="0"/>
              <w:pBdr>
                <w:top w:val="nil"/>
                <w:left w:val="nil"/>
                <w:bottom w:val="nil"/>
                <w:right w:val="nil"/>
                <w:between w:val="nil"/>
              </w:pBdr>
              <w:tabs>
                <w:tab w:val="left" w:pos="5107"/>
              </w:tabs>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i/>
                <w:iCs/>
                <w:sz w:val="22"/>
                <w:szCs w:val="22"/>
              </w:rPr>
              <w:t>3</w:t>
            </w:r>
            <w:r>
              <w:rPr>
                <w:rFonts w:ascii="Times New Roman" w:eastAsia="Times New Roman" w:hAnsi="Times New Roman" w:cs="Times New Roman"/>
                <w:i/>
                <w:iCs/>
                <w:color w:val="000000"/>
                <w:sz w:val="22"/>
                <w:szCs w:val="22"/>
              </w:rPr>
              <w:t>.4.derivat al bisfenolului</w:t>
            </w:r>
            <w:r>
              <w:rPr>
                <w:rFonts w:ascii="Times New Roman" w:eastAsia="Times New Roman" w:hAnsi="Times New Roman" w:cs="Times New Roman"/>
                <w:color w:val="000000"/>
                <w:sz w:val="22"/>
                <w:szCs w:val="22"/>
              </w:rPr>
              <w:t xml:space="preserve">  - o substanță indicată de structura generală B stabilită în anexa nr.1, care nu include forma de sare a bisfenolului</w:t>
            </w:r>
          </w:p>
          <w:p w14:paraId="4AA6BAF3" w14:textId="77777777" w:rsidR="002F36A6" w:rsidRDefault="002F36A6">
            <w:pPr>
              <w:widowControl w:val="0"/>
              <w:pBdr>
                <w:top w:val="nil"/>
                <w:left w:val="nil"/>
                <w:bottom w:val="nil"/>
                <w:right w:val="nil"/>
                <w:between w:val="nil"/>
              </w:pBdr>
              <w:tabs>
                <w:tab w:val="left" w:pos="5107"/>
              </w:tabs>
              <w:ind w:left="46"/>
              <w:jc w:val="both"/>
              <w:rPr>
                <w:rFonts w:ascii="Times New Roman" w:eastAsia="Times New Roman" w:hAnsi="Times New Roman" w:cs="Times New Roman"/>
                <w:color w:val="000000"/>
              </w:rPr>
            </w:pPr>
          </w:p>
        </w:tc>
        <w:tc>
          <w:tcPr>
            <w:tcW w:w="1559" w:type="dxa"/>
          </w:tcPr>
          <w:p w14:paraId="795EEC11"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compatibil</w:t>
            </w:r>
          </w:p>
        </w:tc>
        <w:tc>
          <w:tcPr>
            <w:tcW w:w="2589" w:type="dxa"/>
          </w:tcPr>
          <w:p w14:paraId="499348AD" w14:textId="77777777" w:rsidR="002F36A6" w:rsidRDefault="002F36A6">
            <w:pPr>
              <w:jc w:val="center"/>
              <w:rPr>
                <w:rFonts w:ascii="Times New Roman" w:eastAsia="Times New Roman" w:hAnsi="Times New Roman" w:cs="Times New Roman"/>
                <w:b/>
                <w:bCs/>
                <w:color w:val="000000"/>
                <w:sz w:val="22"/>
                <w:szCs w:val="22"/>
              </w:rPr>
            </w:pPr>
          </w:p>
        </w:tc>
      </w:tr>
      <w:tr w:rsidR="002F36A6" w14:paraId="149A3CEA" w14:textId="77777777">
        <w:tc>
          <w:tcPr>
            <w:tcW w:w="6957" w:type="dxa"/>
          </w:tcPr>
          <w:p w14:paraId="75638577"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r>
              <w:rPr>
                <w:rFonts w:ascii="Times New Roman" w:eastAsia="Times New Roman" w:hAnsi="Times New Roman" w:cs="Times New Roman"/>
                <w:color w:val="000000"/>
                <w:sz w:val="22"/>
                <w:szCs w:val="22"/>
              </w:rPr>
              <w:tab/>
              <w:t>„bisfenol periculos sau derivat periculos al bisfenolului” înseamnă un bisfenol sau un derivat al bisfenolului enumerat în partea 3 din anexa VI la Regulamentul (CE) nr. 1272/2008 ca urmare a clasificării sale armonizate ca fiind „mutagen”, „cancerigen”, „toxic pentru reproducere” din categoria 1A sau 1B sau „perturbator endocrin pentru sănătatea umană” din categoria 1.</w:t>
            </w:r>
          </w:p>
        </w:tc>
        <w:tc>
          <w:tcPr>
            <w:tcW w:w="4877" w:type="dxa"/>
          </w:tcPr>
          <w:p w14:paraId="06041833" w14:textId="77777777" w:rsidR="002F36A6" w:rsidRDefault="00000000">
            <w:pPr>
              <w:widowControl w:val="0"/>
              <w:pBdr>
                <w:top w:val="nil"/>
                <w:left w:val="nil"/>
                <w:bottom w:val="nil"/>
                <w:right w:val="nil"/>
                <w:between w:val="nil"/>
              </w:pBdr>
              <w:tabs>
                <w:tab w:val="left" w:pos="5107"/>
              </w:tabs>
              <w:jc w:val="both"/>
              <w:rPr>
                <w:rFonts w:ascii="Times New Roman" w:eastAsia="Times New Roman" w:hAnsi="Times New Roman" w:cs="Times New Roman"/>
                <w:b/>
                <w:bCs/>
                <w:color w:val="000000"/>
                <w:sz w:val="22"/>
                <w:szCs w:val="22"/>
                <w:highlight w:val="white"/>
              </w:rPr>
            </w:pPr>
            <w:r>
              <w:rPr>
                <w:rFonts w:ascii="Times New Roman" w:eastAsia="Times New Roman" w:hAnsi="Times New Roman" w:cs="Times New Roman"/>
                <w:i/>
                <w:iCs/>
                <w:sz w:val="22"/>
                <w:szCs w:val="22"/>
              </w:rPr>
              <w:t>3</w:t>
            </w:r>
            <w:r>
              <w:rPr>
                <w:rFonts w:ascii="Times New Roman" w:eastAsia="Times New Roman" w:hAnsi="Times New Roman" w:cs="Times New Roman"/>
                <w:i/>
                <w:iCs/>
                <w:color w:val="000000"/>
                <w:sz w:val="22"/>
                <w:szCs w:val="22"/>
              </w:rPr>
              <w:t>.5. bisfenol periculos sau derivat periculos al bisfenolului</w:t>
            </w:r>
            <w:r>
              <w:rPr>
                <w:rFonts w:ascii="Times New Roman" w:eastAsia="Times New Roman" w:hAnsi="Times New Roman" w:cs="Times New Roman"/>
                <w:color w:val="000000"/>
                <w:sz w:val="22"/>
                <w:szCs w:val="22"/>
              </w:rPr>
              <w:t xml:space="preserve"> - un bisfenol sau un derivat al bisfenolului în conformitate cu cerințele privind etichetarea și ambalarea substanțelor și amestecurilor aprobate de Guvern </w:t>
            </w:r>
            <w:r>
              <w:rPr>
                <w:rFonts w:ascii="Times New Roman" w:eastAsia="Times New Roman" w:hAnsi="Times New Roman" w:cs="Times New Roman"/>
                <w:color w:val="000000"/>
                <w:sz w:val="22"/>
                <w:szCs w:val="22"/>
                <w:highlight w:val="white"/>
              </w:rPr>
              <w:t>ca urmare a clasificării sale armonizate ca fiind „mutagen”, „cancerigen”, „toxic pentru reproducere” din categoria 1A sau 1B sau „perturbator endocrin pentru sănătatea umană” din categoria 1.</w:t>
            </w:r>
          </w:p>
          <w:p w14:paraId="66211AA4" w14:textId="77777777" w:rsidR="002F36A6" w:rsidRDefault="002F36A6">
            <w:pPr>
              <w:widowControl w:val="0"/>
              <w:numPr>
                <w:ilvl w:val="0"/>
                <w:numId w:val="5"/>
              </w:numPr>
              <w:pBdr>
                <w:top w:val="nil"/>
                <w:left w:val="nil"/>
                <w:bottom w:val="nil"/>
                <w:right w:val="nil"/>
                <w:between w:val="nil"/>
              </w:pBdr>
              <w:tabs>
                <w:tab w:val="left" w:pos="5107"/>
              </w:tabs>
              <w:ind w:left="46"/>
              <w:jc w:val="both"/>
              <w:rPr>
                <w:rFonts w:ascii="Times New Roman" w:eastAsia="Times New Roman" w:hAnsi="Times New Roman" w:cs="Times New Roman"/>
                <w:b/>
                <w:bCs/>
                <w:color w:val="000000"/>
                <w:sz w:val="22"/>
                <w:szCs w:val="22"/>
              </w:rPr>
            </w:pPr>
          </w:p>
        </w:tc>
        <w:tc>
          <w:tcPr>
            <w:tcW w:w="1559" w:type="dxa"/>
          </w:tcPr>
          <w:p w14:paraId="1F07F5AC" w14:textId="77777777" w:rsidR="002F36A6" w:rsidRDefault="002F36A6">
            <w:pPr>
              <w:jc w:val="center"/>
              <w:rPr>
                <w:rFonts w:ascii="Times New Roman" w:eastAsia="Times New Roman" w:hAnsi="Times New Roman" w:cs="Times New Roman"/>
                <w:color w:val="000000"/>
                <w:sz w:val="22"/>
                <w:szCs w:val="22"/>
              </w:rPr>
            </w:pPr>
          </w:p>
        </w:tc>
        <w:tc>
          <w:tcPr>
            <w:tcW w:w="2589" w:type="dxa"/>
          </w:tcPr>
          <w:p w14:paraId="0F689723" w14:textId="77777777" w:rsidR="002F36A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Anexa VI a Regulamentului (CE) nr. 1272/2008  este preluată prin PHG  pentru aprobarea Regulamentului privind clasificarea, etichetarea și ambalarea substanțelor și amestecurilor  (NU 849/MM/2025). </w:t>
            </w:r>
          </w:p>
          <w:p w14:paraId="3A7AD06A" w14:textId="77777777" w:rsidR="002F36A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La moment este expediat spre consultare către Comisia Europeană. </w:t>
            </w:r>
            <w:r>
              <w:rPr>
                <w:rFonts w:ascii="Times New Roman" w:eastAsia="Times New Roman" w:hAnsi="Times New Roman" w:cs="Times New Roman"/>
                <w:sz w:val="22"/>
                <w:szCs w:val="22"/>
                <w:highlight w:val="white"/>
              </w:rPr>
              <w:t xml:space="preserve"> Planificată în PNA pentru aprobare în luna iunie 2026.</w:t>
            </w:r>
            <w:r>
              <w:rPr>
                <w:rFonts w:ascii="Times New Roman" w:eastAsia="Times New Roman" w:hAnsi="Times New Roman" w:cs="Times New Roman"/>
                <w:sz w:val="22"/>
                <w:szCs w:val="22"/>
              </w:rPr>
              <w:t xml:space="preserve"> (</w:t>
            </w:r>
            <w:r>
              <w:rPr>
                <w:rFonts w:ascii="Times New Roman" w:eastAsia="Times New Roman" w:hAnsi="Times New Roman" w:cs="Times New Roman"/>
                <w:i/>
                <w:iCs/>
                <w:sz w:val="22"/>
                <w:szCs w:val="22"/>
              </w:rPr>
              <w:t>mesaj din 20 martie din SI e-Legiferare</w:t>
            </w:r>
            <w:r>
              <w:rPr>
                <w:rFonts w:ascii="Times New Roman" w:eastAsia="Times New Roman" w:hAnsi="Times New Roman" w:cs="Times New Roman"/>
                <w:sz w:val="22"/>
                <w:szCs w:val="22"/>
              </w:rPr>
              <w:t xml:space="preserve">) </w:t>
            </w:r>
          </w:p>
        </w:tc>
      </w:tr>
      <w:tr w:rsidR="002F36A6" w14:paraId="1BC37D53" w14:textId="77777777">
        <w:tc>
          <w:tcPr>
            <w:tcW w:w="6957" w:type="dxa"/>
          </w:tcPr>
          <w:p w14:paraId="7C1F9EA4" w14:textId="77777777" w:rsidR="002F36A6" w:rsidRDefault="002F36A6">
            <w:pPr>
              <w:rPr>
                <w:color w:val="000000"/>
                <w:sz w:val="22"/>
                <w:szCs w:val="22"/>
              </w:rPr>
            </w:pPr>
          </w:p>
        </w:tc>
        <w:tc>
          <w:tcPr>
            <w:tcW w:w="4877" w:type="dxa"/>
          </w:tcPr>
          <w:p w14:paraId="6415FE46" w14:textId="77777777" w:rsidR="002F36A6" w:rsidRDefault="00000000">
            <w:pPr>
              <w:widowControl w:val="0"/>
              <w:pBdr>
                <w:top w:val="nil"/>
                <w:left w:val="nil"/>
                <w:bottom w:val="nil"/>
                <w:right w:val="nil"/>
                <w:between w:val="nil"/>
              </w:pBdr>
              <w:tabs>
                <w:tab w:val="left" w:pos="135"/>
              </w:tabs>
              <w:ind w:right="210"/>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4. </w:t>
            </w:r>
            <w:r>
              <w:rPr>
                <w:rFonts w:ascii="Times New Roman" w:eastAsia="Times New Roman" w:hAnsi="Times New Roman" w:cs="Times New Roman"/>
                <w:color w:val="000000"/>
                <w:sz w:val="22"/>
                <w:szCs w:val="22"/>
              </w:rPr>
              <w:t>La fabricarea materialelor și a articolelor destinate să vină în contact cu produsele alimentare pentru aplicări specifice sunt admiși BPA și alți bisfenoli</w:t>
            </w:r>
            <w:r>
              <w:rPr>
                <w:rFonts w:ascii="Times New Roman" w:eastAsia="Times New Roman" w:hAnsi="Times New Roman" w:cs="Times New Roman"/>
                <w:sz w:val="22"/>
                <w:szCs w:val="22"/>
              </w:rPr>
              <w:t xml:space="preserve"> periculoși ai bisfenolului</w:t>
            </w:r>
            <w:r>
              <w:rPr>
                <w:rFonts w:ascii="Times New Roman" w:eastAsia="Times New Roman" w:hAnsi="Times New Roman" w:cs="Times New Roman"/>
                <w:color w:val="000000"/>
                <w:sz w:val="22"/>
                <w:szCs w:val="22"/>
              </w:rPr>
              <w:t xml:space="preserve"> incluși în anexa nr. 2.</w:t>
            </w:r>
          </w:p>
          <w:p w14:paraId="3AC8B7A5" w14:textId="77777777" w:rsidR="002F36A6" w:rsidRDefault="002F36A6">
            <w:pPr>
              <w:widowControl w:val="0"/>
              <w:pBdr>
                <w:top w:val="nil"/>
                <w:left w:val="nil"/>
                <w:bottom w:val="nil"/>
                <w:right w:val="nil"/>
                <w:between w:val="nil"/>
              </w:pBdr>
              <w:tabs>
                <w:tab w:val="left" w:pos="5107"/>
              </w:tabs>
              <w:jc w:val="both"/>
              <w:rPr>
                <w:i/>
                <w:iCs/>
                <w:sz w:val="22"/>
                <w:szCs w:val="22"/>
              </w:rPr>
            </w:pPr>
          </w:p>
        </w:tc>
        <w:tc>
          <w:tcPr>
            <w:tcW w:w="1559" w:type="dxa"/>
          </w:tcPr>
          <w:p w14:paraId="413A0437" w14:textId="77777777" w:rsidR="002F36A6" w:rsidRDefault="00000000">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Compatibil </w:t>
            </w:r>
          </w:p>
        </w:tc>
        <w:tc>
          <w:tcPr>
            <w:tcW w:w="2589" w:type="dxa"/>
          </w:tcPr>
          <w:p w14:paraId="69C09290" w14:textId="77777777" w:rsidR="002F36A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Prevedere națională</w:t>
            </w:r>
          </w:p>
        </w:tc>
      </w:tr>
      <w:tr w:rsidR="002F36A6" w14:paraId="7BF67840" w14:textId="77777777">
        <w:tc>
          <w:tcPr>
            <w:tcW w:w="6957" w:type="dxa"/>
          </w:tcPr>
          <w:p w14:paraId="35AB98EB"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Articolul 3</w:t>
            </w:r>
          </w:p>
          <w:p w14:paraId="131638F4" w14:textId="77777777" w:rsidR="002F36A6" w:rsidRDefault="0000000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Interzicerea utilizării BPA-ului</w:t>
            </w:r>
          </w:p>
          <w:p w14:paraId="5693AA5A"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Utilizarea BPA-ului la fabricarea materialelor și articolelor destinate să vină în contact cu alimentele menționate la articolul 1 alineatul (2) și introducerea pe piața Uniunii a materialelor și articolelor destinate să vină în contact cu alimentele fabricate din BPA sunt interzise.</w:t>
            </w:r>
          </w:p>
          <w:p w14:paraId="79FB23FF"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Prin derogare de la alineatul (1), BPA  poate fi utilizat la fabricarea materialelor și articolelor destinate să vină în contact cu alimentele pentru o aplicație specifică prevăzută în anexa II, sub rezerva restricțiilor prevăzute în aceasta.</w:t>
            </w:r>
          </w:p>
          <w:p w14:paraId="32A0DDA8" w14:textId="77777777" w:rsidR="002F36A6" w:rsidRDefault="002F36A6">
            <w:pPr>
              <w:jc w:val="both"/>
              <w:rPr>
                <w:rFonts w:ascii="Times New Roman" w:eastAsia="Times New Roman" w:hAnsi="Times New Roman" w:cs="Times New Roman"/>
                <w:color w:val="000000"/>
                <w:sz w:val="22"/>
                <w:szCs w:val="22"/>
              </w:rPr>
            </w:pPr>
          </w:p>
        </w:tc>
        <w:tc>
          <w:tcPr>
            <w:tcW w:w="4877" w:type="dxa"/>
          </w:tcPr>
          <w:p w14:paraId="60643EC9" w14:textId="77777777" w:rsidR="002F36A6" w:rsidRDefault="002F36A6">
            <w:pPr>
              <w:shd w:val="clear" w:color="auto" w:fill="FFFFFF"/>
              <w:spacing w:before="60" w:after="120"/>
              <w:jc w:val="center"/>
              <w:rPr>
                <w:rFonts w:ascii="Times New Roman" w:eastAsia="Times New Roman" w:hAnsi="Times New Roman" w:cs="Times New Roman"/>
                <w:b/>
                <w:bCs/>
                <w:sz w:val="22"/>
                <w:szCs w:val="22"/>
              </w:rPr>
            </w:pPr>
            <w:bookmarkStart w:id="3" w:name="_heading=h.mnynlsqi00em" w:colFirst="0" w:colLast="0"/>
            <w:bookmarkEnd w:id="3"/>
          </w:p>
          <w:p w14:paraId="00C98D2D" w14:textId="77777777" w:rsidR="002F36A6" w:rsidRDefault="00000000">
            <w:pPr>
              <w:shd w:val="clear" w:color="auto" w:fill="FFFFFF"/>
              <w:spacing w:before="60" w:after="120"/>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II. Interzicerea utilizării BPA-ului</w:t>
            </w:r>
          </w:p>
          <w:p w14:paraId="4F3996E4"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5. </w:t>
            </w:r>
            <w:r>
              <w:rPr>
                <w:rFonts w:ascii="Times New Roman" w:eastAsia="Times New Roman" w:hAnsi="Times New Roman" w:cs="Times New Roman"/>
                <w:color w:val="000000"/>
                <w:sz w:val="22"/>
                <w:szCs w:val="22"/>
              </w:rPr>
              <w:t>Utilizarea BPA-ului la fabricarea materialelor și articolelor destinate să vină în contact cu produsele alimentare menționate la punctul 2 și introducerea pe piață a materialelor și articolelor destinate să vină în contact cu produsele alimentare fabricate din BPA sunt interzise.</w:t>
            </w:r>
          </w:p>
          <w:p w14:paraId="6F5E94B9"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6.</w:t>
            </w:r>
            <w:r>
              <w:rPr>
                <w:rFonts w:ascii="Times New Roman" w:eastAsia="Times New Roman" w:hAnsi="Times New Roman" w:cs="Times New Roman"/>
                <w:color w:val="000000"/>
                <w:sz w:val="22"/>
                <w:szCs w:val="22"/>
              </w:rPr>
              <w:t xml:space="preserve"> Prin derogare de la pct. 5, BPA poate fi utilizat la fabricarea materialelor și articolelor destinate să vină în contact cu produsele alimentare pentru o aplicație specifică prevăzută în anexa nr. 2, sub rezerva restricțiilor prevăzute în aceasta.</w:t>
            </w:r>
          </w:p>
          <w:p w14:paraId="1A7C7818" w14:textId="77777777" w:rsidR="002F36A6" w:rsidRDefault="002F36A6">
            <w:pPr>
              <w:widowControl w:val="0"/>
              <w:pBdr>
                <w:top w:val="nil"/>
                <w:left w:val="nil"/>
                <w:bottom w:val="nil"/>
                <w:right w:val="nil"/>
                <w:between w:val="nil"/>
              </w:pBdr>
              <w:tabs>
                <w:tab w:val="left" w:pos="5107"/>
              </w:tabs>
              <w:ind w:firstLine="426"/>
              <w:jc w:val="both"/>
              <w:rPr>
                <w:rFonts w:ascii="Times New Roman" w:eastAsia="Times New Roman" w:hAnsi="Times New Roman" w:cs="Times New Roman"/>
                <w:b/>
                <w:bCs/>
                <w:color w:val="000000"/>
                <w:sz w:val="22"/>
                <w:szCs w:val="22"/>
              </w:rPr>
            </w:pPr>
          </w:p>
        </w:tc>
        <w:tc>
          <w:tcPr>
            <w:tcW w:w="1559" w:type="dxa"/>
          </w:tcPr>
          <w:p w14:paraId="3417E000" w14:textId="77777777" w:rsidR="002F36A6" w:rsidRDefault="00000000">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Compatibil</w:t>
            </w:r>
          </w:p>
        </w:tc>
        <w:tc>
          <w:tcPr>
            <w:tcW w:w="2589" w:type="dxa"/>
          </w:tcPr>
          <w:p w14:paraId="12F92B15" w14:textId="77777777" w:rsidR="002F36A6" w:rsidRDefault="002F36A6">
            <w:pPr>
              <w:jc w:val="center"/>
              <w:rPr>
                <w:rFonts w:ascii="Times New Roman" w:eastAsia="Times New Roman" w:hAnsi="Times New Roman" w:cs="Times New Roman"/>
                <w:b/>
                <w:bCs/>
                <w:color w:val="000000"/>
                <w:sz w:val="22"/>
                <w:szCs w:val="22"/>
              </w:rPr>
            </w:pPr>
          </w:p>
        </w:tc>
      </w:tr>
      <w:tr w:rsidR="002F36A6" w14:paraId="142AE0ED" w14:textId="77777777">
        <w:tc>
          <w:tcPr>
            <w:tcW w:w="6957" w:type="dxa"/>
          </w:tcPr>
          <w:p w14:paraId="39703539"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Articolul 4</w:t>
            </w:r>
          </w:p>
          <w:p w14:paraId="20B69CDB" w14:textId="77777777" w:rsidR="002F36A6" w:rsidRDefault="0000000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Interzicerea prezenței BPA în materialele și articolelor destinate să vină în contact cu alimentele pentru a căror fabricare se folosesc alți bisfenoli sau derivați ai bisfenolului</w:t>
            </w:r>
          </w:p>
          <w:p w14:paraId="18AC4C89"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Materialele și articolele destinate să vină în contact cu alimentele care au fost fabricate utilizând un alt bisfenol sau derivat al bisfenolului nu conțin BPA rezidual.</w:t>
            </w:r>
          </w:p>
          <w:p w14:paraId="2500E87B" w14:textId="77777777" w:rsidR="002F36A6" w:rsidRDefault="002F36A6">
            <w:pPr>
              <w:jc w:val="both"/>
              <w:rPr>
                <w:rFonts w:ascii="Times New Roman" w:eastAsia="Times New Roman" w:hAnsi="Times New Roman" w:cs="Times New Roman"/>
                <w:color w:val="000000"/>
                <w:sz w:val="22"/>
                <w:szCs w:val="22"/>
              </w:rPr>
            </w:pPr>
          </w:p>
        </w:tc>
        <w:tc>
          <w:tcPr>
            <w:tcW w:w="4877" w:type="dxa"/>
          </w:tcPr>
          <w:p w14:paraId="2EE37FD1" w14:textId="77777777" w:rsidR="002F36A6" w:rsidRDefault="00000000">
            <w:pPr>
              <w:jc w:val="both"/>
              <w:rPr>
                <w:rFonts w:ascii="Times New Roman" w:eastAsia="Times New Roman" w:hAnsi="Times New Roman" w:cs="Times New Roman"/>
                <w:color w:val="000000"/>
                <w:sz w:val="22"/>
                <w:szCs w:val="22"/>
              </w:rPr>
            </w:pPr>
            <w:bookmarkStart w:id="4" w:name="_heading=h.f1g52e2x4ysa" w:colFirst="0" w:colLast="0"/>
            <w:bookmarkEnd w:id="4"/>
            <w:r>
              <w:rPr>
                <w:rFonts w:ascii="Times New Roman" w:eastAsia="Times New Roman" w:hAnsi="Times New Roman" w:cs="Times New Roman"/>
                <w:color w:val="000000"/>
                <w:sz w:val="22"/>
                <w:szCs w:val="22"/>
              </w:rPr>
              <w:t>7.</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Este interzisă prezența BPA rezidual în materialele și articolele destinate să vină în contact cu produsele alimentare pentru a căror fabricare se folosesc alți bisfenoli sau derivați ai bisfenolului.</w:t>
            </w:r>
          </w:p>
          <w:p w14:paraId="68AB3330"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0AD7B678" w14:textId="77777777" w:rsidR="002F36A6" w:rsidRDefault="002F36A6">
            <w:pPr>
              <w:widowControl w:val="0"/>
              <w:pBdr>
                <w:top w:val="nil"/>
                <w:left w:val="nil"/>
                <w:bottom w:val="nil"/>
                <w:right w:val="nil"/>
                <w:between w:val="nil"/>
              </w:pBdr>
              <w:tabs>
                <w:tab w:val="left" w:pos="5107"/>
              </w:tabs>
              <w:jc w:val="both"/>
              <w:rPr>
                <w:rFonts w:ascii="Times New Roman" w:eastAsia="Times New Roman" w:hAnsi="Times New Roman" w:cs="Times New Roman"/>
                <w:color w:val="000000"/>
                <w:sz w:val="22"/>
                <w:szCs w:val="22"/>
              </w:rPr>
            </w:pPr>
          </w:p>
        </w:tc>
        <w:tc>
          <w:tcPr>
            <w:tcW w:w="1559" w:type="dxa"/>
          </w:tcPr>
          <w:p w14:paraId="107FE101"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Compatibil</w:t>
            </w:r>
          </w:p>
        </w:tc>
        <w:tc>
          <w:tcPr>
            <w:tcW w:w="2589" w:type="dxa"/>
          </w:tcPr>
          <w:p w14:paraId="14E79AD0" w14:textId="77777777" w:rsidR="002F36A6" w:rsidRDefault="002F36A6">
            <w:pPr>
              <w:jc w:val="both"/>
              <w:rPr>
                <w:rFonts w:ascii="Times New Roman" w:eastAsia="Times New Roman" w:hAnsi="Times New Roman" w:cs="Times New Roman"/>
                <w:color w:val="000000"/>
                <w:sz w:val="22"/>
                <w:szCs w:val="22"/>
              </w:rPr>
            </w:pPr>
          </w:p>
        </w:tc>
      </w:tr>
      <w:tr w:rsidR="002F36A6" w14:paraId="14D4E8F3" w14:textId="77777777">
        <w:tc>
          <w:tcPr>
            <w:tcW w:w="6957" w:type="dxa"/>
          </w:tcPr>
          <w:p w14:paraId="4C03A2E3"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Articolul 5</w:t>
            </w:r>
          </w:p>
          <w:p w14:paraId="428CC08C" w14:textId="77777777" w:rsidR="002F36A6" w:rsidRDefault="0000000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Interzicerea utilizării unor bisfenoli periculoși, alții decât BPA, sau a unor derivați periculoși ai bisfenolului</w:t>
            </w:r>
          </w:p>
          <w:p w14:paraId="2CC38BC9"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Se interzice utilizarea unor bisfenoli periculoși, alții decât BPA, sau a unor derivați periculoși ai bisfenolului la fabricarea materialelor și a articolelor destinate să vină în contact cu alimentele menționate la articolul 1 alineatul (2) și introducerea pe piață a materialelor și articolelor destinate să vină în contact cu alimentele fabricate utilizând bisfenoli periculoși, alții decât BPA, sau derivați periculoși ai bisfenolului.</w:t>
            </w:r>
          </w:p>
          <w:p w14:paraId="64D65816" w14:textId="77777777" w:rsidR="002F36A6" w:rsidRDefault="002F36A6">
            <w:pPr>
              <w:jc w:val="both"/>
              <w:rPr>
                <w:rFonts w:ascii="Times New Roman" w:eastAsia="Times New Roman" w:hAnsi="Times New Roman" w:cs="Times New Roman"/>
                <w:color w:val="000000"/>
                <w:sz w:val="22"/>
                <w:szCs w:val="22"/>
              </w:rPr>
            </w:pPr>
          </w:p>
        </w:tc>
        <w:tc>
          <w:tcPr>
            <w:tcW w:w="4877" w:type="dxa"/>
          </w:tcPr>
          <w:p w14:paraId="0DFE3B6E" w14:textId="77777777" w:rsidR="002F36A6" w:rsidRDefault="00000000">
            <w:pPr>
              <w:widowControl w:val="0"/>
              <w:pBdr>
                <w:top w:val="nil"/>
                <w:left w:val="nil"/>
                <w:bottom w:val="nil"/>
                <w:right w:val="nil"/>
                <w:between w:val="nil"/>
              </w:pBdr>
              <w:tabs>
                <w:tab w:val="left" w:pos="5107"/>
              </w:tabs>
              <w:ind w:firstLine="426"/>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III. Interzicerea utilizării unor bisfenoli periculoși, alții decât BPA, sau a unor derivați periculoși ai bisfenolului</w:t>
            </w:r>
          </w:p>
          <w:p w14:paraId="6D3AB2F7" w14:textId="77777777" w:rsidR="002F36A6" w:rsidRDefault="002F36A6">
            <w:pPr>
              <w:widowControl w:val="0"/>
              <w:pBdr>
                <w:top w:val="nil"/>
                <w:left w:val="nil"/>
                <w:bottom w:val="nil"/>
                <w:right w:val="nil"/>
                <w:between w:val="nil"/>
              </w:pBdr>
              <w:tabs>
                <w:tab w:val="left" w:pos="5107"/>
              </w:tabs>
              <w:ind w:firstLine="426"/>
              <w:jc w:val="both"/>
              <w:rPr>
                <w:rFonts w:ascii="Times New Roman" w:eastAsia="Times New Roman" w:hAnsi="Times New Roman" w:cs="Times New Roman"/>
                <w:color w:val="000000"/>
                <w:sz w:val="22"/>
                <w:szCs w:val="22"/>
              </w:rPr>
            </w:pPr>
          </w:p>
          <w:p w14:paraId="7FF09CEC" w14:textId="77777777" w:rsidR="002F36A6" w:rsidRDefault="00000000">
            <w:pPr>
              <w:widowControl w:val="0"/>
              <w:pBdr>
                <w:top w:val="nil"/>
                <w:left w:val="nil"/>
                <w:bottom w:val="nil"/>
                <w:right w:val="nil"/>
                <w:between w:val="nil"/>
              </w:pBdr>
              <w:jc w:val="both"/>
              <w:rPr>
                <w:rFonts w:ascii="Times New Roman" w:eastAsia="Times New Roman" w:hAnsi="Times New Roman" w:cs="Times New Roman"/>
                <w:color w:val="000000"/>
                <w:sz w:val="22"/>
                <w:szCs w:val="22"/>
              </w:rPr>
            </w:pPr>
            <w:bookmarkStart w:id="5" w:name="_heading=h.ebuf5z1z6990" w:colFirst="0" w:colLast="0"/>
            <w:bookmarkEnd w:id="5"/>
            <w:r>
              <w:rPr>
                <w:rFonts w:ascii="Times New Roman" w:eastAsia="Times New Roman" w:hAnsi="Times New Roman" w:cs="Times New Roman"/>
                <w:color w:val="000000"/>
                <w:sz w:val="22"/>
                <w:szCs w:val="22"/>
              </w:rPr>
              <w:t xml:space="preserve">8. Se interzice utilizarea unor bisfenoli periculoși, alții decât BPA, sau a unor derivați periculoși ai bisfenolului la fabricarea materialelor și a articolelor destinate să vină în contact cu produsele alimentare menționate la sbpct. 2.1 și introducerea pe piață a materialelor și articolelor destinate să vină în contact cu produsele alimentare fabricate utilizând bisfenoli </w:t>
            </w:r>
            <w:r>
              <w:rPr>
                <w:rFonts w:ascii="Times New Roman" w:eastAsia="Times New Roman" w:hAnsi="Times New Roman" w:cs="Times New Roman"/>
                <w:color w:val="000000"/>
                <w:sz w:val="22"/>
                <w:szCs w:val="22"/>
              </w:rPr>
              <w:lastRenderedPageBreak/>
              <w:t>periculoși, alții decât BPA, sau derivați periculoși ai bisfenolului.</w:t>
            </w:r>
          </w:p>
          <w:p w14:paraId="4CC0F8DA" w14:textId="77777777" w:rsidR="002F36A6" w:rsidRDefault="002F36A6">
            <w:pPr>
              <w:widowControl w:val="0"/>
              <w:pBdr>
                <w:top w:val="nil"/>
                <w:left w:val="nil"/>
                <w:bottom w:val="nil"/>
                <w:right w:val="nil"/>
                <w:between w:val="nil"/>
              </w:pBdr>
              <w:tabs>
                <w:tab w:val="left" w:pos="5107"/>
              </w:tabs>
              <w:ind w:left="316"/>
              <w:jc w:val="both"/>
              <w:rPr>
                <w:rFonts w:ascii="Times New Roman" w:eastAsia="Times New Roman" w:hAnsi="Times New Roman" w:cs="Times New Roman"/>
                <w:color w:val="000000"/>
                <w:sz w:val="22"/>
                <w:szCs w:val="22"/>
              </w:rPr>
            </w:pPr>
          </w:p>
        </w:tc>
        <w:tc>
          <w:tcPr>
            <w:tcW w:w="1559" w:type="dxa"/>
          </w:tcPr>
          <w:p w14:paraId="2217AB6C" w14:textId="77777777" w:rsidR="002F36A6" w:rsidRDefault="00000000">
            <w:pPr>
              <w:jc w:val="both"/>
              <w:rPr>
                <w:rFonts w:ascii="Times New Roman" w:eastAsia="Times New Roman" w:hAnsi="Times New Roman" w:cs="Times New Roman"/>
              </w:rPr>
            </w:pPr>
            <w:r>
              <w:rPr>
                <w:rFonts w:ascii="Times New Roman" w:eastAsia="Times New Roman" w:hAnsi="Times New Roman" w:cs="Times New Roman"/>
              </w:rPr>
              <w:lastRenderedPageBreak/>
              <w:t>Compatibil</w:t>
            </w:r>
          </w:p>
        </w:tc>
        <w:tc>
          <w:tcPr>
            <w:tcW w:w="2589" w:type="dxa"/>
          </w:tcPr>
          <w:p w14:paraId="01181B1D" w14:textId="77777777" w:rsidR="002F36A6" w:rsidRDefault="002F36A6">
            <w:pPr>
              <w:jc w:val="both"/>
              <w:rPr>
                <w:rFonts w:ascii="Times New Roman" w:eastAsia="Times New Roman" w:hAnsi="Times New Roman" w:cs="Times New Roman"/>
                <w:color w:val="000000"/>
                <w:sz w:val="22"/>
                <w:szCs w:val="22"/>
              </w:rPr>
            </w:pPr>
          </w:p>
        </w:tc>
      </w:tr>
      <w:tr w:rsidR="002F36A6" w14:paraId="57D5974A" w14:textId="77777777">
        <w:trPr>
          <w:trHeight w:val="1646"/>
        </w:trPr>
        <w:tc>
          <w:tcPr>
            <w:tcW w:w="6957" w:type="dxa"/>
          </w:tcPr>
          <w:p w14:paraId="46F97BB5"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Prin derogare de la alineatul (1), un bisfenol periculos, altul decât BPA, sau derivații periculoși ai bisfenolului pot fi utilizați la fabricarea materialelor și articolelor destinate să vină în contact cu alimentele pentru o anumită aplicație, iar respectivele materiale și articolele destinate să vină în contact cu alimentele pot fi introduse pe piață dacă utilizarea respectivă a fost autorizată în conformitate cu articolul 6 și este prevăzută în anexa II.</w:t>
            </w:r>
          </w:p>
          <w:p w14:paraId="6C0BB464" w14:textId="77777777" w:rsidR="002F36A6" w:rsidRDefault="002F36A6">
            <w:pPr>
              <w:rPr>
                <w:rFonts w:ascii="Times New Roman" w:eastAsia="Times New Roman" w:hAnsi="Times New Roman" w:cs="Times New Roman"/>
                <w:b/>
                <w:bCs/>
                <w:color w:val="000000"/>
                <w:sz w:val="22"/>
                <w:szCs w:val="22"/>
              </w:rPr>
            </w:pPr>
          </w:p>
        </w:tc>
        <w:tc>
          <w:tcPr>
            <w:tcW w:w="4877" w:type="dxa"/>
          </w:tcPr>
          <w:p w14:paraId="18145C90" w14:textId="77777777" w:rsidR="002F36A6" w:rsidRDefault="00000000">
            <w:pPr>
              <w:widowControl w:val="0"/>
              <w:pBdr>
                <w:top w:val="nil"/>
                <w:left w:val="nil"/>
                <w:bottom w:val="nil"/>
                <w:right w:val="nil"/>
                <w:between w:val="nil"/>
              </w:pBdr>
              <w:tabs>
                <w:tab w:val="left" w:pos="5107"/>
              </w:tabs>
              <w:jc w:val="both"/>
              <w:rPr>
                <w:rFonts w:ascii="Times New Roman" w:eastAsia="Times New Roman" w:hAnsi="Times New Roman" w:cs="Times New Roman"/>
                <w:b/>
                <w:bCs/>
                <w:color w:val="EE0000"/>
                <w:sz w:val="22"/>
                <w:szCs w:val="22"/>
              </w:rPr>
            </w:pPr>
            <w:r>
              <w:rPr>
                <w:rFonts w:ascii="Times New Roman" w:eastAsia="Times New Roman" w:hAnsi="Times New Roman" w:cs="Times New Roman"/>
                <w:color w:val="000000"/>
                <w:sz w:val="22"/>
                <w:szCs w:val="22"/>
              </w:rPr>
              <w:t>9. Prin derogare de la pct.8, un bisfenol periculos, altul decât BPA, sau derivații periculoși ai bisfenolului pot fi utilizați la fabricarea materialelor și articolelor destinate să vină în contact cu alimentele pentru o anumită aplicație, iar respectivele materiale și articolele destinate să vină în contact cu alimentele pot fi introduse pe piață dacă utilizarea respectivă este prevăzută în anexa nr.2.</w:t>
            </w:r>
          </w:p>
        </w:tc>
        <w:tc>
          <w:tcPr>
            <w:tcW w:w="1559" w:type="dxa"/>
          </w:tcPr>
          <w:p w14:paraId="602FBA15" w14:textId="77777777" w:rsidR="002F36A6" w:rsidRDefault="00000000">
            <w:pPr>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sz w:val="22"/>
                <w:szCs w:val="22"/>
              </w:rPr>
              <w:t xml:space="preserve">Compatibil </w:t>
            </w:r>
          </w:p>
        </w:tc>
        <w:tc>
          <w:tcPr>
            <w:tcW w:w="2589" w:type="dxa"/>
          </w:tcPr>
          <w:p w14:paraId="22029332" w14:textId="77777777" w:rsidR="002F36A6" w:rsidRDefault="002F36A6">
            <w:pPr>
              <w:jc w:val="both"/>
              <w:rPr>
                <w:rFonts w:ascii="Times New Roman" w:eastAsia="Times New Roman" w:hAnsi="Times New Roman" w:cs="Times New Roman"/>
                <w:color w:val="000000"/>
                <w:sz w:val="22"/>
                <w:szCs w:val="22"/>
              </w:rPr>
            </w:pPr>
          </w:p>
        </w:tc>
      </w:tr>
      <w:tr w:rsidR="002F36A6" w14:paraId="4FF28647" w14:textId="77777777">
        <w:trPr>
          <w:trHeight w:val="1610"/>
        </w:trPr>
        <w:tc>
          <w:tcPr>
            <w:tcW w:w="6957" w:type="dxa"/>
          </w:tcPr>
          <w:p w14:paraId="3819DF94"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Prin derogare de la alineatul (1), un bisfenol periculos, altul decât BPA, sau un derivat periculos al bisfenolului, a cărui utilizare nu a fost autorizată în conformitate cu articolul 6 și prevăzut în anexa II, poate fi utilizat la fabricarea materialelor și articolelor destinate să vină în contact cu alimentele pentru o aplicație specifică, iar introducerea pe piață a respectivelor materiale și articole destinate să vină în contact cu alimentele este permisă dacă sunt îndeplinite următoarele condiții:</w:t>
            </w:r>
          </w:p>
          <w:p w14:paraId="53A3079B"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w:t>
            </w:r>
            <w:r>
              <w:rPr>
                <w:rFonts w:ascii="Times New Roman" w:eastAsia="Times New Roman" w:hAnsi="Times New Roman" w:cs="Times New Roman"/>
                <w:color w:val="000000"/>
                <w:sz w:val="22"/>
                <w:szCs w:val="22"/>
              </w:rPr>
              <w:tab/>
              <w:t>a fost deja utilizat la fabricarea acelorași materiale și articolele destinate să vină în contact cu alimentele pentru respectiva aplicație specifică la una dintre următoarele date:</w:t>
            </w:r>
          </w:p>
          <w:p w14:paraId="3067B328"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w:t>
            </w:r>
            <w:r>
              <w:rPr>
                <w:rFonts w:ascii="Times New Roman" w:eastAsia="Times New Roman" w:hAnsi="Times New Roman" w:cs="Times New Roman"/>
                <w:color w:val="000000"/>
                <w:sz w:val="22"/>
                <w:szCs w:val="22"/>
              </w:rPr>
              <w:tab/>
              <w:t>data la care Autoritatea Europeană pentru Siguranța Alimentară (denumită în continuare „autoritatea”) publică informațiile menționate la articolul 6 alineatul (4) pentru bisfenoli periculoși și derivați periculoși ai bisfenolului pentru care se aplică clasificarea armonizată la data respectivă; sau</w:t>
            </w:r>
          </w:p>
          <w:p w14:paraId="1550C3F3"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(ii)</w:t>
            </w:r>
            <w:r>
              <w:rPr>
                <w:rFonts w:ascii="Times New Roman" w:eastAsia="Times New Roman" w:hAnsi="Times New Roman" w:cs="Times New Roman"/>
                <w:color w:val="000000"/>
                <w:sz w:val="22"/>
                <w:szCs w:val="22"/>
              </w:rPr>
              <w:tab/>
              <w:t>odată ce autoritatea a publicat informațiile menționate la articolul 6 alineatul (4), data la care clasificarea armonizată se aplică bisfenolului periculos sau derivatului periculos al bisfenolului menționat în partea 3 din anexa VI la Regulamentul (CE) nr. 1272/2008; și</w:t>
            </w:r>
          </w:p>
          <w:p w14:paraId="567A0084" w14:textId="77777777" w:rsidR="002F36A6" w:rsidRDefault="002F36A6">
            <w:pPr>
              <w:rPr>
                <w:rFonts w:ascii="Times New Roman" w:eastAsia="Times New Roman" w:hAnsi="Times New Roman" w:cs="Times New Roman"/>
                <w:color w:val="000000"/>
                <w:sz w:val="22"/>
                <w:szCs w:val="22"/>
              </w:rPr>
            </w:pPr>
          </w:p>
        </w:tc>
        <w:tc>
          <w:tcPr>
            <w:tcW w:w="4877" w:type="dxa"/>
          </w:tcPr>
          <w:p w14:paraId="2172AD7C" w14:textId="77777777" w:rsidR="002F36A6" w:rsidRDefault="00000000">
            <w:pPr>
              <w:widowControl w:val="0"/>
              <w:pBdr>
                <w:top w:val="nil"/>
                <w:left w:val="nil"/>
                <w:bottom w:val="nil"/>
                <w:right w:val="nil"/>
                <w:between w:val="nil"/>
              </w:pBdr>
              <w:tabs>
                <w:tab w:val="left" w:pos="426"/>
              </w:tabs>
              <w:ind w:right="21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 Prin derogare de la pct. 8 un bisfenol periculos, altul decât BPA, sau un derivat periculos al bisfenolului, a cărui utilizare nu este prevăzută în anexa nr.2, poate fi utilizat la fabricarea materialelor și articolelor destinate să vină în contact cu alimentele pentru o aplicație specifică, iar introducerea pe piață a respectivelor materiale și articole destinate să vină în contact cu alimentele este permisă dacă sunt îndeplinite următoarele condiții:</w:t>
            </w:r>
          </w:p>
          <w:p w14:paraId="4776263E"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10.1. a fost deja utilizat la fabricarea acelorași materiale și articolele destinate să vină în contact cu alimentele pentru respectiva aplicație specifică la una dintre următoarele date:</w:t>
            </w:r>
          </w:p>
          <w:p w14:paraId="1AA5FB35"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10.1.1. data la care Autoritatea Europeană pentru Siguranța Alimentară  publică informațiile necesare pentru evaluarea utilizării bisfenolilor periculoși sau a derivaților periculoși ai bisfenolului la fabricarea materialelor și articolelor destinate să vină în contact cu alimentele pentru o anumită aplicație pentru bisfenoli periculoși și derivați periculoși ai bisfenolului pentru care se aplică clasificarea armonizată la data respectivă; sau</w:t>
            </w:r>
          </w:p>
          <w:p w14:paraId="6CA2DC32" w14:textId="77777777" w:rsidR="002F36A6" w:rsidRDefault="00000000">
            <w:pPr>
              <w:widowControl w:val="0"/>
              <w:pBdr>
                <w:top w:val="nil"/>
                <w:left w:val="nil"/>
                <w:bottom w:val="nil"/>
                <w:right w:val="nil"/>
                <w:between w:val="nil"/>
              </w:pBdr>
              <w:tabs>
                <w:tab w:val="left" w:pos="426"/>
              </w:tabs>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10.1.2. odată ce Autoritatea Europeană pentru Siguranța Alimentară a publicat informațiile necesare pentru evaluarea utilizării bisfenolilor periculoși sau a derivaților periculoși ai bisfenolului la fabricarea materialelor și articolelor destinate să vină în contact cu alimentele, data  data la care clasificarea </w:t>
            </w:r>
            <w:r>
              <w:rPr>
                <w:rFonts w:ascii="Times New Roman" w:eastAsia="Times New Roman" w:hAnsi="Times New Roman" w:cs="Times New Roman"/>
                <w:color w:val="000000"/>
                <w:sz w:val="22"/>
                <w:szCs w:val="22"/>
              </w:rPr>
              <w:lastRenderedPageBreak/>
              <w:t>armonizată se aplică bisfenolului periculos sau derivatului periculos al bisfenolului menționat în cerințele privind etichetarea și ambalarea substanțelor și amestecurilor aprobate de Guvern.</w:t>
            </w:r>
          </w:p>
        </w:tc>
        <w:tc>
          <w:tcPr>
            <w:tcW w:w="1559" w:type="dxa"/>
          </w:tcPr>
          <w:p w14:paraId="3EE64FFE"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lastRenderedPageBreak/>
              <w:t xml:space="preserve">Compatibil  </w:t>
            </w:r>
          </w:p>
        </w:tc>
        <w:tc>
          <w:tcPr>
            <w:tcW w:w="2589" w:type="dxa"/>
          </w:tcPr>
          <w:p w14:paraId="4000E9FB" w14:textId="77777777" w:rsidR="002F36A6" w:rsidRDefault="002F36A6">
            <w:pPr>
              <w:jc w:val="both"/>
              <w:rPr>
                <w:rFonts w:ascii="Times New Roman" w:eastAsia="Times New Roman" w:hAnsi="Times New Roman" w:cs="Times New Roman"/>
                <w:color w:val="000000"/>
                <w:sz w:val="22"/>
                <w:szCs w:val="22"/>
              </w:rPr>
            </w:pPr>
          </w:p>
          <w:p w14:paraId="3BD469FB" w14:textId="77777777" w:rsidR="0066477F" w:rsidRDefault="0066477F">
            <w:pPr>
              <w:jc w:val="both"/>
              <w:rPr>
                <w:rFonts w:ascii="Times New Roman" w:eastAsia="Times New Roman" w:hAnsi="Times New Roman" w:cs="Times New Roman"/>
                <w:color w:val="000000"/>
                <w:sz w:val="22"/>
                <w:szCs w:val="22"/>
              </w:rPr>
            </w:pPr>
          </w:p>
          <w:p w14:paraId="18AF4E04" w14:textId="77777777" w:rsidR="0066477F" w:rsidRDefault="0066477F">
            <w:pPr>
              <w:jc w:val="both"/>
              <w:rPr>
                <w:rFonts w:ascii="Times New Roman" w:eastAsia="Times New Roman" w:hAnsi="Times New Roman" w:cs="Times New Roman"/>
                <w:color w:val="000000"/>
                <w:sz w:val="22"/>
                <w:szCs w:val="22"/>
              </w:rPr>
            </w:pPr>
          </w:p>
          <w:p w14:paraId="6892D59D" w14:textId="77777777" w:rsidR="0066477F" w:rsidRDefault="0066477F">
            <w:pPr>
              <w:jc w:val="both"/>
              <w:rPr>
                <w:rFonts w:ascii="Times New Roman" w:eastAsia="Times New Roman" w:hAnsi="Times New Roman" w:cs="Times New Roman"/>
                <w:color w:val="000000"/>
                <w:sz w:val="22"/>
                <w:szCs w:val="22"/>
              </w:rPr>
            </w:pPr>
          </w:p>
          <w:p w14:paraId="4E659B0F" w14:textId="77777777" w:rsidR="0066477F" w:rsidRDefault="0066477F">
            <w:pPr>
              <w:jc w:val="both"/>
              <w:rPr>
                <w:rFonts w:ascii="Times New Roman" w:eastAsia="Times New Roman" w:hAnsi="Times New Roman" w:cs="Times New Roman"/>
                <w:color w:val="000000"/>
                <w:sz w:val="22"/>
                <w:szCs w:val="22"/>
              </w:rPr>
            </w:pPr>
          </w:p>
          <w:p w14:paraId="65069EF7" w14:textId="77777777" w:rsidR="0066477F" w:rsidRDefault="0066477F">
            <w:pPr>
              <w:jc w:val="both"/>
              <w:rPr>
                <w:rFonts w:ascii="Times New Roman" w:eastAsia="Times New Roman" w:hAnsi="Times New Roman" w:cs="Times New Roman"/>
                <w:color w:val="000000"/>
                <w:sz w:val="22"/>
                <w:szCs w:val="22"/>
              </w:rPr>
            </w:pPr>
          </w:p>
          <w:p w14:paraId="7C13B09E" w14:textId="77777777" w:rsidR="0066477F" w:rsidRDefault="0066477F">
            <w:pPr>
              <w:jc w:val="both"/>
              <w:rPr>
                <w:rFonts w:ascii="Times New Roman" w:eastAsia="Times New Roman" w:hAnsi="Times New Roman" w:cs="Times New Roman"/>
                <w:color w:val="000000"/>
                <w:sz w:val="22"/>
                <w:szCs w:val="22"/>
              </w:rPr>
            </w:pPr>
          </w:p>
          <w:p w14:paraId="2E6464DD" w14:textId="77777777" w:rsidR="0066477F" w:rsidRDefault="0066477F">
            <w:pPr>
              <w:jc w:val="both"/>
              <w:rPr>
                <w:rFonts w:ascii="Times New Roman" w:eastAsia="Times New Roman" w:hAnsi="Times New Roman" w:cs="Times New Roman"/>
                <w:color w:val="000000"/>
                <w:sz w:val="22"/>
                <w:szCs w:val="22"/>
              </w:rPr>
            </w:pPr>
          </w:p>
          <w:p w14:paraId="7443D8E8" w14:textId="77777777" w:rsidR="0066477F" w:rsidRDefault="0066477F">
            <w:pPr>
              <w:jc w:val="both"/>
              <w:rPr>
                <w:rFonts w:ascii="Times New Roman" w:eastAsia="Times New Roman" w:hAnsi="Times New Roman" w:cs="Times New Roman"/>
                <w:color w:val="000000"/>
                <w:sz w:val="22"/>
                <w:szCs w:val="22"/>
              </w:rPr>
            </w:pPr>
          </w:p>
          <w:p w14:paraId="1862A8D6" w14:textId="77777777" w:rsidR="0066477F" w:rsidRDefault="0066477F">
            <w:pPr>
              <w:jc w:val="both"/>
              <w:rPr>
                <w:rFonts w:ascii="Times New Roman" w:eastAsia="Times New Roman" w:hAnsi="Times New Roman" w:cs="Times New Roman"/>
                <w:color w:val="000000"/>
                <w:sz w:val="22"/>
                <w:szCs w:val="22"/>
              </w:rPr>
            </w:pPr>
          </w:p>
          <w:p w14:paraId="7522B759" w14:textId="77777777" w:rsidR="0066477F" w:rsidRDefault="0066477F">
            <w:pPr>
              <w:jc w:val="both"/>
              <w:rPr>
                <w:rFonts w:ascii="Times New Roman" w:eastAsia="Times New Roman" w:hAnsi="Times New Roman" w:cs="Times New Roman"/>
                <w:color w:val="000000"/>
                <w:sz w:val="22"/>
                <w:szCs w:val="22"/>
              </w:rPr>
            </w:pPr>
          </w:p>
          <w:p w14:paraId="7AF952CC" w14:textId="77777777" w:rsidR="0066477F" w:rsidRDefault="0066477F">
            <w:pPr>
              <w:jc w:val="both"/>
              <w:rPr>
                <w:rFonts w:ascii="Times New Roman" w:eastAsia="Times New Roman" w:hAnsi="Times New Roman" w:cs="Times New Roman"/>
                <w:color w:val="000000"/>
                <w:sz w:val="22"/>
                <w:szCs w:val="22"/>
              </w:rPr>
            </w:pPr>
          </w:p>
          <w:p w14:paraId="3DEFE5E1" w14:textId="77777777" w:rsidR="0066477F" w:rsidRDefault="0066477F">
            <w:pPr>
              <w:jc w:val="both"/>
              <w:rPr>
                <w:rFonts w:ascii="Times New Roman" w:eastAsia="Times New Roman" w:hAnsi="Times New Roman" w:cs="Times New Roman"/>
                <w:color w:val="000000"/>
                <w:sz w:val="22"/>
                <w:szCs w:val="22"/>
              </w:rPr>
            </w:pPr>
          </w:p>
          <w:p w14:paraId="7A05BBB5" w14:textId="77777777" w:rsidR="0066477F" w:rsidRDefault="0066477F">
            <w:pPr>
              <w:jc w:val="both"/>
              <w:rPr>
                <w:rFonts w:ascii="Times New Roman" w:eastAsia="Times New Roman" w:hAnsi="Times New Roman" w:cs="Times New Roman"/>
                <w:color w:val="000000"/>
                <w:sz w:val="22"/>
                <w:szCs w:val="22"/>
              </w:rPr>
            </w:pPr>
          </w:p>
          <w:p w14:paraId="78CBA2C1" w14:textId="77777777" w:rsidR="0066477F" w:rsidRDefault="0066477F">
            <w:pPr>
              <w:jc w:val="both"/>
              <w:rPr>
                <w:rFonts w:ascii="Times New Roman" w:eastAsia="Times New Roman" w:hAnsi="Times New Roman" w:cs="Times New Roman"/>
                <w:color w:val="000000"/>
                <w:sz w:val="22"/>
                <w:szCs w:val="22"/>
              </w:rPr>
            </w:pPr>
          </w:p>
          <w:p w14:paraId="3E9B85F7" w14:textId="77777777" w:rsidR="0066477F" w:rsidRDefault="0066477F">
            <w:pPr>
              <w:jc w:val="both"/>
              <w:rPr>
                <w:rFonts w:ascii="Times New Roman" w:eastAsia="Times New Roman" w:hAnsi="Times New Roman" w:cs="Times New Roman"/>
                <w:color w:val="000000"/>
                <w:sz w:val="22"/>
                <w:szCs w:val="22"/>
              </w:rPr>
            </w:pPr>
          </w:p>
          <w:p w14:paraId="1518A2B5" w14:textId="77777777" w:rsidR="0066477F" w:rsidRDefault="0066477F">
            <w:pPr>
              <w:jc w:val="both"/>
              <w:rPr>
                <w:rFonts w:ascii="Times New Roman" w:eastAsia="Times New Roman" w:hAnsi="Times New Roman" w:cs="Times New Roman"/>
                <w:color w:val="000000"/>
                <w:sz w:val="22"/>
                <w:szCs w:val="22"/>
              </w:rPr>
            </w:pPr>
          </w:p>
          <w:p w14:paraId="03291B92" w14:textId="77777777" w:rsidR="0066477F" w:rsidRDefault="0066477F">
            <w:pPr>
              <w:jc w:val="both"/>
              <w:rPr>
                <w:rFonts w:ascii="Times New Roman" w:eastAsia="Times New Roman" w:hAnsi="Times New Roman" w:cs="Times New Roman"/>
                <w:color w:val="000000"/>
                <w:sz w:val="22"/>
                <w:szCs w:val="22"/>
              </w:rPr>
            </w:pPr>
          </w:p>
          <w:p w14:paraId="11BB122F" w14:textId="77777777" w:rsidR="0066477F" w:rsidRDefault="0066477F">
            <w:pPr>
              <w:jc w:val="both"/>
              <w:rPr>
                <w:rFonts w:ascii="Times New Roman" w:eastAsia="Times New Roman" w:hAnsi="Times New Roman" w:cs="Times New Roman"/>
                <w:color w:val="000000"/>
                <w:sz w:val="22"/>
                <w:szCs w:val="22"/>
              </w:rPr>
            </w:pPr>
          </w:p>
          <w:p w14:paraId="54F8030B" w14:textId="77777777" w:rsidR="0066477F" w:rsidRDefault="0066477F">
            <w:pPr>
              <w:jc w:val="both"/>
              <w:rPr>
                <w:rFonts w:ascii="Times New Roman" w:eastAsia="Times New Roman" w:hAnsi="Times New Roman" w:cs="Times New Roman"/>
                <w:color w:val="000000"/>
                <w:sz w:val="22"/>
                <w:szCs w:val="22"/>
              </w:rPr>
            </w:pPr>
          </w:p>
          <w:p w14:paraId="22D51195" w14:textId="77777777" w:rsidR="0066477F" w:rsidRDefault="0066477F">
            <w:pPr>
              <w:jc w:val="both"/>
              <w:rPr>
                <w:rFonts w:ascii="Times New Roman" w:eastAsia="Times New Roman" w:hAnsi="Times New Roman" w:cs="Times New Roman"/>
                <w:color w:val="000000"/>
                <w:sz w:val="22"/>
                <w:szCs w:val="22"/>
              </w:rPr>
            </w:pPr>
          </w:p>
          <w:p w14:paraId="7E1D1593" w14:textId="77777777" w:rsidR="002F36A6" w:rsidRDefault="002F36A6">
            <w:pPr>
              <w:jc w:val="both"/>
              <w:rPr>
                <w:rFonts w:ascii="Times New Roman" w:eastAsia="Times New Roman" w:hAnsi="Times New Roman" w:cs="Times New Roman"/>
                <w:color w:val="000000"/>
                <w:sz w:val="22"/>
                <w:szCs w:val="22"/>
              </w:rPr>
            </w:pPr>
          </w:p>
          <w:p w14:paraId="3CD1AEF9" w14:textId="77777777" w:rsidR="002F36A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Referitor la 10.1.2 menționăm că </w:t>
            </w:r>
            <w:r>
              <w:rPr>
                <w:rFonts w:ascii="Times New Roman" w:eastAsia="Times New Roman" w:hAnsi="Times New Roman" w:cs="Times New Roman"/>
                <w:sz w:val="22"/>
                <w:szCs w:val="22"/>
              </w:rPr>
              <w:t xml:space="preserve">Anexa VI a Regulamentului (CE) nr. 1272/2008  este preluată prin PHG  pentru aprobarea Regulamentului privind clasificarea, </w:t>
            </w:r>
            <w:r>
              <w:rPr>
                <w:rFonts w:ascii="Times New Roman" w:eastAsia="Times New Roman" w:hAnsi="Times New Roman" w:cs="Times New Roman"/>
                <w:sz w:val="22"/>
                <w:szCs w:val="22"/>
              </w:rPr>
              <w:lastRenderedPageBreak/>
              <w:t xml:space="preserve">etichetarea și ambalarea substanțelor și amestecurilor  (NU 849/MM/2025). </w:t>
            </w:r>
          </w:p>
          <w:p w14:paraId="533268FD" w14:textId="77777777" w:rsidR="002F36A6" w:rsidRDefault="00000000">
            <w:pPr>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sz w:val="22"/>
                <w:szCs w:val="22"/>
              </w:rPr>
              <w:t xml:space="preserve">La moment este expediat spre consultare către Comisia Europeană. </w:t>
            </w:r>
            <w:r>
              <w:rPr>
                <w:rFonts w:ascii="Times New Roman" w:eastAsia="Times New Roman" w:hAnsi="Times New Roman" w:cs="Times New Roman"/>
                <w:sz w:val="22"/>
                <w:szCs w:val="22"/>
                <w:highlight w:val="white"/>
              </w:rPr>
              <w:t xml:space="preserve"> Planificată în PNA pentru aprobare în luna iunie 2026.</w:t>
            </w:r>
            <w:r>
              <w:rPr>
                <w:rFonts w:ascii="Times New Roman" w:eastAsia="Times New Roman" w:hAnsi="Times New Roman" w:cs="Times New Roman"/>
                <w:sz w:val="22"/>
                <w:szCs w:val="22"/>
              </w:rPr>
              <w:t xml:space="preserve"> (</w:t>
            </w:r>
            <w:r>
              <w:rPr>
                <w:rFonts w:ascii="Times New Roman" w:eastAsia="Times New Roman" w:hAnsi="Times New Roman" w:cs="Times New Roman"/>
                <w:i/>
                <w:iCs/>
                <w:sz w:val="22"/>
                <w:szCs w:val="22"/>
              </w:rPr>
              <w:t>mesaj din 20 martie din SI e-Legiferare</w:t>
            </w:r>
            <w:r>
              <w:rPr>
                <w:rFonts w:ascii="Times New Roman" w:eastAsia="Times New Roman" w:hAnsi="Times New Roman" w:cs="Times New Roman"/>
                <w:sz w:val="22"/>
                <w:szCs w:val="22"/>
              </w:rPr>
              <w:t>)</w:t>
            </w:r>
          </w:p>
        </w:tc>
      </w:tr>
      <w:tr w:rsidR="002F36A6" w14:paraId="74C53260" w14:textId="77777777">
        <w:trPr>
          <w:trHeight w:val="3360"/>
        </w:trPr>
        <w:tc>
          <w:tcPr>
            <w:tcW w:w="6957" w:type="dxa"/>
          </w:tcPr>
          <w:p w14:paraId="26163FDD"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(b)</w:t>
            </w:r>
            <w:r>
              <w:rPr>
                <w:rFonts w:ascii="Times New Roman" w:eastAsia="Times New Roman" w:hAnsi="Times New Roman" w:cs="Times New Roman"/>
                <w:color w:val="000000"/>
                <w:sz w:val="22"/>
                <w:szCs w:val="22"/>
              </w:rPr>
              <w:tab/>
              <w:t>cererea menționată la articolul 6 alineatul (1) se depune în termen de 9 luni de la una dintre următoarele date:</w:t>
            </w:r>
          </w:p>
          <w:p w14:paraId="3E9CD49B"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w:t>
            </w:r>
            <w:r>
              <w:rPr>
                <w:rFonts w:ascii="Times New Roman" w:eastAsia="Times New Roman" w:hAnsi="Times New Roman" w:cs="Times New Roman"/>
                <w:color w:val="000000"/>
                <w:sz w:val="22"/>
                <w:szCs w:val="22"/>
              </w:rPr>
              <w:tab/>
              <w:t>data la care autoritatea publică informațiile menționate la articolul 6 alineatul (4) pentru bisfenolii periculoși și derivații periculoși ai bisfenolului pentru care se aplică clasificarea armonizată la data respectivă; sau</w:t>
            </w:r>
          </w:p>
          <w:p w14:paraId="2195178D"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(ii)</w:t>
            </w:r>
            <w:r>
              <w:rPr>
                <w:rFonts w:ascii="Times New Roman" w:eastAsia="Times New Roman" w:hAnsi="Times New Roman" w:cs="Times New Roman"/>
                <w:color w:val="000000"/>
                <w:sz w:val="22"/>
                <w:szCs w:val="22"/>
              </w:rPr>
              <w:tab/>
              <w:t>odată ce autoritatea a publicat informațiile menționate la articolul 6 alineatul (4), data la care clasificarea armonizată se aplică bisfenolului periculos sau derivatului periculos al bisfenolului menționat în partea 3 din anexa VI la Regulamentul (CE) nr. 1272/2008; și</w:t>
            </w:r>
          </w:p>
          <w:p w14:paraId="6FB53C82" w14:textId="77777777" w:rsidR="002F36A6" w:rsidRDefault="00000000">
            <w:pPr>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(c)materialele și articolele destinate să vină în contact cu alimentele respectă normele aplicabile înainte de data intrării în vigoare a prezentului regulament; și</w:t>
            </w:r>
          </w:p>
          <w:p w14:paraId="16DF4196"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(d)Comisia nu a luat o decizie cu privire la cerere în temeiul articolului 6 alineatul (3).</w:t>
            </w:r>
          </w:p>
        </w:tc>
        <w:tc>
          <w:tcPr>
            <w:tcW w:w="4877" w:type="dxa"/>
          </w:tcPr>
          <w:p w14:paraId="0DE3E2CC" w14:textId="77777777" w:rsidR="002F36A6" w:rsidRDefault="002F36A6">
            <w:pPr>
              <w:widowControl w:val="0"/>
              <w:pBdr>
                <w:top w:val="nil"/>
                <w:left w:val="nil"/>
                <w:bottom w:val="nil"/>
                <w:right w:val="nil"/>
                <w:between w:val="nil"/>
              </w:pBdr>
              <w:tabs>
                <w:tab w:val="left" w:pos="426"/>
              </w:tabs>
              <w:ind w:left="136" w:right="210"/>
              <w:jc w:val="both"/>
              <w:rPr>
                <w:rFonts w:ascii="Times New Roman" w:eastAsia="Times New Roman" w:hAnsi="Times New Roman" w:cs="Times New Roman"/>
                <w:color w:val="000000"/>
                <w:sz w:val="22"/>
                <w:szCs w:val="22"/>
              </w:rPr>
            </w:pPr>
          </w:p>
        </w:tc>
        <w:tc>
          <w:tcPr>
            <w:tcW w:w="1559" w:type="dxa"/>
          </w:tcPr>
          <w:p w14:paraId="7A8074A3"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Prevedere UE neaplicabilă</w:t>
            </w:r>
          </w:p>
        </w:tc>
        <w:tc>
          <w:tcPr>
            <w:tcW w:w="2589" w:type="dxa"/>
          </w:tcPr>
          <w:p w14:paraId="2D078AD3"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Autorizația</w:t>
            </w:r>
            <w:r>
              <w:rPr>
                <w:rFonts w:ascii="Times New Roman" w:eastAsia="Times New Roman" w:hAnsi="Times New Roman" w:cs="Times New Roman"/>
                <w:color w:val="000000"/>
                <w:sz w:val="22"/>
                <w:szCs w:val="22"/>
              </w:rPr>
              <w:t xml:space="preserve"> de utilizare a unui bisfenol periculos </w:t>
            </w:r>
            <w:r>
              <w:rPr>
                <w:rFonts w:ascii="Times New Roman" w:eastAsia="Times New Roman" w:hAnsi="Times New Roman" w:cs="Times New Roman"/>
                <w:sz w:val="22"/>
                <w:szCs w:val="22"/>
              </w:rPr>
              <w:t>pentru fabricarea materialelor și a articolelor destinate să vină în contact cu alimentele este</w:t>
            </w:r>
            <w:r>
              <w:rPr>
                <w:rFonts w:ascii="Times New Roman" w:eastAsia="Times New Roman" w:hAnsi="Times New Roman" w:cs="Times New Roman"/>
                <w:color w:val="000000"/>
                <w:sz w:val="22"/>
                <w:szCs w:val="22"/>
              </w:rPr>
              <w:t xml:space="preserve"> eliberată de către Comisia Europeană în baza evaluării științifice efectuate de către Autoritatea Europeană pentru Siguranța Alimentară</w:t>
            </w:r>
          </w:p>
          <w:p w14:paraId="15659300" w14:textId="77777777" w:rsidR="002F36A6" w:rsidRDefault="002F36A6">
            <w:pPr>
              <w:jc w:val="both"/>
              <w:rPr>
                <w:rFonts w:ascii="Times New Roman" w:eastAsia="Times New Roman" w:hAnsi="Times New Roman" w:cs="Times New Roman"/>
                <w:b/>
                <w:bCs/>
                <w:color w:val="000000"/>
                <w:sz w:val="22"/>
                <w:szCs w:val="22"/>
              </w:rPr>
            </w:pPr>
          </w:p>
        </w:tc>
      </w:tr>
      <w:tr w:rsidR="002F36A6" w14:paraId="5A282877" w14:textId="77777777">
        <w:trPr>
          <w:trHeight w:val="2970"/>
        </w:trPr>
        <w:tc>
          <w:tcPr>
            <w:tcW w:w="6957" w:type="dxa"/>
          </w:tcPr>
          <w:p w14:paraId="4C2A82BD" w14:textId="77777777" w:rsidR="002F36A6" w:rsidRDefault="00000000">
            <w:pPr>
              <w:ind w:firstLine="70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Articolul 6</w:t>
            </w:r>
          </w:p>
          <w:p w14:paraId="15E65BDD" w14:textId="77777777" w:rsidR="002F36A6" w:rsidRDefault="0000000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Autorizație pentru utilizarea unor bisfenoli periculoși, alții decât BPA, sau a unor derivați periculoși ai bisfenolului la fabricarea materialelor și a articolelor destinate să vină în contact cu alimentele pentru o aplicație specifică</w:t>
            </w:r>
          </w:p>
          <w:p w14:paraId="415EE089" w14:textId="77777777" w:rsidR="002F36A6" w:rsidRDefault="00000000">
            <w:pPr>
              <w:widowControl w:val="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(1)Pentru a obține o autorizație de utilizare a unui bisfenol periculos, altul decât BPA, sau a unui derivat periculos al bisfenolului la fabricarea unui material sau articol destinat să vină în contact cu alimentele pentru o aplicație specifică, se depune o cerere în conformitate cu articolul 9 din Regulamentul (CE) nr. 1935/2004.</w:t>
            </w:r>
          </w:p>
        </w:tc>
        <w:tc>
          <w:tcPr>
            <w:tcW w:w="4877" w:type="dxa"/>
          </w:tcPr>
          <w:p w14:paraId="6FD8CAE6" w14:textId="77777777" w:rsidR="002F36A6" w:rsidRDefault="002F36A6">
            <w:pPr>
              <w:widowControl w:val="0"/>
              <w:pBdr>
                <w:top w:val="nil"/>
                <w:left w:val="nil"/>
                <w:bottom w:val="nil"/>
                <w:right w:val="nil"/>
                <w:between w:val="nil"/>
              </w:pBdr>
              <w:tabs>
                <w:tab w:val="left" w:pos="426"/>
              </w:tabs>
              <w:ind w:left="136" w:right="210"/>
              <w:jc w:val="both"/>
              <w:rPr>
                <w:rFonts w:ascii="Times New Roman" w:eastAsia="Times New Roman" w:hAnsi="Times New Roman" w:cs="Times New Roman"/>
                <w:color w:val="000000"/>
                <w:sz w:val="22"/>
                <w:szCs w:val="22"/>
              </w:rPr>
            </w:pPr>
          </w:p>
        </w:tc>
        <w:tc>
          <w:tcPr>
            <w:tcW w:w="1559" w:type="dxa"/>
          </w:tcPr>
          <w:p w14:paraId="6AECBF4E"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Prevedere UE neaplicabilă</w:t>
            </w:r>
          </w:p>
        </w:tc>
        <w:tc>
          <w:tcPr>
            <w:tcW w:w="2589" w:type="dxa"/>
          </w:tcPr>
          <w:p w14:paraId="177406F4"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Autorizația</w:t>
            </w:r>
            <w:r>
              <w:rPr>
                <w:rFonts w:ascii="Times New Roman" w:eastAsia="Times New Roman" w:hAnsi="Times New Roman" w:cs="Times New Roman"/>
                <w:color w:val="000000"/>
                <w:sz w:val="22"/>
                <w:szCs w:val="22"/>
              </w:rPr>
              <w:t xml:space="preserve"> de utilizare a unui bisfenol periculos </w:t>
            </w:r>
            <w:r>
              <w:rPr>
                <w:rFonts w:ascii="Times New Roman" w:eastAsia="Times New Roman" w:hAnsi="Times New Roman" w:cs="Times New Roman"/>
                <w:sz w:val="22"/>
                <w:szCs w:val="22"/>
              </w:rPr>
              <w:t>pentru fabricarea materialelor și a articolelor destinate să vină în contact cu alimentele este</w:t>
            </w:r>
            <w:r>
              <w:rPr>
                <w:rFonts w:ascii="Times New Roman" w:eastAsia="Times New Roman" w:hAnsi="Times New Roman" w:cs="Times New Roman"/>
                <w:color w:val="000000"/>
                <w:sz w:val="22"/>
                <w:szCs w:val="22"/>
              </w:rPr>
              <w:t xml:space="preserve"> eliberată de către Comisia Europeană în baza evaluării științifice efectuate de către Autoritatea Europeană pentru Siguranța Alimentară</w:t>
            </w:r>
          </w:p>
          <w:p w14:paraId="593B7C9B" w14:textId="77777777" w:rsidR="002F36A6" w:rsidRDefault="002F36A6">
            <w:pPr>
              <w:jc w:val="both"/>
              <w:rPr>
                <w:rFonts w:ascii="Times New Roman" w:eastAsia="Times New Roman" w:hAnsi="Times New Roman" w:cs="Times New Roman"/>
                <w:color w:val="000000"/>
                <w:sz w:val="22"/>
                <w:szCs w:val="22"/>
              </w:rPr>
            </w:pPr>
          </w:p>
        </w:tc>
      </w:tr>
      <w:tr w:rsidR="002F36A6" w14:paraId="6D9A5D19" w14:textId="77777777">
        <w:trPr>
          <w:trHeight w:val="55"/>
        </w:trPr>
        <w:tc>
          <w:tcPr>
            <w:tcW w:w="6957" w:type="dxa"/>
          </w:tcPr>
          <w:p w14:paraId="51A5351F"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   În conformitate cu articolul 10 din Regulamentul (CE) nr. 1935/2004, autoritatea emite un aviz pentru utilizarea bisfenolului periculos sau a derivatului periculos al bisfenolului la fabricarea unui material sau articol destinat să vină în contact cu alimentele pentru o aplicație specifică pentru care a fost depusă o cerere valabilă în conformitate cu articolul 9 din Regulamentul (CE) nr. 1935/2004. În cazul în care autoritatea primește mai multe cereri cu privire la același bisfenol periculos sau derivat periculos al bisfenolului, autoritatea poate publica un singur aviz cu privire la respectivul bisfenol periculos sau derivat periculos al bisfenolului.</w:t>
            </w:r>
          </w:p>
          <w:p w14:paraId="49F3C293"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277C52DA"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tc>
        <w:tc>
          <w:tcPr>
            <w:tcW w:w="1559" w:type="dxa"/>
          </w:tcPr>
          <w:p w14:paraId="678339AD"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Prevedere UE neaplicabilă</w:t>
            </w:r>
          </w:p>
        </w:tc>
        <w:tc>
          <w:tcPr>
            <w:tcW w:w="2589" w:type="dxa"/>
          </w:tcPr>
          <w:p w14:paraId="3048A2CD"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Prevederea se referă la Autoritatea Europeană pentru Siguranța Alimentară</w:t>
            </w:r>
          </w:p>
        </w:tc>
      </w:tr>
      <w:tr w:rsidR="002F36A6" w14:paraId="45723D43" w14:textId="77777777">
        <w:trPr>
          <w:trHeight w:val="2094"/>
        </w:trPr>
        <w:tc>
          <w:tcPr>
            <w:tcW w:w="6957" w:type="dxa"/>
          </w:tcPr>
          <w:p w14:paraId="55F284FD" w14:textId="77777777" w:rsidR="002F36A6" w:rsidRDefault="00000000">
            <w:pPr>
              <w:rPr>
                <w:rFonts w:ascii="Times New Roman" w:eastAsia="Times New Roman" w:hAnsi="Times New Roman" w:cs="Times New Roman"/>
                <w:i/>
                <w:iCs/>
                <w:color w:val="000000"/>
                <w:sz w:val="22"/>
                <w:szCs w:val="22"/>
              </w:rPr>
            </w:pPr>
            <w:r>
              <w:rPr>
                <w:rFonts w:ascii="Times New Roman" w:eastAsia="Times New Roman" w:hAnsi="Times New Roman" w:cs="Times New Roman"/>
                <w:color w:val="000000"/>
                <w:sz w:val="22"/>
                <w:szCs w:val="22"/>
              </w:rPr>
              <w:t>(3)   Ulterior, Comisia adoptă o măsură specială în conformitate cu articolul 11 din Regulamentul (CE) nr. 1935/2004, fie prin autorizarea, sub rezerva restricțiilor, după caz, fie prin neautorizarea utilizării bisfenolului periculos sau a derivatului periculos al bisfenolului pentru fabricarea materialului sau a articolului destinat să vină în contact cu alimentele pentru o aplicație specifică. În cazul autorizării, bisfenolul periculos sau derivatul periculos al bisfenolului se include în anexa II la prezentul regulament în consecință.</w:t>
            </w:r>
          </w:p>
        </w:tc>
        <w:tc>
          <w:tcPr>
            <w:tcW w:w="4877" w:type="dxa"/>
          </w:tcPr>
          <w:p w14:paraId="53E4AFF5"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tc>
        <w:tc>
          <w:tcPr>
            <w:tcW w:w="1559" w:type="dxa"/>
          </w:tcPr>
          <w:p w14:paraId="073F1FE0"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Prevedere UE neaplicabilă</w:t>
            </w:r>
          </w:p>
        </w:tc>
        <w:tc>
          <w:tcPr>
            <w:tcW w:w="2589" w:type="dxa"/>
          </w:tcPr>
          <w:p w14:paraId="1BB68DFF"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Prevederea se referă la Autoritatea Europeană pentru Siguranța Alimentară</w:t>
            </w:r>
          </w:p>
        </w:tc>
      </w:tr>
      <w:tr w:rsidR="002F36A6" w14:paraId="55DAFC0F" w14:textId="77777777">
        <w:trPr>
          <w:trHeight w:val="2107"/>
        </w:trPr>
        <w:tc>
          <w:tcPr>
            <w:tcW w:w="6957" w:type="dxa"/>
          </w:tcPr>
          <w:p w14:paraId="4AA51412"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În sensul alineatului (1) și înainte de 20 ianuarie 2027, autoritatea publică documente științifice care detaliază informațiile necesare pentru evaluarea utilizării bisfenolilor periculoși sau a derivaților periculoși ai bisfenolului la fabricarea materialelor și articolelor destinate să vină în contact cu alimentele pentru o anumită aplicație, completând sau actualizând, după caz, orientările detaliate menționate la articolul 9 alineatul (2) din Regulamentul (CE) nr. 1935/2004. Autoritatea colaborează în acest scop cu Agenția Europeană pentru Produse Chimice.</w:t>
            </w:r>
          </w:p>
          <w:p w14:paraId="39FFE37C" w14:textId="77777777" w:rsidR="002F36A6" w:rsidRDefault="002F36A6">
            <w:pPr>
              <w:ind w:firstLine="708"/>
              <w:rPr>
                <w:rFonts w:ascii="Times New Roman" w:eastAsia="Times New Roman" w:hAnsi="Times New Roman" w:cs="Times New Roman"/>
                <w:i/>
                <w:iCs/>
                <w:color w:val="000000"/>
                <w:sz w:val="22"/>
                <w:szCs w:val="22"/>
              </w:rPr>
            </w:pPr>
          </w:p>
        </w:tc>
        <w:tc>
          <w:tcPr>
            <w:tcW w:w="4877" w:type="dxa"/>
          </w:tcPr>
          <w:p w14:paraId="28C6E9EF"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tc>
        <w:tc>
          <w:tcPr>
            <w:tcW w:w="1559" w:type="dxa"/>
          </w:tcPr>
          <w:p w14:paraId="72094026"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Preveder</w:t>
            </w:r>
            <w:r>
              <w:rPr>
                <w:rFonts w:ascii="Times New Roman" w:eastAsia="Times New Roman" w:hAnsi="Times New Roman" w:cs="Times New Roman"/>
                <w:b/>
                <w:bCs/>
                <w:sz w:val="22"/>
                <w:szCs w:val="22"/>
              </w:rPr>
              <w:t>e</w:t>
            </w:r>
            <w:r>
              <w:rPr>
                <w:rFonts w:ascii="Times New Roman" w:eastAsia="Times New Roman" w:hAnsi="Times New Roman" w:cs="Times New Roman"/>
                <w:b/>
                <w:bCs/>
                <w:color w:val="000000"/>
                <w:sz w:val="22"/>
                <w:szCs w:val="22"/>
              </w:rPr>
              <w:t xml:space="preserve"> UE neaplicabil</w:t>
            </w:r>
            <w:r>
              <w:rPr>
                <w:rFonts w:ascii="Times New Roman" w:eastAsia="Times New Roman" w:hAnsi="Times New Roman" w:cs="Times New Roman"/>
                <w:b/>
                <w:bCs/>
                <w:sz w:val="22"/>
                <w:szCs w:val="22"/>
              </w:rPr>
              <w:t>ă</w:t>
            </w:r>
          </w:p>
        </w:tc>
        <w:tc>
          <w:tcPr>
            <w:tcW w:w="2589" w:type="dxa"/>
          </w:tcPr>
          <w:p w14:paraId="67EEF933"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Prevederea se referă la Autoritatea Europeană pentru Siguranța Alimentară</w:t>
            </w:r>
          </w:p>
        </w:tc>
      </w:tr>
      <w:tr w:rsidR="002F36A6" w14:paraId="3A029C2D" w14:textId="77777777">
        <w:tc>
          <w:tcPr>
            <w:tcW w:w="6957" w:type="dxa"/>
          </w:tcPr>
          <w:p w14:paraId="4D049FD1" w14:textId="77777777" w:rsidR="002F36A6" w:rsidRDefault="00000000">
            <w:pPr>
              <w:rPr>
                <w:rFonts w:ascii="Times New Roman" w:eastAsia="Times New Roman" w:hAnsi="Times New Roman" w:cs="Times New Roman"/>
                <w:i/>
                <w:iCs/>
                <w:color w:val="000000"/>
                <w:sz w:val="22"/>
                <w:szCs w:val="22"/>
              </w:rPr>
            </w:pPr>
            <w:r>
              <w:rPr>
                <w:rFonts w:ascii="Times New Roman" w:eastAsia="Times New Roman" w:hAnsi="Times New Roman" w:cs="Times New Roman"/>
                <w:color w:val="000000"/>
                <w:sz w:val="22"/>
                <w:szCs w:val="22"/>
              </w:rPr>
              <w:t>(5)   La cererea autorității, operatorii economici care utilizează bisfenoli sau derivați ai bisfenolului la fabricarea materialelor și articolelor destinate să vină în contact cu alimentele furnizează date privind utilizarea bisfenolilor și a derivaților bisfenolului la fabricarea materialelor și articolelor destinate să vină în contact cu alimentele pentru a contribui la elaborarea informațiilor menționate la alineatul (4).</w:t>
            </w:r>
          </w:p>
        </w:tc>
        <w:tc>
          <w:tcPr>
            <w:tcW w:w="4877" w:type="dxa"/>
          </w:tcPr>
          <w:p w14:paraId="457402FF"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tc>
        <w:tc>
          <w:tcPr>
            <w:tcW w:w="1559" w:type="dxa"/>
          </w:tcPr>
          <w:p w14:paraId="0EA3C3F6"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Prevedere UE neaplicabilă</w:t>
            </w:r>
          </w:p>
        </w:tc>
        <w:tc>
          <w:tcPr>
            <w:tcW w:w="2589" w:type="dxa"/>
          </w:tcPr>
          <w:p w14:paraId="3BA1673E"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Prevederea se referă la Autoritatea Europeană pentru Siguranța Alimentară</w:t>
            </w:r>
          </w:p>
        </w:tc>
      </w:tr>
      <w:tr w:rsidR="002F36A6" w14:paraId="5E0E2261" w14:textId="77777777">
        <w:tc>
          <w:tcPr>
            <w:tcW w:w="6957" w:type="dxa"/>
          </w:tcPr>
          <w:p w14:paraId="112E3E58"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Articolul 7</w:t>
            </w:r>
          </w:p>
          <w:p w14:paraId="361A8133" w14:textId="77777777" w:rsidR="002F36A6" w:rsidRDefault="0000000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Obligațiile de raportare privind substanțele alternative la BPA, bisfenoli periculoși și derivați periculoși ai bisfenolului prevăzute în anexa II</w:t>
            </w:r>
          </w:p>
          <w:p w14:paraId="31DB4317"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(1)   Operatorii economici care utilizează BPA, alți bisfenoli periculoși sau derivați periculoși ai bisfenolului enumerați în anexa II furnizează Comisiei informații cu privire la statutul substanțelor alternative.</w:t>
            </w:r>
          </w:p>
          <w:p w14:paraId="43A9A0B9"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5D87AB1A" w14:textId="77777777" w:rsidR="002F36A6" w:rsidRDefault="002F36A6">
            <w:pPr>
              <w:widowControl w:val="0"/>
              <w:pBdr>
                <w:top w:val="nil"/>
                <w:left w:val="nil"/>
                <w:bottom w:val="nil"/>
                <w:right w:val="nil"/>
                <w:between w:val="nil"/>
              </w:pBdr>
              <w:rPr>
                <w:rFonts w:ascii="Times New Roman" w:eastAsia="Times New Roman" w:hAnsi="Times New Roman" w:cs="Times New Roman"/>
                <w:color w:val="000000"/>
                <w:sz w:val="22"/>
                <w:szCs w:val="22"/>
              </w:rPr>
            </w:pPr>
          </w:p>
        </w:tc>
        <w:tc>
          <w:tcPr>
            <w:tcW w:w="1559" w:type="dxa"/>
          </w:tcPr>
          <w:p w14:paraId="38BBF2BE"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Prevedere UE neaplicabilă</w:t>
            </w:r>
          </w:p>
          <w:p w14:paraId="1D5C24E3" w14:textId="77777777" w:rsidR="002F36A6" w:rsidRDefault="002F36A6">
            <w:pPr>
              <w:jc w:val="center"/>
              <w:rPr>
                <w:rFonts w:ascii="Times New Roman" w:eastAsia="Times New Roman" w:hAnsi="Times New Roman" w:cs="Times New Roman"/>
                <w:b/>
                <w:bCs/>
                <w:color w:val="000000"/>
                <w:sz w:val="22"/>
                <w:szCs w:val="22"/>
              </w:rPr>
            </w:pPr>
          </w:p>
        </w:tc>
        <w:tc>
          <w:tcPr>
            <w:tcW w:w="2589" w:type="dxa"/>
          </w:tcPr>
          <w:p w14:paraId="72FFE557" w14:textId="77777777" w:rsidR="002F36A6" w:rsidRDefault="00000000">
            <w:pPr>
              <w:ind w:firstLine="70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Prevederea se referă la Comisia Europeană și are tangență cu anexa nr.2 care prevede </w:t>
            </w:r>
            <w:r>
              <w:rPr>
                <w:rFonts w:ascii="Times New Roman" w:eastAsia="Times New Roman" w:hAnsi="Times New Roman" w:cs="Times New Roman"/>
                <w:i/>
                <w:iCs/>
                <w:color w:val="000000"/>
                <w:sz w:val="22"/>
                <w:szCs w:val="22"/>
              </w:rPr>
              <w:t xml:space="preserve">Lista Uniunii de BPA și alți bisfenoli periculoși și </w:t>
            </w:r>
            <w:r>
              <w:rPr>
                <w:rFonts w:ascii="Times New Roman" w:eastAsia="Times New Roman" w:hAnsi="Times New Roman" w:cs="Times New Roman"/>
                <w:i/>
                <w:iCs/>
                <w:color w:val="000000"/>
                <w:sz w:val="22"/>
                <w:szCs w:val="22"/>
              </w:rPr>
              <w:lastRenderedPageBreak/>
              <w:t>derivați periculoși ai bisfenolului autorizați pentru utilizare la fabricarea materialelor și a articolelor destinate să vină în contact cu alimentele pentru aplicări specifice  autorizată in conformitate cu art. 6.</w:t>
            </w:r>
          </w:p>
        </w:tc>
      </w:tr>
      <w:tr w:rsidR="002F36A6" w14:paraId="68DF6C9B" w14:textId="77777777">
        <w:tc>
          <w:tcPr>
            <w:tcW w:w="6957" w:type="dxa"/>
          </w:tcPr>
          <w:p w14:paraId="5F49D31B"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Prin derogare, o astfel de raportare este voluntară pentru microîntreprinderi și pentru întreprinderile mici și mijlocii, astfel cum sunt definite în Recomandarea Comisiei din 6 mai 2003 </w:t>
            </w:r>
            <w:hyperlink r:id="rId9" w:anchor="ntr11-L_202403190RO.000101-E0011">
              <w:r w:rsidR="002F36A6">
                <w:rPr>
                  <w:rFonts w:ascii="Times New Roman" w:eastAsia="Times New Roman" w:hAnsi="Times New Roman" w:cs="Times New Roman"/>
                  <w:color w:val="000000"/>
                  <w:sz w:val="22"/>
                  <w:szCs w:val="22"/>
                  <w:u w:val="single"/>
                </w:rPr>
                <w:t>(</w:t>
              </w:r>
            </w:hyperlink>
            <w:hyperlink r:id="rId10" w:anchor="ntr11-L_202403190RO.000101-E0011">
              <w:r w:rsidR="002F36A6">
                <w:rPr>
                  <w:rFonts w:ascii="Times New Roman" w:eastAsia="Times New Roman" w:hAnsi="Times New Roman" w:cs="Times New Roman"/>
                  <w:color w:val="000000"/>
                  <w:sz w:val="22"/>
                  <w:szCs w:val="22"/>
                  <w:u w:val="single"/>
                  <w:vertAlign w:val="superscript"/>
                </w:rPr>
                <w:t>11</w:t>
              </w:r>
            </w:hyperlink>
            <w:hyperlink r:id="rId11" w:anchor="ntr11-L_202403190RO.000101-E0011">
              <w:r w:rsidR="002F36A6">
                <w:rPr>
                  <w:rFonts w:ascii="Times New Roman" w:eastAsia="Times New Roman" w:hAnsi="Times New Roman" w:cs="Times New Roman"/>
                  <w:color w:val="000000"/>
                  <w:sz w:val="22"/>
                  <w:szCs w:val="22"/>
                  <w:u w:val="single"/>
                </w:rPr>
                <w:t>)</w:t>
              </w:r>
            </w:hyperlink>
            <w:r>
              <w:rPr>
                <w:rFonts w:ascii="Times New Roman" w:eastAsia="Times New Roman" w:hAnsi="Times New Roman" w:cs="Times New Roman"/>
                <w:color w:val="000000"/>
                <w:sz w:val="22"/>
                <w:szCs w:val="22"/>
              </w:rPr>
              <w:t>.</w:t>
            </w:r>
          </w:p>
          <w:p w14:paraId="2E3493EB"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321B616F" w14:textId="77777777" w:rsidR="002F36A6" w:rsidRDefault="00000000">
            <w:pPr>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tc>
        <w:tc>
          <w:tcPr>
            <w:tcW w:w="1559" w:type="dxa"/>
          </w:tcPr>
          <w:p w14:paraId="5F75A89A"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Prevedere UE neaplicabilă</w:t>
            </w:r>
          </w:p>
          <w:p w14:paraId="3FD20E83" w14:textId="77777777" w:rsidR="002F36A6" w:rsidRDefault="002F36A6">
            <w:pPr>
              <w:jc w:val="center"/>
              <w:rPr>
                <w:rFonts w:ascii="Times New Roman" w:eastAsia="Times New Roman" w:hAnsi="Times New Roman" w:cs="Times New Roman"/>
                <w:b/>
                <w:bCs/>
                <w:color w:val="000000"/>
                <w:sz w:val="22"/>
                <w:szCs w:val="22"/>
              </w:rPr>
            </w:pPr>
          </w:p>
        </w:tc>
        <w:tc>
          <w:tcPr>
            <w:tcW w:w="2589" w:type="dxa"/>
          </w:tcPr>
          <w:p w14:paraId="78838703"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Prevederea se referă la Comisia Europeană.</w:t>
            </w:r>
          </w:p>
        </w:tc>
      </w:tr>
      <w:tr w:rsidR="002F36A6" w14:paraId="5D6004DC" w14:textId="77777777">
        <w:tc>
          <w:tcPr>
            <w:tcW w:w="6957" w:type="dxa"/>
          </w:tcPr>
          <w:p w14:paraId="5E567383"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Informațiile menționate la alineatul (1) sunt puse la dispoziția Comisiei după 4 ani și în termen de cel mult 5 ani de la data de la care utilizarea bisfenolului periculos sau a derivatului periculos al bisfenolului este autorizată pentru utilizare la fabricarea materialului sau a articolului destinat să vină în contact cu alimentele pentru o anumită aplicație. Aceste informații sunt actualizate și puse la dispoziția Comisiei după 4 ani și cel târziu la 5 ani de la data transmiterii anterioare, în cazul în care autorizația de utilizare a bisfenolului periculos sau a derivatului periculos al bisfenolului pentru articolul finit destinat să vină în contact cu alimentele pentru o anumită aplicație rămâne în vigoare.</w:t>
            </w:r>
          </w:p>
          <w:p w14:paraId="359A5670"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7CF2C519" w14:textId="77777777" w:rsidR="002F36A6" w:rsidRDefault="00000000">
            <w:pPr>
              <w:pBdr>
                <w:top w:val="nil"/>
                <w:left w:val="nil"/>
                <w:bottom w:val="nil"/>
                <w:right w:val="nil"/>
                <w:between w:val="nil"/>
              </w:pBdr>
              <w:spacing w:after="200" w:line="276" w:lineRule="auto"/>
              <w:ind w:left="-4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tc>
        <w:tc>
          <w:tcPr>
            <w:tcW w:w="1559" w:type="dxa"/>
          </w:tcPr>
          <w:p w14:paraId="08805C0D"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Prevedere UE neaplicabilă</w:t>
            </w:r>
          </w:p>
          <w:p w14:paraId="3F581DE3" w14:textId="77777777" w:rsidR="002F36A6" w:rsidRDefault="002F36A6">
            <w:pPr>
              <w:jc w:val="center"/>
              <w:rPr>
                <w:rFonts w:ascii="Times New Roman" w:eastAsia="Times New Roman" w:hAnsi="Times New Roman" w:cs="Times New Roman"/>
                <w:b/>
                <w:bCs/>
                <w:color w:val="000000"/>
                <w:sz w:val="22"/>
                <w:szCs w:val="22"/>
              </w:rPr>
            </w:pPr>
          </w:p>
        </w:tc>
        <w:tc>
          <w:tcPr>
            <w:tcW w:w="2589" w:type="dxa"/>
          </w:tcPr>
          <w:p w14:paraId="327F6C07"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Prevederea se referă la Comisia Europeană.</w:t>
            </w:r>
          </w:p>
        </w:tc>
      </w:tr>
      <w:tr w:rsidR="002F36A6" w14:paraId="0306EEED" w14:textId="77777777">
        <w:tc>
          <w:tcPr>
            <w:tcW w:w="6957" w:type="dxa"/>
          </w:tcPr>
          <w:p w14:paraId="47A74E3A" w14:textId="77777777" w:rsidR="002F36A6" w:rsidRDefault="00000000">
            <w:pPr>
              <w:ind w:firstLine="70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Articolul 8</w:t>
            </w:r>
          </w:p>
          <w:p w14:paraId="7870ECE5" w14:textId="77777777" w:rsidR="002F36A6" w:rsidRDefault="0000000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Declarația de conformitate și documentele justificative</w:t>
            </w:r>
          </w:p>
          <w:p w14:paraId="1F3D07A0"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Operatorii economici se asigură că materialele și articolele destinate să vină în contact cu alimentele vizate de prezentul regulament care nu sunt încă în contact cu alimentele, precum și bisfenolii și derivații bisfenolului destinați utilizării ca monomeri sau alte materii prime la fabricarea respectivelor materiale și articole destinate să vină în contact cu alimentele, sunt însoțite, în toate etapele de comercializare, cu excepția etapei de vânzare cu amănuntul, de o declarație în scris, astfel cum se menționează la articolul 16 alineatul (1) din Regulamentul (CE) nr. 1935/2004, care să ateste că acestea sunt conforme cu normele aplicabile lor („declarația de conformitate”).</w:t>
            </w:r>
          </w:p>
          <w:p w14:paraId="035A577A" w14:textId="77777777" w:rsidR="002F36A6" w:rsidRDefault="00000000">
            <w:pPr>
              <w:ind w:firstLine="70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p w14:paraId="3BDA8856" w14:textId="77777777" w:rsidR="002F36A6" w:rsidRDefault="002F36A6">
            <w:pPr>
              <w:ind w:firstLine="708"/>
              <w:rPr>
                <w:rFonts w:ascii="Times New Roman" w:eastAsia="Times New Roman" w:hAnsi="Times New Roman" w:cs="Times New Roman"/>
                <w:i/>
                <w:iCs/>
                <w:color w:val="000000"/>
                <w:sz w:val="22"/>
                <w:szCs w:val="22"/>
              </w:rPr>
            </w:pPr>
          </w:p>
        </w:tc>
        <w:tc>
          <w:tcPr>
            <w:tcW w:w="4877" w:type="dxa"/>
          </w:tcPr>
          <w:p w14:paraId="49AD1ABE" w14:textId="77777777" w:rsidR="002F36A6" w:rsidRDefault="00000000">
            <w:pPr>
              <w:shd w:val="clear" w:color="auto" w:fill="FFFFFF"/>
              <w:spacing w:before="60" w:after="120"/>
              <w:jc w:val="center"/>
              <w:rPr>
                <w:rFonts w:ascii="Times New Roman" w:eastAsia="Times New Roman" w:hAnsi="Times New Roman" w:cs="Times New Roman"/>
                <w:b/>
                <w:bCs/>
                <w:color w:val="333333"/>
                <w:sz w:val="22"/>
                <w:szCs w:val="22"/>
              </w:rPr>
            </w:pPr>
            <w:r>
              <w:rPr>
                <w:rFonts w:ascii="Times New Roman" w:eastAsia="Times New Roman" w:hAnsi="Times New Roman" w:cs="Times New Roman"/>
                <w:sz w:val="22"/>
                <w:szCs w:val="22"/>
              </w:rPr>
              <w:t>IV.</w:t>
            </w:r>
            <w:r>
              <w:rPr>
                <w:rFonts w:ascii="Times New Roman" w:eastAsia="Times New Roman" w:hAnsi="Times New Roman" w:cs="Times New Roman"/>
                <w:b/>
                <w:bCs/>
                <w:color w:val="333333"/>
                <w:sz w:val="22"/>
                <w:szCs w:val="22"/>
              </w:rPr>
              <w:t xml:space="preserve"> Declarația de conformitate și documentele justificative</w:t>
            </w:r>
          </w:p>
          <w:p w14:paraId="10E7BA27" w14:textId="77777777"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11</w:t>
            </w:r>
            <w:r>
              <w:rPr>
                <w:rFonts w:ascii="Times New Roman" w:eastAsia="Times New Roman" w:hAnsi="Times New Roman" w:cs="Times New Roman"/>
                <w:color w:val="000000"/>
                <w:sz w:val="22"/>
                <w:szCs w:val="22"/>
              </w:rPr>
              <w:t xml:space="preserve">. Operatorii economici se asigură că materialele și articolele destinate să vină în contact cu produsele alimentare vizate de prezentul regulament care nu sunt încă în contact cu produsele alimentare, precum și bisfenolii și derivații bisfenolului destinați utilizării ca monomeri sau alte materii prime la fabricarea respectivelor materiale și articole destinate să vină în contact cu produsele alimentare, sunt însoțite, în toate etapele de comercializare, cu excepția etapei de vânzare cu amănuntul, de o declarație în scris, astfel cum se menționează la punctul 19 din Regulamentul sanitar aprobat prin Hotărârea Guvernului nr.308/2011, care să ateste că acestea sunt conforme </w:t>
            </w:r>
            <w:r>
              <w:rPr>
                <w:rFonts w:ascii="Times New Roman" w:eastAsia="Times New Roman" w:hAnsi="Times New Roman" w:cs="Times New Roman"/>
                <w:color w:val="000000"/>
                <w:sz w:val="22"/>
                <w:szCs w:val="22"/>
              </w:rPr>
              <w:lastRenderedPageBreak/>
              <w:t>cu normele aplicabile lor („declarația de conformitate”).</w:t>
            </w:r>
          </w:p>
        </w:tc>
        <w:tc>
          <w:tcPr>
            <w:tcW w:w="1559" w:type="dxa"/>
          </w:tcPr>
          <w:p w14:paraId="24DD1674"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lastRenderedPageBreak/>
              <w:t>Compatibil</w:t>
            </w:r>
          </w:p>
        </w:tc>
        <w:tc>
          <w:tcPr>
            <w:tcW w:w="2589" w:type="dxa"/>
          </w:tcPr>
          <w:p w14:paraId="50B32107" w14:textId="77777777" w:rsidR="002F36A6" w:rsidRDefault="002F36A6">
            <w:pPr>
              <w:jc w:val="both"/>
              <w:rPr>
                <w:rFonts w:ascii="Times New Roman" w:eastAsia="Times New Roman" w:hAnsi="Times New Roman" w:cs="Times New Roman"/>
                <w:b/>
                <w:bCs/>
                <w:color w:val="000000"/>
                <w:sz w:val="22"/>
                <w:szCs w:val="22"/>
              </w:rPr>
            </w:pPr>
          </w:p>
        </w:tc>
      </w:tr>
      <w:tr w:rsidR="002F36A6" w14:paraId="4928A2DA" w14:textId="77777777">
        <w:trPr>
          <w:trHeight w:val="810"/>
        </w:trPr>
        <w:tc>
          <w:tcPr>
            <w:tcW w:w="6957" w:type="dxa"/>
          </w:tcPr>
          <w:p w14:paraId="3C08A45C"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Declarația de conformitate conține informațiile prevăzute în anexa III</w:t>
            </w:r>
          </w:p>
        </w:tc>
        <w:tc>
          <w:tcPr>
            <w:tcW w:w="4877" w:type="dxa"/>
          </w:tcPr>
          <w:p w14:paraId="329621FC" w14:textId="77777777"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sz w:val="22"/>
                <w:szCs w:val="22"/>
              </w:rPr>
              <w:t>2</w:t>
            </w:r>
            <w:r>
              <w:rPr>
                <w:rFonts w:ascii="Times New Roman" w:eastAsia="Times New Roman" w:hAnsi="Times New Roman" w:cs="Times New Roman"/>
                <w:color w:val="000000"/>
                <w:sz w:val="22"/>
                <w:szCs w:val="22"/>
              </w:rPr>
              <w:t>. Declarația de conformitate conține informațiile prevăzute în anexa nr. 3.</w:t>
            </w:r>
          </w:p>
          <w:p w14:paraId="44A292BE" w14:textId="77777777" w:rsidR="002F36A6" w:rsidRDefault="002F36A6">
            <w:pPr>
              <w:rPr>
                <w:rFonts w:ascii="Times New Roman" w:eastAsia="Times New Roman" w:hAnsi="Times New Roman" w:cs="Times New Roman"/>
                <w:sz w:val="22"/>
                <w:szCs w:val="22"/>
              </w:rPr>
            </w:pPr>
          </w:p>
        </w:tc>
        <w:tc>
          <w:tcPr>
            <w:tcW w:w="1559" w:type="dxa"/>
          </w:tcPr>
          <w:p w14:paraId="2BE466D4"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C</w:t>
            </w:r>
            <w:r>
              <w:rPr>
                <w:rFonts w:ascii="Times New Roman" w:eastAsia="Times New Roman" w:hAnsi="Times New Roman" w:cs="Times New Roman"/>
                <w:b/>
                <w:bCs/>
                <w:color w:val="000000"/>
                <w:sz w:val="22"/>
                <w:szCs w:val="22"/>
              </w:rPr>
              <w:t>ompatibil</w:t>
            </w:r>
          </w:p>
        </w:tc>
        <w:tc>
          <w:tcPr>
            <w:tcW w:w="2589" w:type="dxa"/>
          </w:tcPr>
          <w:p w14:paraId="7449AAC1" w14:textId="77777777" w:rsidR="002F36A6" w:rsidRDefault="002F36A6">
            <w:pPr>
              <w:jc w:val="both"/>
              <w:rPr>
                <w:rFonts w:ascii="Times New Roman" w:eastAsia="Times New Roman" w:hAnsi="Times New Roman" w:cs="Times New Roman"/>
                <w:b/>
                <w:bCs/>
                <w:color w:val="000000"/>
                <w:sz w:val="22"/>
                <w:szCs w:val="22"/>
              </w:rPr>
            </w:pPr>
          </w:p>
        </w:tc>
      </w:tr>
      <w:tr w:rsidR="002F36A6" w14:paraId="7BE88C55" w14:textId="77777777">
        <w:trPr>
          <w:trHeight w:val="1425"/>
        </w:trPr>
        <w:tc>
          <w:tcPr>
            <w:tcW w:w="6957" w:type="dxa"/>
          </w:tcPr>
          <w:p w14:paraId="36FC5F09" w14:textId="77777777" w:rsidR="002F36A6" w:rsidRDefault="00000000">
            <w:pPr>
              <w:rPr>
                <w:rFonts w:ascii="Times New Roman" w:eastAsia="Times New Roman" w:hAnsi="Times New Roman" w:cs="Times New Roman"/>
                <w:i/>
                <w:iCs/>
                <w:color w:val="000000"/>
                <w:sz w:val="22"/>
                <w:szCs w:val="22"/>
              </w:rPr>
            </w:pPr>
            <w:r>
              <w:rPr>
                <w:rFonts w:ascii="Times New Roman" w:eastAsia="Times New Roman" w:hAnsi="Times New Roman" w:cs="Times New Roman"/>
                <w:color w:val="000000"/>
                <w:sz w:val="22"/>
                <w:szCs w:val="22"/>
              </w:rPr>
              <w:t>(3)   Trebuie să fie disponibilă o documentație justificativă corespunzătoare pentru a demonstra această conformitate. Documentația respectivă se pune fără întârziere la dispoziția autorităților competente, la cererea</w:t>
            </w:r>
            <w:r>
              <w:rPr>
                <w:rFonts w:ascii="Times New Roman" w:eastAsia="Times New Roman" w:hAnsi="Times New Roman" w:cs="Times New Roman"/>
                <w:i/>
                <w:iCs/>
                <w:color w:val="000000"/>
                <w:sz w:val="22"/>
                <w:szCs w:val="22"/>
              </w:rPr>
              <w:t xml:space="preserve"> acestora</w:t>
            </w:r>
          </w:p>
          <w:p w14:paraId="0AD6ADF2"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68DBCFF0" w14:textId="77777777"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sz w:val="22"/>
                <w:szCs w:val="22"/>
              </w:rPr>
              <w:t>3</w:t>
            </w:r>
            <w:r>
              <w:rPr>
                <w:rFonts w:ascii="Times New Roman" w:eastAsia="Times New Roman" w:hAnsi="Times New Roman" w:cs="Times New Roman"/>
                <w:color w:val="000000"/>
                <w:sz w:val="22"/>
                <w:szCs w:val="22"/>
              </w:rPr>
              <w:t>.</w:t>
            </w:r>
            <w:r>
              <w:rPr>
                <w:rFonts w:ascii="Times New Roman" w:eastAsia="Times New Roman" w:hAnsi="Times New Roman" w:cs="Times New Roman"/>
                <w:sz w:val="22"/>
                <w:szCs w:val="22"/>
              </w:rPr>
              <w:t xml:space="preserve"> Conformitatea este demonstrată prin documente justificative corespunzătoare. Documentația respectivă se prezintă Agenției Naționale pentru Siguranța Alimentelor, la solicitarea acesteia.</w:t>
            </w:r>
          </w:p>
        </w:tc>
        <w:tc>
          <w:tcPr>
            <w:tcW w:w="1559" w:type="dxa"/>
          </w:tcPr>
          <w:p w14:paraId="53C51EC6"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C</w:t>
            </w:r>
            <w:r>
              <w:rPr>
                <w:rFonts w:ascii="Times New Roman" w:eastAsia="Times New Roman" w:hAnsi="Times New Roman" w:cs="Times New Roman"/>
                <w:b/>
                <w:bCs/>
                <w:color w:val="000000"/>
                <w:sz w:val="22"/>
                <w:szCs w:val="22"/>
              </w:rPr>
              <w:t>ompatibil</w:t>
            </w:r>
          </w:p>
        </w:tc>
        <w:tc>
          <w:tcPr>
            <w:tcW w:w="2589" w:type="dxa"/>
          </w:tcPr>
          <w:p w14:paraId="4C3A840C" w14:textId="77777777" w:rsidR="002F36A6" w:rsidRDefault="002F36A6">
            <w:pPr>
              <w:jc w:val="both"/>
              <w:rPr>
                <w:rFonts w:ascii="Times New Roman" w:eastAsia="Times New Roman" w:hAnsi="Times New Roman" w:cs="Times New Roman"/>
                <w:b/>
                <w:bCs/>
                <w:color w:val="000000"/>
                <w:sz w:val="22"/>
                <w:szCs w:val="22"/>
              </w:rPr>
            </w:pPr>
          </w:p>
        </w:tc>
      </w:tr>
      <w:tr w:rsidR="002F36A6" w14:paraId="1A2CDCB9" w14:textId="77777777">
        <w:trPr>
          <w:trHeight w:val="1560"/>
        </w:trPr>
        <w:tc>
          <w:tcPr>
            <w:tcW w:w="6957" w:type="dxa"/>
          </w:tcPr>
          <w:p w14:paraId="235CA020" w14:textId="77777777" w:rsidR="002F36A6" w:rsidRDefault="00000000">
            <w:pPr>
              <w:ind w:firstLine="70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Articolul 9</w:t>
            </w:r>
          </w:p>
          <w:p w14:paraId="3377C038" w14:textId="77777777" w:rsidR="002F36A6" w:rsidRDefault="0000000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Verificarea conformității cu cerințele prezentului regulament</w:t>
            </w:r>
          </w:p>
          <w:p w14:paraId="141600F5"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Pentru verificarea conformității cu cerințele prezentului regulament, se selectează metode adecvate de efectuare a testelor, în conformitate cu articolul 34 din Regulamentul (UE) 2017/625 al Parlamentului European și al Consiliului </w:t>
            </w:r>
            <w:hyperlink r:id="rId12" w:anchor="ntr12-L_202403190RO.000101-E0012">
              <w:r w:rsidR="002F36A6">
                <w:rPr>
                  <w:rFonts w:ascii="Times New Roman" w:eastAsia="Times New Roman" w:hAnsi="Times New Roman" w:cs="Times New Roman"/>
                  <w:color w:val="000080"/>
                  <w:sz w:val="22"/>
                  <w:szCs w:val="22"/>
                  <w:u w:val="single"/>
                </w:rPr>
                <w:t>(</w:t>
              </w:r>
            </w:hyperlink>
            <w:hyperlink r:id="rId13" w:anchor="ntr12-L_202403190RO.000101-E0012">
              <w:r w:rsidR="002F36A6">
                <w:rPr>
                  <w:rFonts w:ascii="Times New Roman" w:eastAsia="Times New Roman" w:hAnsi="Times New Roman" w:cs="Times New Roman"/>
                  <w:color w:val="000080"/>
                  <w:sz w:val="22"/>
                  <w:szCs w:val="22"/>
                  <w:u w:val="single"/>
                  <w:vertAlign w:val="superscript"/>
                </w:rPr>
                <w:t>12</w:t>
              </w:r>
            </w:hyperlink>
            <w:hyperlink r:id="rId14" w:anchor="ntr12-L_202403190RO.000101-E0012">
              <w:r w:rsidR="002F36A6">
                <w:rPr>
                  <w:rFonts w:ascii="Times New Roman" w:eastAsia="Times New Roman" w:hAnsi="Times New Roman" w:cs="Times New Roman"/>
                  <w:color w:val="000080"/>
                  <w:sz w:val="22"/>
                  <w:szCs w:val="22"/>
                  <w:u w:val="single"/>
                </w:rPr>
                <w:t>)</w:t>
              </w:r>
            </w:hyperlink>
            <w:r>
              <w:rPr>
                <w:rFonts w:ascii="Times New Roman" w:eastAsia="Times New Roman" w:hAnsi="Times New Roman" w:cs="Times New Roman"/>
                <w:color w:val="000000"/>
                <w:sz w:val="22"/>
                <w:szCs w:val="22"/>
              </w:rPr>
              <w:t>.</w:t>
            </w:r>
          </w:p>
        </w:tc>
        <w:tc>
          <w:tcPr>
            <w:tcW w:w="4877" w:type="dxa"/>
          </w:tcPr>
          <w:p w14:paraId="4EBA6E91" w14:textId="66808FC0" w:rsidR="00D77747" w:rsidRDefault="00D77747">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sidRPr="00D77747">
              <w:rPr>
                <w:rFonts w:ascii="Times New Roman" w:eastAsia="Times New Roman" w:hAnsi="Times New Roman" w:cs="Times New Roman"/>
                <w:color w:val="000000"/>
                <w:sz w:val="22"/>
                <w:szCs w:val="22"/>
              </w:rPr>
              <w:t xml:space="preserve">          V. </w:t>
            </w:r>
            <w:r w:rsidRPr="00D77747">
              <w:rPr>
                <w:rFonts w:ascii="Times New Roman" w:eastAsia="Times New Roman" w:hAnsi="Times New Roman" w:cs="Times New Roman"/>
                <w:b/>
                <w:bCs/>
                <w:color w:val="000000"/>
                <w:sz w:val="22"/>
                <w:szCs w:val="22"/>
              </w:rPr>
              <w:t>Verificarea conformității cu cerințele prezentului regulament</w:t>
            </w:r>
          </w:p>
          <w:p w14:paraId="2B2F7DF6" w14:textId="6130A2F1"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sz w:val="22"/>
                <w:szCs w:val="22"/>
              </w:rPr>
              <w:t>4</w:t>
            </w:r>
            <w:r>
              <w:rPr>
                <w:rFonts w:ascii="Times New Roman" w:eastAsia="Times New Roman" w:hAnsi="Times New Roman" w:cs="Times New Roman"/>
                <w:color w:val="000000"/>
                <w:sz w:val="22"/>
                <w:szCs w:val="22"/>
              </w:rPr>
              <w:t>. Pentru verificarea conformității cu cerințele prezentului regulament, se selectează metode adecvate de efectuare a testelor, în conformitate cu articolul 32 din Legea nr. 82/2024 privind controalele oficiale în domeniul</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agroalimentar.</w:t>
            </w:r>
          </w:p>
        </w:tc>
        <w:tc>
          <w:tcPr>
            <w:tcW w:w="1559" w:type="dxa"/>
          </w:tcPr>
          <w:p w14:paraId="580020BB"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Compatibil</w:t>
            </w:r>
          </w:p>
        </w:tc>
        <w:tc>
          <w:tcPr>
            <w:tcW w:w="2589" w:type="dxa"/>
          </w:tcPr>
          <w:p w14:paraId="17F48206" w14:textId="77777777" w:rsidR="002F36A6" w:rsidRDefault="002F36A6">
            <w:pPr>
              <w:jc w:val="both"/>
              <w:rPr>
                <w:rFonts w:ascii="Times New Roman" w:eastAsia="Times New Roman" w:hAnsi="Times New Roman" w:cs="Times New Roman"/>
                <w:b/>
                <w:bCs/>
                <w:color w:val="000000"/>
                <w:sz w:val="22"/>
                <w:szCs w:val="22"/>
              </w:rPr>
            </w:pPr>
          </w:p>
        </w:tc>
      </w:tr>
      <w:tr w:rsidR="002F36A6" w14:paraId="3D31D5E4" w14:textId="77777777">
        <w:trPr>
          <w:trHeight w:val="5747"/>
        </w:trPr>
        <w:tc>
          <w:tcPr>
            <w:tcW w:w="6957" w:type="dxa"/>
          </w:tcPr>
          <w:p w14:paraId="461C760E"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   În vederea selectării metodelor utilizate pentru a verifica dacă un material sau articol destinat să vină în contact cu alimentele conține BPA rezidual, un alt bisfenol periculos sau un derivat periculos al bisfenolului sau dacă eliberează substanțele respective în alimente peste limita de detecție specificată sau limita de migrare specifică, se aplică următoarele norme suplimentare:</w:t>
            </w:r>
          </w:p>
          <w:tbl>
            <w:tblPr>
              <w:tblStyle w:val="a9"/>
              <w:tblW w:w="6741" w:type="dxa"/>
              <w:tblInd w:w="0" w:type="dxa"/>
              <w:tblLayout w:type="fixed"/>
              <w:tblLook w:val="0400" w:firstRow="0" w:lastRow="0" w:firstColumn="0" w:lastColumn="0" w:noHBand="0" w:noVBand="1"/>
            </w:tblPr>
            <w:tblGrid>
              <w:gridCol w:w="222"/>
              <w:gridCol w:w="6519"/>
            </w:tblGrid>
            <w:tr w:rsidR="002F36A6" w14:paraId="331B7E81" w14:textId="77777777">
              <w:tc>
                <w:tcPr>
                  <w:tcW w:w="222" w:type="dxa"/>
                </w:tcPr>
                <w:p w14:paraId="4CE9D08D" w14:textId="77777777" w:rsidR="002F36A6" w:rsidRDefault="002F36A6">
                  <w:pPr>
                    <w:ind w:firstLine="708"/>
                    <w:jc w:val="both"/>
                    <w:rPr>
                      <w:color w:val="000000"/>
                      <w:sz w:val="22"/>
                      <w:szCs w:val="22"/>
                    </w:rPr>
                  </w:pPr>
                </w:p>
              </w:tc>
              <w:tc>
                <w:tcPr>
                  <w:tcW w:w="6519" w:type="dxa"/>
                </w:tcPr>
                <w:p w14:paraId="40F2866B" w14:textId="77777777" w:rsidR="002F36A6" w:rsidRDefault="002F36A6">
                  <w:pPr>
                    <w:jc w:val="both"/>
                    <w:rPr>
                      <w:color w:val="000000"/>
                      <w:sz w:val="22"/>
                      <w:szCs w:val="22"/>
                    </w:rPr>
                  </w:pPr>
                </w:p>
              </w:tc>
            </w:tr>
          </w:tbl>
          <w:p w14:paraId="40D0E737" w14:textId="77777777" w:rsidR="002F36A6" w:rsidRDefault="002F36A6">
            <w:pPr>
              <w:widowControl w:val="0"/>
              <w:pBdr>
                <w:top w:val="nil"/>
                <w:left w:val="nil"/>
                <w:bottom w:val="nil"/>
                <w:right w:val="nil"/>
                <w:between w:val="nil"/>
              </w:pBdr>
              <w:jc w:val="both"/>
              <w:rPr>
                <w:rFonts w:ascii="Times New Roman" w:eastAsia="Times New Roman" w:hAnsi="Times New Roman" w:cs="Times New Roman"/>
                <w:color w:val="000000"/>
                <w:sz w:val="22"/>
                <w:szCs w:val="22"/>
                <w:highlight w:val="white"/>
              </w:rPr>
            </w:pPr>
          </w:p>
          <w:p w14:paraId="29430658"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w:t>
            </w:r>
          </w:p>
        </w:tc>
        <w:tc>
          <w:tcPr>
            <w:tcW w:w="4877" w:type="dxa"/>
          </w:tcPr>
          <w:p w14:paraId="0B571DE3" w14:textId="77777777" w:rsidR="002F36A6" w:rsidRDefault="00000000">
            <w:pPr>
              <w:widowControl w:val="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sz w:val="22"/>
                <w:szCs w:val="22"/>
              </w:rPr>
              <w:t>5</w:t>
            </w:r>
            <w:r>
              <w:rPr>
                <w:rFonts w:ascii="Times New Roman" w:eastAsia="Times New Roman" w:hAnsi="Times New Roman" w:cs="Times New Roman"/>
                <w:color w:val="000000"/>
                <w:sz w:val="22"/>
                <w:szCs w:val="22"/>
              </w:rPr>
              <w:t xml:space="preserve">. În scopul selectării metodelor utilizate pentru a verifica dacă un material sau articol destinat să vină în contact cu produsele alimentare conține BPA rezidual, un alt bisfenol periculos sau un derivat periculos al bisfenolului sau dacă eliberează substanțele respective în produsele alimentare peste limita de detecție specificată sau limita de migrare specifică, se aplică următoarele norme suplimentare: </w:t>
            </w:r>
          </w:p>
          <w:p w14:paraId="28223E9F" w14:textId="77777777" w:rsidR="002F36A6" w:rsidRDefault="002F36A6">
            <w:pPr>
              <w:widowControl w:val="0"/>
              <w:pBdr>
                <w:top w:val="nil"/>
                <w:left w:val="nil"/>
                <w:bottom w:val="nil"/>
                <w:right w:val="nil"/>
                <w:between w:val="nil"/>
              </w:pBdr>
              <w:jc w:val="both"/>
              <w:rPr>
                <w:rFonts w:ascii="Times New Roman" w:eastAsia="Times New Roman" w:hAnsi="Times New Roman" w:cs="Times New Roman"/>
                <w:color w:val="000000"/>
                <w:sz w:val="22"/>
                <w:szCs w:val="22"/>
              </w:rPr>
            </w:pPr>
          </w:p>
          <w:p w14:paraId="44C9133B" w14:textId="77777777" w:rsidR="002F36A6" w:rsidRDefault="002F36A6">
            <w:pPr>
              <w:widowControl w:val="0"/>
              <w:pBdr>
                <w:top w:val="nil"/>
                <w:left w:val="nil"/>
                <w:bottom w:val="nil"/>
                <w:right w:val="nil"/>
                <w:between w:val="nil"/>
              </w:pBdr>
              <w:jc w:val="both"/>
              <w:rPr>
                <w:rFonts w:ascii="Times New Roman" w:eastAsia="Times New Roman" w:hAnsi="Times New Roman" w:cs="Times New Roman"/>
                <w:color w:val="000000"/>
                <w:sz w:val="22"/>
                <w:szCs w:val="22"/>
              </w:rPr>
            </w:pPr>
          </w:p>
          <w:p w14:paraId="70F3A47C" w14:textId="77777777" w:rsidR="002F36A6" w:rsidRDefault="002F36A6">
            <w:pPr>
              <w:widowControl w:val="0"/>
              <w:pBdr>
                <w:top w:val="nil"/>
                <w:left w:val="nil"/>
                <w:bottom w:val="nil"/>
                <w:right w:val="nil"/>
                <w:between w:val="nil"/>
              </w:pBdr>
              <w:jc w:val="both"/>
              <w:rPr>
                <w:rFonts w:ascii="Times New Roman" w:eastAsia="Times New Roman" w:hAnsi="Times New Roman" w:cs="Times New Roman"/>
                <w:color w:val="000000"/>
                <w:sz w:val="22"/>
                <w:szCs w:val="22"/>
              </w:rPr>
            </w:pPr>
          </w:p>
        </w:tc>
        <w:tc>
          <w:tcPr>
            <w:tcW w:w="1559" w:type="dxa"/>
          </w:tcPr>
          <w:p w14:paraId="4DFA1205"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C</w:t>
            </w:r>
            <w:r>
              <w:rPr>
                <w:rFonts w:ascii="Times New Roman" w:eastAsia="Times New Roman" w:hAnsi="Times New Roman" w:cs="Times New Roman"/>
                <w:b/>
                <w:bCs/>
                <w:color w:val="000000"/>
                <w:sz w:val="22"/>
                <w:szCs w:val="22"/>
              </w:rPr>
              <w:t>ompatibil</w:t>
            </w:r>
          </w:p>
        </w:tc>
        <w:tc>
          <w:tcPr>
            <w:tcW w:w="2589" w:type="dxa"/>
          </w:tcPr>
          <w:p w14:paraId="0D923617" w14:textId="77777777" w:rsidR="002F36A6" w:rsidRDefault="002F36A6">
            <w:pPr>
              <w:jc w:val="both"/>
              <w:rPr>
                <w:rFonts w:ascii="Times New Roman" w:eastAsia="Times New Roman" w:hAnsi="Times New Roman" w:cs="Times New Roman"/>
                <w:b/>
                <w:bCs/>
                <w:color w:val="000000"/>
                <w:sz w:val="22"/>
                <w:szCs w:val="22"/>
              </w:rPr>
            </w:pPr>
          </w:p>
        </w:tc>
      </w:tr>
      <w:tr w:rsidR="002F36A6" w14:paraId="6CFE1D45" w14:textId="77777777">
        <w:tc>
          <w:tcPr>
            <w:tcW w:w="6957" w:type="dxa"/>
          </w:tcPr>
          <w:p w14:paraId="3BE754E2" w14:textId="77777777" w:rsidR="002F36A6" w:rsidRDefault="00000000">
            <w:pPr>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a) în cazul în care laboratorul de referință al Uniunii Europene („EURL”) pentru materialele destinate să vină în contact cu alimentele a elaborat sau a recomandat o metodă, se utilizează metoda respectivă;</w:t>
            </w:r>
          </w:p>
          <w:p w14:paraId="34B03FC3" w14:textId="77777777" w:rsidR="002F36A6" w:rsidRDefault="002F36A6">
            <w:pPr>
              <w:jc w:val="both"/>
              <w:rPr>
                <w:rFonts w:ascii="Times New Roman" w:eastAsia="Times New Roman" w:hAnsi="Times New Roman" w:cs="Times New Roman"/>
                <w:sz w:val="22"/>
                <w:szCs w:val="22"/>
                <w:highlight w:val="white"/>
              </w:rPr>
            </w:pPr>
          </w:p>
        </w:tc>
        <w:tc>
          <w:tcPr>
            <w:tcW w:w="4877" w:type="dxa"/>
          </w:tcPr>
          <w:p w14:paraId="688AF7A0" w14:textId="77777777" w:rsidR="002F36A6" w:rsidRDefault="00000000">
            <w:pPr>
              <w:widowControl w:val="0"/>
              <w:tabs>
                <w:tab w:val="left" w:pos="426"/>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15.1. în cazul în care </w:t>
            </w:r>
            <w:r>
              <w:rPr>
                <w:rFonts w:ascii="Times New Roman" w:eastAsia="Times New Roman" w:hAnsi="Times New Roman" w:cs="Times New Roman"/>
                <w:sz w:val="22"/>
                <w:szCs w:val="22"/>
                <w:highlight w:val="white"/>
              </w:rPr>
              <w:t>laboratorul de referință</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A0A0A"/>
                <w:highlight w:val="white"/>
              </w:rPr>
              <w:t xml:space="preserve"> </w:t>
            </w:r>
            <w:r>
              <w:rPr>
                <w:rFonts w:ascii="Times New Roman" w:eastAsia="Times New Roman" w:hAnsi="Times New Roman" w:cs="Times New Roman"/>
                <w:sz w:val="22"/>
                <w:szCs w:val="22"/>
              </w:rPr>
              <w:t xml:space="preserve">pentru materialele destinate să vină în contact cu produsele alimentare a recomandat o metodă, se utilizează metoda respectivă; </w:t>
            </w:r>
          </w:p>
        </w:tc>
        <w:tc>
          <w:tcPr>
            <w:tcW w:w="1559" w:type="dxa"/>
          </w:tcPr>
          <w:p w14:paraId="364AA285" w14:textId="77777777" w:rsidR="002F36A6"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Compatibil</w:t>
            </w:r>
          </w:p>
        </w:tc>
        <w:tc>
          <w:tcPr>
            <w:tcW w:w="2589" w:type="dxa"/>
          </w:tcPr>
          <w:p w14:paraId="6849A9A5"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În prezent, Republica Moldova nu dispune de un laborator național de referință pentru determinarea materialelor destinate să vină în contact cu produsele alimentare. În conformitate cu Legea nr. 82/2024 privind controalele oficiale în domeniul agroalimentar, Guvernul  urmează să desemneze un astfel de laborator (sursa: art. 1 alin. (2) și art. 2 din Legea nr. 82/2024).  La moment, singurul laborator </w:t>
            </w:r>
            <w:r>
              <w:rPr>
                <w:rFonts w:ascii="Times New Roman" w:eastAsia="Times New Roman" w:hAnsi="Times New Roman" w:cs="Times New Roman"/>
                <w:b/>
                <w:bCs/>
                <w:sz w:val="22"/>
                <w:szCs w:val="22"/>
              </w:rPr>
              <w:lastRenderedPageBreak/>
              <w:t>acreditat</w:t>
            </w:r>
            <w:r>
              <w:rPr>
                <w:rFonts w:ascii="Times New Roman" w:eastAsia="Times New Roman" w:hAnsi="Times New Roman" w:cs="Times New Roman"/>
                <w:sz w:val="22"/>
                <w:szCs w:val="22"/>
              </w:rPr>
              <w:t xml:space="preserve"> pentru determinarea materialelor destinate să vină în contact cu produsele alimentare este laboratorul din cadrul Agenției Naționale pentru Sănătate Publică.</w:t>
            </w:r>
          </w:p>
        </w:tc>
      </w:tr>
      <w:tr w:rsidR="002F36A6" w14:paraId="533A27B1" w14:textId="77777777">
        <w:tc>
          <w:tcPr>
            <w:tcW w:w="6957" w:type="dxa"/>
          </w:tcPr>
          <w:p w14:paraId="6BB5C358"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highlight w:val="white"/>
              </w:rPr>
              <w:lastRenderedPageBreak/>
              <w:t>(b)o metodă are o limită de detecție de 1 μg/kg, cu excepția cazului în care în anexa II este stabilită o limită de detecție diferită sau ca parte a metodei recomandate în conformitate cu litera (a);</w:t>
            </w:r>
          </w:p>
        </w:tc>
        <w:tc>
          <w:tcPr>
            <w:tcW w:w="4877" w:type="dxa"/>
          </w:tcPr>
          <w:p w14:paraId="3713FABC" w14:textId="77777777" w:rsidR="002F36A6" w:rsidRDefault="00000000">
            <w:pPr>
              <w:widowControl w:val="0"/>
              <w:tabs>
                <w:tab w:val="left" w:pos="426"/>
              </w:tabs>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15.2. metodă are o limită de detecție de 1 μg/kg, cu excepția cazului în care în anexa nr. 2  este stabilită o limită de detecție diferită sau ca parte a metodei recomandate în conformitate cu sbptc. 15.1; </w:t>
            </w:r>
          </w:p>
        </w:tc>
        <w:tc>
          <w:tcPr>
            <w:tcW w:w="1559" w:type="dxa"/>
          </w:tcPr>
          <w:p w14:paraId="1486CA34" w14:textId="77777777" w:rsidR="002F36A6"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Compatibil</w:t>
            </w:r>
          </w:p>
        </w:tc>
        <w:tc>
          <w:tcPr>
            <w:tcW w:w="2589" w:type="dxa"/>
          </w:tcPr>
          <w:p w14:paraId="1207E072" w14:textId="77777777" w:rsidR="002F36A6" w:rsidRDefault="002F36A6">
            <w:pPr>
              <w:jc w:val="both"/>
              <w:rPr>
                <w:rFonts w:ascii="Times New Roman" w:eastAsia="Times New Roman" w:hAnsi="Times New Roman" w:cs="Times New Roman"/>
                <w:b/>
                <w:bCs/>
                <w:color w:val="000000"/>
                <w:sz w:val="22"/>
                <w:szCs w:val="22"/>
              </w:rPr>
            </w:pPr>
          </w:p>
        </w:tc>
      </w:tr>
      <w:tr w:rsidR="002F36A6" w14:paraId="37157B79" w14:textId="77777777">
        <w:tc>
          <w:tcPr>
            <w:tcW w:w="6957" w:type="dxa"/>
          </w:tcPr>
          <w:p w14:paraId="79118691"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highlight w:val="white"/>
              </w:rPr>
              <w:t>c) pentru a verifica dacă un material sau articol destinat să vină în contact cu alimentele conține BPA rezidual, un alt bisfenol periculos sau derivat periculos al bisfenolului, se utilizează o metodă de extracție.</w:t>
            </w:r>
          </w:p>
        </w:tc>
        <w:tc>
          <w:tcPr>
            <w:tcW w:w="4877" w:type="dxa"/>
          </w:tcPr>
          <w:p w14:paraId="30645DA4" w14:textId="77777777" w:rsidR="002F36A6" w:rsidRDefault="00000000">
            <w:pPr>
              <w:widowControl w:val="0"/>
              <w:tabs>
                <w:tab w:val="left" w:pos="426"/>
              </w:tabs>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15.3. pentru a verifica dacă un material sau articol destinat să vină în contact cu produsele alimentare conține BPA rezidual, un alt bisfenol periculos sau derivat periculos al bisfenolului, se utilizează o metodă de extracție.</w:t>
            </w:r>
          </w:p>
        </w:tc>
        <w:tc>
          <w:tcPr>
            <w:tcW w:w="1559" w:type="dxa"/>
          </w:tcPr>
          <w:p w14:paraId="156924E3" w14:textId="77777777" w:rsidR="002F36A6"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Compatibil</w:t>
            </w:r>
          </w:p>
        </w:tc>
        <w:tc>
          <w:tcPr>
            <w:tcW w:w="2589" w:type="dxa"/>
          </w:tcPr>
          <w:p w14:paraId="7DB8D6CD" w14:textId="77777777" w:rsidR="002F36A6" w:rsidRDefault="002F36A6">
            <w:pPr>
              <w:jc w:val="both"/>
              <w:rPr>
                <w:rFonts w:ascii="Times New Roman" w:eastAsia="Times New Roman" w:hAnsi="Times New Roman" w:cs="Times New Roman"/>
                <w:b/>
                <w:bCs/>
                <w:color w:val="000000"/>
                <w:sz w:val="22"/>
                <w:szCs w:val="22"/>
              </w:rPr>
            </w:pPr>
          </w:p>
        </w:tc>
      </w:tr>
      <w:tr w:rsidR="002F36A6" w14:paraId="7D15E5D2" w14:textId="77777777">
        <w:tc>
          <w:tcPr>
            <w:tcW w:w="6957" w:type="dxa"/>
          </w:tcPr>
          <w:p w14:paraId="4E2E9451" w14:textId="77777777" w:rsidR="002F36A6"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(3) </w:t>
            </w:r>
            <w:r>
              <w:rPr>
                <w:rFonts w:ascii="Times New Roman" w:eastAsia="Times New Roman" w:hAnsi="Times New Roman" w:cs="Times New Roman"/>
                <w:sz w:val="22"/>
                <w:szCs w:val="22"/>
              </w:rPr>
              <w:t>  EURL pentru materialele destinate să vină în contact cu alimentele consultă laboratoarele naționale de referință și părțile interesate relevante pentru a identifica metodele posibile în sensul alineatului (2). În cazul în care EURL ajunge la concluzia că nu există o metodă adecvată la nivelul Uniunii în scopul specific al verificării care decurge din alineatul (2), acesta finalizează elaborarea unei astfel de metode în termenul convenit cu Comisia.</w:t>
            </w:r>
          </w:p>
          <w:p w14:paraId="6BFCCC94"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5C412BD8"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tc>
        <w:tc>
          <w:tcPr>
            <w:tcW w:w="1559" w:type="dxa"/>
          </w:tcPr>
          <w:p w14:paraId="4B3BF4D4"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 xml:space="preserve">Prevedere UE neaplicabilă </w:t>
            </w:r>
          </w:p>
        </w:tc>
        <w:tc>
          <w:tcPr>
            <w:tcW w:w="2589" w:type="dxa"/>
          </w:tcPr>
          <w:p w14:paraId="562C506A" w14:textId="77777777" w:rsidR="002F36A6" w:rsidRDefault="002F36A6">
            <w:pPr>
              <w:jc w:val="both"/>
              <w:rPr>
                <w:rFonts w:ascii="Times New Roman" w:eastAsia="Times New Roman" w:hAnsi="Times New Roman" w:cs="Times New Roman"/>
                <w:b/>
                <w:bCs/>
                <w:color w:val="000000"/>
                <w:sz w:val="22"/>
                <w:szCs w:val="22"/>
              </w:rPr>
            </w:pPr>
          </w:p>
        </w:tc>
      </w:tr>
      <w:tr w:rsidR="002F36A6" w14:paraId="10509807" w14:textId="77777777">
        <w:tc>
          <w:tcPr>
            <w:tcW w:w="6957" w:type="dxa"/>
          </w:tcPr>
          <w:p w14:paraId="4C1E9808" w14:textId="77777777" w:rsidR="002F36A6" w:rsidRDefault="00000000">
            <w:pPr>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(4)   Următoarele norme se aplică în scopul verificării cu limite specifice de detecție sau de migrare:</w:t>
            </w:r>
          </w:p>
          <w:p w14:paraId="4CBB56BA" w14:textId="77777777" w:rsidR="002F36A6" w:rsidRDefault="00000000">
            <w:pPr>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(a)</w:t>
            </w:r>
            <w:r>
              <w:rPr>
                <w:rFonts w:ascii="Times New Roman" w:eastAsia="Times New Roman" w:hAnsi="Times New Roman" w:cs="Times New Roman"/>
                <w:color w:val="000000"/>
                <w:sz w:val="22"/>
                <w:szCs w:val="22"/>
                <w:highlight w:val="white"/>
              </w:rPr>
              <w:tab/>
              <w:t>rezultatele testelor se exprimă în conformitate cu normele prevăzute la articolul 17 din Regulamentul (UE) nr. 10/2011;</w:t>
            </w:r>
          </w:p>
          <w:p w14:paraId="49FB0605" w14:textId="77777777" w:rsidR="002F36A6" w:rsidRDefault="002F36A6">
            <w:pPr>
              <w:jc w:val="both"/>
              <w:rPr>
                <w:rFonts w:ascii="Times New Roman" w:eastAsia="Times New Roman" w:hAnsi="Times New Roman" w:cs="Times New Roman"/>
                <w:color w:val="000000"/>
                <w:sz w:val="22"/>
                <w:szCs w:val="22"/>
                <w:highlight w:val="white"/>
              </w:rPr>
            </w:pPr>
          </w:p>
          <w:p w14:paraId="3E22CF99"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5882FBFE" w14:textId="77777777" w:rsidR="002F36A6" w:rsidRDefault="00000000">
            <w:pPr>
              <w:widowControl w:val="0"/>
              <w:pBdr>
                <w:top w:val="nil"/>
                <w:left w:val="nil"/>
                <w:bottom w:val="nil"/>
                <w:right w:val="nil"/>
                <w:between w:val="nil"/>
              </w:pBdr>
              <w:tabs>
                <w:tab w:val="left" w:pos="0"/>
              </w:tabs>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sz w:val="22"/>
                <w:szCs w:val="22"/>
              </w:rPr>
              <w:t>6</w:t>
            </w:r>
            <w:r>
              <w:rPr>
                <w:rFonts w:ascii="Times New Roman" w:eastAsia="Times New Roman" w:hAnsi="Times New Roman" w:cs="Times New Roman"/>
                <w:color w:val="000000"/>
                <w:sz w:val="22"/>
                <w:szCs w:val="22"/>
              </w:rPr>
              <w:t>. Următoarele norme se aplică în scopul verificării cu limite specifice de detecție sau de migrare:</w:t>
            </w:r>
          </w:p>
          <w:p w14:paraId="340A3031" w14:textId="77777777" w:rsidR="002F36A6" w:rsidRDefault="00000000">
            <w:pPr>
              <w:widowControl w:val="0"/>
              <w:pBdr>
                <w:top w:val="nil"/>
                <w:left w:val="nil"/>
                <w:bottom w:val="nil"/>
                <w:right w:val="nil"/>
                <w:between w:val="nil"/>
              </w:pBdr>
              <w:tabs>
                <w:tab w:val="left" w:pos="426"/>
              </w:tabs>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16.1 </w:t>
            </w:r>
            <w:r>
              <w:rPr>
                <w:rFonts w:ascii="Times New Roman" w:eastAsia="Times New Roman" w:hAnsi="Times New Roman" w:cs="Times New Roman"/>
                <w:color w:val="000000"/>
                <w:sz w:val="22"/>
                <w:szCs w:val="22"/>
              </w:rPr>
              <w:t>rezultatele testelor se exprimă în conformitate cu normele prevăzute la pct. 36-40</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din  Regulamentul sanitar</w:t>
            </w:r>
            <w:r>
              <w:rPr>
                <w:rFonts w:ascii="Times New Roman" w:eastAsia="Times New Roman" w:hAnsi="Times New Roman" w:cs="Times New Roman"/>
                <w:sz w:val="22"/>
                <w:szCs w:val="22"/>
              </w:rPr>
              <w:t xml:space="preserve"> aprobat prin Hotărârea Guvernului  nr. 278/2013;</w:t>
            </w:r>
          </w:p>
          <w:p w14:paraId="05E79761" w14:textId="77777777" w:rsidR="002F36A6" w:rsidRDefault="002F36A6">
            <w:pPr>
              <w:widowControl w:val="0"/>
              <w:pBdr>
                <w:top w:val="nil"/>
                <w:left w:val="nil"/>
                <w:bottom w:val="nil"/>
                <w:right w:val="nil"/>
                <w:between w:val="nil"/>
              </w:pBdr>
              <w:tabs>
                <w:tab w:val="left" w:pos="426"/>
              </w:tabs>
              <w:jc w:val="both"/>
              <w:rPr>
                <w:rFonts w:ascii="Times New Roman" w:eastAsia="Times New Roman" w:hAnsi="Times New Roman" w:cs="Times New Roman"/>
                <w:color w:val="000000"/>
                <w:sz w:val="22"/>
                <w:szCs w:val="22"/>
              </w:rPr>
            </w:pPr>
          </w:p>
        </w:tc>
        <w:tc>
          <w:tcPr>
            <w:tcW w:w="1559" w:type="dxa"/>
          </w:tcPr>
          <w:p w14:paraId="20A713F8"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C</w:t>
            </w:r>
            <w:r>
              <w:rPr>
                <w:rFonts w:ascii="Times New Roman" w:eastAsia="Times New Roman" w:hAnsi="Times New Roman" w:cs="Times New Roman"/>
                <w:b/>
                <w:bCs/>
                <w:color w:val="000000"/>
                <w:sz w:val="22"/>
                <w:szCs w:val="22"/>
              </w:rPr>
              <w:t>ompatibil</w:t>
            </w:r>
          </w:p>
        </w:tc>
        <w:tc>
          <w:tcPr>
            <w:tcW w:w="2589" w:type="dxa"/>
          </w:tcPr>
          <w:p w14:paraId="44B5DF9E" w14:textId="77777777" w:rsidR="002F36A6" w:rsidRDefault="002F36A6">
            <w:pPr>
              <w:jc w:val="both"/>
              <w:rPr>
                <w:rFonts w:ascii="Times New Roman" w:eastAsia="Times New Roman" w:hAnsi="Times New Roman" w:cs="Times New Roman"/>
                <w:b/>
                <w:bCs/>
                <w:color w:val="000000"/>
                <w:sz w:val="22"/>
                <w:szCs w:val="22"/>
              </w:rPr>
            </w:pPr>
          </w:p>
        </w:tc>
      </w:tr>
      <w:tr w:rsidR="002F36A6" w14:paraId="07AD3C28" w14:textId="77777777">
        <w:tc>
          <w:tcPr>
            <w:tcW w:w="6957" w:type="dxa"/>
          </w:tcPr>
          <w:p w14:paraId="7EE50008"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highlight w:val="white"/>
              </w:rPr>
              <w:t>(b)</w:t>
            </w:r>
            <w:r>
              <w:rPr>
                <w:rFonts w:ascii="Times New Roman" w:eastAsia="Times New Roman" w:hAnsi="Times New Roman" w:cs="Times New Roman"/>
                <w:sz w:val="22"/>
                <w:szCs w:val="22"/>
                <w:highlight w:val="white"/>
              </w:rPr>
              <w:tab/>
              <w:t>respectarea unei limite de migrare se stabilește în conformitate cu articolul 18, anexa III și capitolele 1 și 2 din anexa V la Regulamentul (UE) nr. 10/2011;</w:t>
            </w:r>
          </w:p>
        </w:tc>
        <w:tc>
          <w:tcPr>
            <w:tcW w:w="4877" w:type="dxa"/>
          </w:tcPr>
          <w:p w14:paraId="323F3BA7" w14:textId="77777777" w:rsidR="002F36A6" w:rsidRDefault="00000000">
            <w:pPr>
              <w:widowControl w:val="0"/>
              <w:tabs>
                <w:tab w:val="left" w:pos="426"/>
              </w:tabs>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sz w:val="22"/>
                <w:szCs w:val="22"/>
              </w:rPr>
              <w:t>16.2 respectarea unei limite de migrare se stabilește în conformitate cu pct. 41, anexa nr. 3 și pct. 1 și pct. 2 din anexa nr.5 a Regulamentului sanitar aprobat prin Hotărârea Guvernului nr.278/2013;</w:t>
            </w:r>
          </w:p>
        </w:tc>
        <w:tc>
          <w:tcPr>
            <w:tcW w:w="1559" w:type="dxa"/>
          </w:tcPr>
          <w:p w14:paraId="3EE03C2D"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Compatibil</w:t>
            </w:r>
          </w:p>
        </w:tc>
        <w:tc>
          <w:tcPr>
            <w:tcW w:w="2589" w:type="dxa"/>
          </w:tcPr>
          <w:p w14:paraId="3B716144" w14:textId="77777777" w:rsidR="002F36A6" w:rsidRDefault="002F36A6">
            <w:pPr>
              <w:jc w:val="both"/>
              <w:rPr>
                <w:rFonts w:ascii="Times New Roman" w:eastAsia="Times New Roman" w:hAnsi="Times New Roman" w:cs="Times New Roman"/>
                <w:b/>
                <w:bCs/>
                <w:color w:val="000000"/>
                <w:sz w:val="22"/>
                <w:szCs w:val="22"/>
              </w:rPr>
            </w:pPr>
          </w:p>
        </w:tc>
      </w:tr>
      <w:tr w:rsidR="002F36A6" w14:paraId="10C4DD7F" w14:textId="77777777">
        <w:tc>
          <w:tcPr>
            <w:tcW w:w="6957" w:type="dxa"/>
          </w:tcPr>
          <w:p w14:paraId="1BE984D4" w14:textId="77777777" w:rsidR="002F36A6" w:rsidRDefault="00000000">
            <w:pPr>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(c)</w:t>
            </w:r>
            <w:r>
              <w:rPr>
                <w:rFonts w:ascii="Times New Roman" w:eastAsia="Times New Roman" w:hAnsi="Times New Roman" w:cs="Times New Roman"/>
                <w:sz w:val="22"/>
                <w:szCs w:val="22"/>
                <w:highlight w:val="white"/>
              </w:rPr>
              <w:tab/>
              <w:t>în cazul în care contactul previzibil are loc în condițiile unui flux continuu, de exemplu în conducte sau ansambluri de filtrare, timpul de testare trebuie să fie egal cu timpul mediu de staționare a alimentelor în conducta sau ansamblul de filtrare respectiv.</w:t>
            </w:r>
          </w:p>
          <w:p w14:paraId="689978A1" w14:textId="77777777" w:rsidR="002F36A6" w:rsidRDefault="002F36A6">
            <w:pPr>
              <w:ind w:firstLine="708"/>
              <w:rPr>
                <w:rFonts w:ascii="Times New Roman" w:eastAsia="Times New Roman" w:hAnsi="Times New Roman" w:cs="Times New Roman"/>
                <w:sz w:val="22"/>
                <w:szCs w:val="22"/>
                <w:highlight w:val="white"/>
              </w:rPr>
            </w:pPr>
          </w:p>
        </w:tc>
        <w:tc>
          <w:tcPr>
            <w:tcW w:w="4877" w:type="dxa"/>
          </w:tcPr>
          <w:p w14:paraId="62B59A7E" w14:textId="77777777" w:rsidR="002F36A6" w:rsidRDefault="00000000">
            <w:pPr>
              <w:widowControl w:val="0"/>
              <w:tabs>
                <w:tab w:val="left" w:pos="426"/>
              </w:tabs>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sz w:val="22"/>
                <w:szCs w:val="22"/>
              </w:rPr>
              <w:t>16.3 în cazul în care contactul previzibil are loc în condițiile unui flux continuu, de exemplu în conducte sau ansambluri de filtrare, timpul de testare trebuie să fie egal cu timpul mediu de staționare alimentelor</w:t>
            </w:r>
            <w:r>
              <w:rPr>
                <w:rFonts w:ascii="Times New Roman" w:eastAsia="Times New Roman" w:hAnsi="Times New Roman" w:cs="Times New Roman"/>
                <w:sz w:val="22"/>
                <w:szCs w:val="22"/>
                <w:highlight w:val="white"/>
              </w:rPr>
              <w:t xml:space="preserve"> în conducta sau ansamblul de filtrare respectiv.</w:t>
            </w:r>
          </w:p>
        </w:tc>
        <w:tc>
          <w:tcPr>
            <w:tcW w:w="1559" w:type="dxa"/>
          </w:tcPr>
          <w:p w14:paraId="6BF4C417"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Compatibil</w:t>
            </w:r>
          </w:p>
        </w:tc>
        <w:tc>
          <w:tcPr>
            <w:tcW w:w="2589" w:type="dxa"/>
          </w:tcPr>
          <w:p w14:paraId="28138AE9" w14:textId="77777777" w:rsidR="002F36A6" w:rsidRDefault="002F36A6">
            <w:pPr>
              <w:jc w:val="both"/>
              <w:rPr>
                <w:rFonts w:ascii="Times New Roman" w:eastAsia="Times New Roman" w:hAnsi="Times New Roman" w:cs="Times New Roman"/>
                <w:b/>
                <w:bCs/>
                <w:color w:val="000000"/>
                <w:sz w:val="22"/>
                <w:szCs w:val="22"/>
              </w:rPr>
            </w:pPr>
          </w:p>
        </w:tc>
      </w:tr>
      <w:tr w:rsidR="002F36A6" w14:paraId="7C3CF3EC" w14:textId="77777777">
        <w:tc>
          <w:tcPr>
            <w:tcW w:w="6957" w:type="dxa"/>
          </w:tcPr>
          <w:p w14:paraId="6B72043C" w14:textId="77777777" w:rsidR="002F36A6" w:rsidRDefault="00000000">
            <w:pPr>
              <w:ind w:firstLine="70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Articolul 10</w:t>
            </w:r>
          </w:p>
          <w:p w14:paraId="10196D5B" w14:textId="77777777" w:rsidR="002F36A6" w:rsidRDefault="00000000">
            <w:pPr>
              <w:ind w:firstLine="708"/>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Modificare adusă Regulamentului (UE) nr. 10/2011</w:t>
            </w:r>
          </w:p>
          <w:p w14:paraId="3A8503C4"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Regulamentul (UE) nr. 10/2011 se modifică după cum urmează:</w:t>
            </w:r>
          </w:p>
          <w:tbl>
            <w:tblPr>
              <w:tblStyle w:val="aa"/>
              <w:tblW w:w="6741" w:type="dxa"/>
              <w:tblInd w:w="0" w:type="dxa"/>
              <w:tblLayout w:type="fixed"/>
              <w:tblLook w:val="0400" w:firstRow="0" w:lastRow="0" w:firstColumn="0" w:lastColumn="0" w:noHBand="0" w:noVBand="1"/>
            </w:tblPr>
            <w:tblGrid>
              <w:gridCol w:w="137"/>
              <w:gridCol w:w="6604"/>
            </w:tblGrid>
            <w:tr w:rsidR="002F36A6" w14:paraId="6E7F222C" w14:textId="77777777">
              <w:tc>
                <w:tcPr>
                  <w:tcW w:w="137" w:type="dxa"/>
                </w:tcPr>
                <w:p w14:paraId="1BEE4987" w14:textId="77777777" w:rsidR="002F36A6" w:rsidRDefault="00000000">
                  <w:pPr>
                    <w:ind w:firstLine="708"/>
                    <w:rPr>
                      <w:color w:val="000000"/>
                      <w:sz w:val="22"/>
                      <w:szCs w:val="22"/>
                    </w:rPr>
                  </w:pPr>
                  <w:r>
                    <w:rPr>
                      <w:color w:val="000000"/>
                      <w:sz w:val="22"/>
                      <w:szCs w:val="22"/>
                    </w:rPr>
                    <w:t>1.</w:t>
                  </w:r>
                </w:p>
              </w:tc>
              <w:tc>
                <w:tcPr>
                  <w:tcW w:w="6604" w:type="dxa"/>
                </w:tcPr>
                <w:p w14:paraId="1F8772EC" w14:textId="77777777" w:rsidR="002F36A6" w:rsidRDefault="00000000">
                  <w:pPr>
                    <w:rPr>
                      <w:color w:val="000000"/>
                      <w:sz w:val="22"/>
                      <w:szCs w:val="22"/>
                    </w:rPr>
                  </w:pPr>
                  <w:r>
                    <w:rPr>
                      <w:color w:val="000000"/>
                      <w:sz w:val="22"/>
                      <w:szCs w:val="22"/>
                    </w:rPr>
                    <w:t>La articolul 6, se adaugă următorul alineat:</w:t>
                  </w:r>
                </w:p>
                <w:p w14:paraId="2A508806" w14:textId="77777777" w:rsidR="002F36A6" w:rsidRDefault="00000000">
                  <w:pPr>
                    <w:rPr>
                      <w:color w:val="000000"/>
                      <w:sz w:val="22"/>
                      <w:szCs w:val="22"/>
                    </w:rPr>
                  </w:pPr>
                  <w:r>
                    <w:rPr>
                      <w:color w:val="000000"/>
                      <w:sz w:val="22"/>
                      <w:szCs w:val="22"/>
                    </w:rPr>
                    <w:t>„(6)   Prin derogare de la articolul 5, 2,2-bis(4-hidroxifenil)propan («bisfenol A» sau «BPA») (nr. CAS 80-05-7) și alți bisfenoli periculoși sau derivați periculoși ai bisfenolului, astfel cum sunt definiți și care intră în domeniul de aplicare al Regulamentului (UE) 2024/3190 pot fi utilizați numai la fabricarea materialelor și articolelor din plastic în conformitate cu regulamentul respectiv.”</w:t>
                  </w:r>
                </w:p>
              </w:tc>
            </w:tr>
          </w:tbl>
          <w:p w14:paraId="1E4EE394"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bl>
            <w:tblPr>
              <w:tblStyle w:val="ab"/>
              <w:tblW w:w="6741" w:type="dxa"/>
              <w:tblInd w:w="0" w:type="dxa"/>
              <w:tblLayout w:type="fixed"/>
              <w:tblLook w:val="0400" w:firstRow="0" w:lastRow="0" w:firstColumn="0" w:lastColumn="0" w:noHBand="0" w:noVBand="1"/>
            </w:tblPr>
            <w:tblGrid>
              <w:gridCol w:w="137"/>
              <w:gridCol w:w="6604"/>
            </w:tblGrid>
            <w:tr w:rsidR="002F36A6" w14:paraId="755C5EFF" w14:textId="77777777">
              <w:tc>
                <w:tcPr>
                  <w:tcW w:w="137" w:type="dxa"/>
                </w:tcPr>
                <w:p w14:paraId="537D6654" w14:textId="77777777" w:rsidR="002F36A6" w:rsidRDefault="00000000">
                  <w:pPr>
                    <w:ind w:firstLine="708"/>
                    <w:rPr>
                      <w:color w:val="000000"/>
                      <w:sz w:val="22"/>
                      <w:szCs w:val="22"/>
                    </w:rPr>
                  </w:pPr>
                  <w:r>
                    <w:rPr>
                      <w:color w:val="000000"/>
                      <w:sz w:val="22"/>
                      <w:szCs w:val="22"/>
                    </w:rPr>
                    <w:t>2.</w:t>
                  </w:r>
                </w:p>
              </w:tc>
              <w:tc>
                <w:tcPr>
                  <w:tcW w:w="6604" w:type="dxa"/>
                </w:tcPr>
                <w:p w14:paraId="0CCB7BE3" w14:textId="77777777" w:rsidR="002F36A6" w:rsidRDefault="00000000">
                  <w:pPr>
                    <w:rPr>
                      <w:color w:val="000000"/>
                      <w:sz w:val="22"/>
                      <w:szCs w:val="22"/>
                    </w:rPr>
                  </w:pPr>
                  <w:r>
                    <w:rPr>
                      <w:color w:val="000000"/>
                      <w:sz w:val="22"/>
                      <w:szCs w:val="22"/>
                    </w:rPr>
                    <w:t>În tabelul 1 din anexa I, rubricile referitoare la substanța nr. 151 [2,2-bis(4-hidroxifenil)propan] și substanța nr. 154 (4,4′-dihidroxidifenilsulfonă) se elimină.</w:t>
                  </w:r>
                </w:p>
              </w:tc>
            </w:tr>
          </w:tbl>
          <w:p w14:paraId="73B54AEE"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0D0874B1" w14:textId="77777777"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 </w:t>
            </w:r>
          </w:p>
        </w:tc>
        <w:tc>
          <w:tcPr>
            <w:tcW w:w="1559" w:type="dxa"/>
          </w:tcPr>
          <w:p w14:paraId="187150E4" w14:textId="77777777" w:rsidR="002F36A6" w:rsidRDefault="002F36A6">
            <w:pPr>
              <w:jc w:val="center"/>
              <w:rPr>
                <w:rFonts w:ascii="Times New Roman" w:eastAsia="Times New Roman" w:hAnsi="Times New Roman" w:cs="Times New Roman"/>
                <w:b/>
                <w:bCs/>
                <w:color w:val="000000"/>
                <w:sz w:val="22"/>
                <w:szCs w:val="22"/>
              </w:rPr>
            </w:pPr>
          </w:p>
        </w:tc>
        <w:tc>
          <w:tcPr>
            <w:tcW w:w="2589" w:type="dxa"/>
          </w:tcPr>
          <w:p w14:paraId="4E390335"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Modificările prezentate vor fi preluate în proiectul de modificare a Hotărârii Guvernului nr. 278/2013</w:t>
            </w:r>
            <w:r>
              <w:rPr>
                <w:rFonts w:ascii="Times New Roman" w:eastAsia="Times New Roman" w:hAnsi="Times New Roman" w:cs="Times New Roman"/>
                <w:sz w:val="22"/>
                <w:szCs w:val="22"/>
              </w:rPr>
              <w:t xml:space="preserve"> cu privire la aprobarea </w:t>
            </w:r>
            <w:r>
              <w:rPr>
                <w:rFonts w:ascii="Times New Roman" w:eastAsia="Times New Roman" w:hAnsi="Times New Roman" w:cs="Times New Roman"/>
                <w:color w:val="1F1F1F"/>
                <w:sz w:val="22"/>
                <w:szCs w:val="22"/>
                <w:highlight w:val="white"/>
              </w:rPr>
              <w:t xml:space="preserve">Regulamentului sanitar privind materialele şi obiectele </w:t>
            </w:r>
            <w:r>
              <w:rPr>
                <w:rFonts w:ascii="Times New Roman" w:eastAsia="Times New Roman" w:hAnsi="Times New Roman" w:cs="Times New Roman"/>
                <w:color w:val="1F1F1F"/>
                <w:sz w:val="22"/>
                <w:szCs w:val="22"/>
              </w:rPr>
              <w:t xml:space="preserve">din plastic destinate să vină în contact cu produsele alimentare care transpune </w:t>
            </w:r>
            <w:r>
              <w:rPr>
                <w:rFonts w:ascii="Times New Roman" w:eastAsia="Times New Roman" w:hAnsi="Times New Roman" w:cs="Times New Roman"/>
                <w:color w:val="000000"/>
                <w:sz w:val="22"/>
                <w:szCs w:val="22"/>
              </w:rPr>
              <w:t>Regulamentul (UE) nr. 10/2011.</w:t>
            </w:r>
          </w:p>
        </w:tc>
      </w:tr>
      <w:tr w:rsidR="002F36A6" w14:paraId="4CADB9A6" w14:textId="77777777">
        <w:tc>
          <w:tcPr>
            <w:tcW w:w="6957" w:type="dxa"/>
          </w:tcPr>
          <w:p w14:paraId="4966A59C" w14:textId="77777777" w:rsidR="002F36A6" w:rsidRDefault="002F36A6">
            <w:pPr>
              <w:ind w:firstLine="708"/>
              <w:rPr>
                <w:rFonts w:ascii="Times New Roman" w:eastAsia="Times New Roman" w:hAnsi="Times New Roman" w:cs="Times New Roman"/>
                <w:b/>
                <w:bCs/>
                <w:color w:val="000000"/>
                <w:sz w:val="22"/>
                <w:szCs w:val="22"/>
              </w:rPr>
            </w:pPr>
          </w:p>
        </w:tc>
        <w:tc>
          <w:tcPr>
            <w:tcW w:w="4877" w:type="dxa"/>
          </w:tcPr>
          <w:p w14:paraId="01EC3BB3" w14:textId="77777777" w:rsidR="002F36A6" w:rsidRDefault="00000000">
            <w:pPr>
              <w:shd w:val="clear" w:color="auto" w:fill="FFFFFF"/>
              <w:tabs>
                <w:tab w:val="left" w:pos="993"/>
              </w:tabs>
              <w:jc w:val="both"/>
              <w:rPr>
                <w:rFonts w:ascii="Times New Roman" w:eastAsia="Times New Roman" w:hAnsi="Times New Roman" w:cs="Times New Roman"/>
                <w:b/>
                <w:bCs/>
                <w:sz w:val="22"/>
                <w:szCs w:val="22"/>
                <w:highlight w:val="white"/>
              </w:rPr>
            </w:pPr>
            <w:r>
              <w:rPr>
                <w:rFonts w:ascii="Times New Roman" w:eastAsia="Times New Roman" w:hAnsi="Times New Roman" w:cs="Times New Roman"/>
                <w:sz w:val="22"/>
                <w:szCs w:val="22"/>
                <w:highlight w:val="white"/>
              </w:rPr>
              <w:t>17. Agenția Națională pentru Siguranța Alimentelor efectuează controale oficiale privind verificarea conformității materialelor și articolelor destinate să vină în contact cu produsele alimentare în conformitate cu Legea nr. 82/2024 privind controalele oficiale în domeniul agroalimentar.</w:t>
            </w:r>
          </w:p>
          <w:p w14:paraId="5EBAF653"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b/>
                <w:bCs/>
                <w:sz w:val="22"/>
                <w:szCs w:val="22"/>
              </w:rPr>
            </w:pPr>
          </w:p>
        </w:tc>
        <w:tc>
          <w:tcPr>
            <w:tcW w:w="1559" w:type="dxa"/>
          </w:tcPr>
          <w:p w14:paraId="4588C61D"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Prevedere națională</w:t>
            </w:r>
          </w:p>
        </w:tc>
        <w:tc>
          <w:tcPr>
            <w:tcW w:w="2589" w:type="dxa"/>
          </w:tcPr>
          <w:p w14:paraId="2B252FF6" w14:textId="77777777" w:rsidR="002F36A6" w:rsidRDefault="002F36A6">
            <w:pPr>
              <w:jc w:val="both"/>
              <w:rPr>
                <w:rFonts w:ascii="Times New Roman" w:eastAsia="Times New Roman" w:hAnsi="Times New Roman" w:cs="Times New Roman"/>
                <w:b/>
                <w:bCs/>
                <w:sz w:val="22"/>
                <w:szCs w:val="22"/>
              </w:rPr>
            </w:pPr>
          </w:p>
        </w:tc>
      </w:tr>
      <w:tr w:rsidR="002F36A6" w14:paraId="5F7D51BF" w14:textId="77777777">
        <w:tc>
          <w:tcPr>
            <w:tcW w:w="6957" w:type="dxa"/>
          </w:tcPr>
          <w:p w14:paraId="3FB7E182" w14:textId="77777777" w:rsidR="002F36A6" w:rsidRDefault="002F36A6">
            <w:pPr>
              <w:ind w:firstLine="708"/>
              <w:rPr>
                <w:rFonts w:ascii="Times New Roman" w:eastAsia="Times New Roman" w:hAnsi="Times New Roman" w:cs="Times New Roman"/>
                <w:b/>
                <w:bCs/>
                <w:color w:val="000000"/>
                <w:sz w:val="22"/>
                <w:szCs w:val="22"/>
              </w:rPr>
            </w:pPr>
          </w:p>
        </w:tc>
        <w:tc>
          <w:tcPr>
            <w:tcW w:w="4877" w:type="dxa"/>
          </w:tcPr>
          <w:p w14:paraId="0C5307A7" w14:textId="77777777" w:rsidR="002F36A6" w:rsidRDefault="00000000">
            <w:pPr>
              <w:shd w:val="clear" w:color="auto" w:fill="FFFFFF"/>
              <w:tabs>
                <w:tab w:val="left" w:pos="993"/>
              </w:tabs>
              <w:jc w:val="both"/>
              <w:rPr>
                <w:rFonts w:ascii="Times New Roman" w:eastAsia="Times New Roman" w:hAnsi="Times New Roman" w:cs="Times New Roman"/>
                <w:b/>
                <w:bCs/>
                <w:sz w:val="22"/>
                <w:szCs w:val="22"/>
              </w:rPr>
            </w:pPr>
            <w:r>
              <w:rPr>
                <w:rFonts w:ascii="Times New Roman" w:eastAsia="Times New Roman" w:hAnsi="Times New Roman" w:cs="Times New Roman"/>
                <w:sz w:val="22"/>
                <w:szCs w:val="22"/>
                <w:highlight w:val="white"/>
              </w:rPr>
              <w:t>18. Materialele și articolele  destinate să vină în contact cu produsele alimentare depistate neconforme cu prezentul Regulament, sunt recondiționate sau retrase de pe piață în conformitate cu Legea nr. 306/2018 privind siguranța alimentelor.</w:t>
            </w:r>
          </w:p>
        </w:tc>
        <w:tc>
          <w:tcPr>
            <w:tcW w:w="1559" w:type="dxa"/>
          </w:tcPr>
          <w:p w14:paraId="685959D2"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Prevedere națională</w:t>
            </w:r>
          </w:p>
        </w:tc>
        <w:tc>
          <w:tcPr>
            <w:tcW w:w="2589" w:type="dxa"/>
          </w:tcPr>
          <w:p w14:paraId="46D7CA6B" w14:textId="77777777" w:rsidR="002F36A6" w:rsidRDefault="002F36A6">
            <w:pPr>
              <w:jc w:val="both"/>
              <w:rPr>
                <w:rFonts w:ascii="Times New Roman" w:eastAsia="Times New Roman" w:hAnsi="Times New Roman" w:cs="Times New Roman"/>
                <w:b/>
                <w:bCs/>
                <w:sz w:val="22"/>
                <w:szCs w:val="22"/>
              </w:rPr>
            </w:pPr>
          </w:p>
        </w:tc>
      </w:tr>
      <w:tr w:rsidR="002F36A6" w14:paraId="30CE7DB6" w14:textId="77777777">
        <w:trPr>
          <w:trHeight w:val="6110"/>
        </w:trPr>
        <w:tc>
          <w:tcPr>
            <w:tcW w:w="6957" w:type="dxa"/>
          </w:tcPr>
          <w:p w14:paraId="65B5F549" w14:textId="77777777" w:rsidR="002F36A6" w:rsidRDefault="00000000">
            <w:pPr>
              <w:ind w:firstLine="708"/>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lastRenderedPageBreak/>
              <w:t>Articolul 11</w:t>
            </w:r>
          </w:p>
          <w:p w14:paraId="108FD6C0" w14:textId="77777777" w:rsidR="002F36A6" w:rsidRDefault="002F36A6">
            <w:pPr>
              <w:ind w:firstLine="708"/>
              <w:rPr>
                <w:rFonts w:ascii="Times New Roman" w:eastAsia="Times New Roman" w:hAnsi="Times New Roman" w:cs="Times New Roman"/>
                <w:b/>
                <w:bCs/>
                <w:color w:val="000000"/>
                <w:sz w:val="22"/>
                <w:szCs w:val="22"/>
              </w:rPr>
            </w:pPr>
          </w:p>
          <w:p w14:paraId="792E466F" w14:textId="77777777" w:rsidR="002F36A6" w:rsidRDefault="0000000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Dispoziții tranzitorii privind articolele finite de unică folosință destinate să vină în contact cu alimentele</w:t>
            </w:r>
          </w:p>
          <w:p w14:paraId="7F51037C" w14:textId="77777777" w:rsidR="002F36A6" w:rsidRDefault="002F36A6">
            <w:pPr>
              <w:ind w:firstLine="708"/>
              <w:rPr>
                <w:rFonts w:ascii="Times New Roman" w:eastAsia="Times New Roman" w:hAnsi="Times New Roman" w:cs="Times New Roman"/>
                <w:color w:val="000000"/>
                <w:sz w:val="22"/>
                <w:szCs w:val="22"/>
              </w:rPr>
            </w:pPr>
          </w:p>
          <w:p w14:paraId="61FFB34A"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Articolele finite de unică folosință destinate să vină în contact cu alimentele fabricate utilizând BPA și care respectă normele aplicabile înainte de data intrării în vigoare a prezentului regulament, care nu respectă normele din prezentul regulament, pot fi introduse pe piață până la 20 iulie 2026.</w:t>
            </w:r>
          </w:p>
          <w:p w14:paraId="298E18D8" w14:textId="77777777" w:rsidR="002F36A6" w:rsidRDefault="002F36A6">
            <w:pPr>
              <w:ind w:firstLine="708"/>
              <w:rPr>
                <w:rFonts w:ascii="Times New Roman" w:eastAsia="Times New Roman" w:hAnsi="Times New Roman" w:cs="Times New Roman"/>
                <w:color w:val="000000"/>
                <w:sz w:val="22"/>
                <w:szCs w:val="22"/>
              </w:rPr>
            </w:pPr>
          </w:p>
          <w:p w14:paraId="4B5BCCB7" w14:textId="77777777" w:rsidR="002F36A6" w:rsidRDefault="002F36A6">
            <w:pPr>
              <w:ind w:firstLine="708"/>
              <w:rPr>
                <w:rFonts w:ascii="Times New Roman" w:eastAsia="Times New Roman" w:hAnsi="Times New Roman" w:cs="Times New Roman"/>
                <w:color w:val="000000"/>
                <w:sz w:val="22"/>
                <w:szCs w:val="22"/>
              </w:rPr>
            </w:pPr>
          </w:p>
          <w:p w14:paraId="1BC975CE"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1AB913D7" w14:textId="66BDA3D0" w:rsidR="002F36A6" w:rsidRDefault="00000000">
            <w:pPr>
              <w:widowControl w:val="0"/>
              <w:pBdr>
                <w:top w:val="nil"/>
                <w:left w:val="nil"/>
                <w:bottom w:val="nil"/>
                <w:right w:val="nil"/>
                <w:between w:val="nil"/>
              </w:pBdr>
              <w:tabs>
                <w:tab w:val="left" w:pos="426"/>
              </w:tabs>
              <w:ind w:right="-90"/>
              <w:rPr>
                <w:rFonts w:ascii="Times New Roman" w:eastAsia="Times New Roman" w:hAnsi="Times New Roman" w:cs="Times New Roman"/>
                <w:color w:val="000000"/>
                <w:sz w:val="22"/>
                <w:szCs w:val="22"/>
              </w:rPr>
            </w:pPr>
            <w:r>
              <w:rPr>
                <w:rFonts w:ascii="Times New Roman" w:eastAsia="Times New Roman" w:hAnsi="Times New Roman" w:cs="Times New Roman"/>
                <w:b/>
                <w:bCs/>
                <w:sz w:val="22"/>
                <w:szCs w:val="22"/>
              </w:rPr>
              <w:t>V</w:t>
            </w:r>
            <w:r w:rsidR="00D77747">
              <w:rPr>
                <w:rFonts w:ascii="Times New Roman" w:eastAsia="Times New Roman" w:hAnsi="Times New Roman" w:cs="Times New Roman"/>
                <w:b/>
                <w:bCs/>
                <w:sz w:val="22"/>
                <w:szCs w:val="22"/>
              </w:rPr>
              <w:t>I</w:t>
            </w:r>
            <w:r>
              <w:rPr>
                <w:rFonts w:ascii="Times New Roman" w:eastAsia="Times New Roman" w:hAnsi="Times New Roman" w:cs="Times New Roman"/>
                <w:b/>
                <w:bCs/>
                <w:sz w:val="22"/>
                <w:szCs w:val="22"/>
              </w:rPr>
              <w:t xml:space="preserve">. </w:t>
            </w:r>
            <w:r>
              <w:rPr>
                <w:rFonts w:ascii="Times New Roman" w:eastAsia="Times New Roman" w:hAnsi="Times New Roman" w:cs="Times New Roman"/>
                <w:b/>
                <w:bCs/>
                <w:color w:val="000000"/>
                <w:sz w:val="22"/>
                <w:szCs w:val="22"/>
              </w:rPr>
              <w:t>Dispoziții tranzitorii privind articolele finite de unică folosință destinate să vină în contact cu produsele alimentare</w:t>
            </w:r>
          </w:p>
          <w:p w14:paraId="493AD4D4"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p w14:paraId="7103ABEB" w14:textId="77777777"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Transpus prin pct. 4 din hotărâre:</w:t>
            </w:r>
          </w:p>
          <w:p w14:paraId="34E74D95"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p w14:paraId="289826AC" w14:textId="77777777"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Pr>
                <w:rFonts w:ascii="Times New Roman" w:eastAsia="Times New Roman" w:hAnsi="Times New Roman" w:cs="Times New Roman"/>
                <w:sz w:val="22"/>
                <w:szCs w:val="22"/>
              </w:rPr>
              <w:t xml:space="preserve"> </w:t>
            </w:r>
            <w:r>
              <w:rPr>
                <w:rFonts w:ascii="Times New Roman" w:eastAsia="Times New Roman" w:hAnsi="Times New Roman" w:cs="Times New Roman"/>
                <w:color w:val="000000"/>
                <w:sz w:val="22"/>
                <w:szCs w:val="22"/>
              </w:rPr>
              <w:t>Articolele finite de unică folosință destinate să vină în contact cu produsele alimentare fabricate utilizând BPA și care respectă normele aplicabile înainte de data intrării în vigoare a prezentului regulament, care nu respectă normele din prezentul regulament, pot fi introduse pe piață până la 20 iulie 202</w:t>
            </w:r>
            <w:r>
              <w:rPr>
                <w:rFonts w:ascii="Times New Roman" w:eastAsia="Times New Roman" w:hAnsi="Times New Roman" w:cs="Times New Roman"/>
                <w:sz w:val="22"/>
                <w:szCs w:val="22"/>
              </w:rPr>
              <w:t>7</w:t>
            </w:r>
            <w:r>
              <w:rPr>
                <w:rFonts w:ascii="Times New Roman" w:eastAsia="Times New Roman" w:hAnsi="Times New Roman" w:cs="Times New Roman"/>
                <w:color w:val="000000"/>
                <w:sz w:val="22"/>
                <w:szCs w:val="22"/>
              </w:rPr>
              <w:t>.</w:t>
            </w:r>
          </w:p>
        </w:tc>
        <w:tc>
          <w:tcPr>
            <w:tcW w:w="1559" w:type="dxa"/>
          </w:tcPr>
          <w:p w14:paraId="70104A48"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compatibil</w:t>
            </w:r>
          </w:p>
        </w:tc>
        <w:tc>
          <w:tcPr>
            <w:tcW w:w="2589" w:type="dxa"/>
          </w:tcPr>
          <w:p w14:paraId="3BFE9608"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Având în vedere că proiectul de act normativ național va fi aprobat în 2026, și că acest termen va fi depășit se propune ca aceasta dispoziție tranzitorie  să fie tranferată pentru anul 2027.</w:t>
            </w:r>
          </w:p>
        </w:tc>
      </w:tr>
      <w:tr w:rsidR="002F36A6" w14:paraId="73311D8E" w14:textId="77777777">
        <w:tc>
          <w:tcPr>
            <w:tcW w:w="6957" w:type="dxa"/>
          </w:tcPr>
          <w:p w14:paraId="7CB9698F"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Prin derogare de la alineatul (1), următoarele articole finite de unică folosință destinate să vină în contact cu alimentele care respectă normele aplicabile înainte de data intrării în vigoare a prezentului regulament, care nu respectă normele din prezentul regulament, pot fi introduse pe piață până la 20 ianuarie 2028:</w:t>
            </w:r>
          </w:p>
          <w:p w14:paraId="701386DC" w14:textId="77777777" w:rsidR="002F36A6" w:rsidRDefault="002F36A6">
            <w:pPr>
              <w:ind w:firstLine="708"/>
              <w:rPr>
                <w:rFonts w:ascii="Times New Roman" w:eastAsia="Times New Roman" w:hAnsi="Times New Roman" w:cs="Times New Roman"/>
                <w:color w:val="000000"/>
                <w:sz w:val="22"/>
                <w:szCs w:val="22"/>
              </w:rPr>
            </w:pPr>
          </w:p>
          <w:p w14:paraId="3829A620" w14:textId="77777777" w:rsidR="002F36A6" w:rsidRDefault="002F36A6">
            <w:pPr>
              <w:ind w:firstLine="708"/>
              <w:rPr>
                <w:rFonts w:ascii="Times New Roman" w:eastAsia="Times New Roman" w:hAnsi="Times New Roman" w:cs="Times New Roman"/>
                <w:color w:val="000000"/>
                <w:sz w:val="22"/>
                <w:szCs w:val="22"/>
              </w:rPr>
            </w:pPr>
          </w:p>
          <w:p w14:paraId="30D6EB5F" w14:textId="77777777" w:rsidR="002F36A6" w:rsidRDefault="002F36A6">
            <w:pPr>
              <w:rPr>
                <w:rFonts w:ascii="Times New Roman" w:eastAsia="Times New Roman" w:hAnsi="Times New Roman" w:cs="Times New Roman"/>
                <w:color w:val="000000"/>
                <w:sz w:val="22"/>
                <w:szCs w:val="22"/>
              </w:rPr>
            </w:pPr>
          </w:p>
          <w:p w14:paraId="40107BDF" w14:textId="77777777" w:rsidR="002F36A6" w:rsidRDefault="002F36A6">
            <w:pPr>
              <w:ind w:firstLine="708"/>
              <w:rPr>
                <w:rFonts w:ascii="Times New Roman" w:eastAsia="Times New Roman" w:hAnsi="Times New Roman" w:cs="Times New Roman"/>
                <w:color w:val="000000"/>
                <w:sz w:val="22"/>
                <w:szCs w:val="22"/>
              </w:rPr>
            </w:pPr>
          </w:p>
          <w:p w14:paraId="536CE41D" w14:textId="77777777" w:rsidR="002F36A6" w:rsidRDefault="002F36A6">
            <w:pPr>
              <w:rPr>
                <w:rFonts w:ascii="Times New Roman" w:eastAsia="Times New Roman" w:hAnsi="Times New Roman" w:cs="Times New Roman"/>
                <w:color w:val="000000"/>
                <w:sz w:val="22"/>
                <w:szCs w:val="22"/>
              </w:rPr>
            </w:pPr>
          </w:p>
          <w:p w14:paraId="13781F07" w14:textId="77777777" w:rsidR="002F36A6" w:rsidRDefault="002F36A6">
            <w:pPr>
              <w:ind w:firstLine="708"/>
              <w:rPr>
                <w:rFonts w:ascii="Times New Roman" w:eastAsia="Times New Roman" w:hAnsi="Times New Roman" w:cs="Times New Roman"/>
                <w:color w:val="000000"/>
                <w:sz w:val="22"/>
                <w:szCs w:val="22"/>
              </w:rPr>
            </w:pPr>
          </w:p>
          <w:p w14:paraId="024B1801"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15E48448" w14:textId="77777777"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Transpus prin pct. 5 din hotărâre:</w:t>
            </w:r>
          </w:p>
          <w:p w14:paraId="7AB36E2F" w14:textId="77777777" w:rsidR="002F36A6" w:rsidRDefault="002F36A6">
            <w:pPr>
              <w:widowControl w:val="0"/>
              <w:pBdr>
                <w:top w:val="nil"/>
                <w:left w:val="nil"/>
                <w:bottom w:val="nil"/>
                <w:right w:val="nil"/>
                <w:between w:val="nil"/>
              </w:pBdr>
              <w:tabs>
                <w:tab w:val="left" w:pos="426"/>
              </w:tabs>
              <w:ind w:right="30"/>
              <w:jc w:val="both"/>
              <w:rPr>
                <w:rFonts w:ascii="Times New Roman" w:eastAsia="Times New Roman" w:hAnsi="Times New Roman" w:cs="Times New Roman"/>
                <w:sz w:val="22"/>
                <w:szCs w:val="22"/>
              </w:rPr>
            </w:pPr>
          </w:p>
          <w:p w14:paraId="5097027A" w14:textId="77777777" w:rsidR="002F36A6" w:rsidRDefault="00000000">
            <w:pPr>
              <w:widowControl w:val="0"/>
              <w:pBdr>
                <w:top w:val="nil"/>
                <w:left w:val="nil"/>
                <w:bottom w:val="nil"/>
                <w:right w:val="nil"/>
                <w:between w:val="nil"/>
              </w:pBdr>
              <w:tabs>
                <w:tab w:val="left" w:pos="426"/>
              </w:tabs>
              <w:ind w:right="30"/>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5. </w:t>
            </w:r>
            <w:r>
              <w:rPr>
                <w:rFonts w:ascii="Times New Roman" w:eastAsia="Times New Roman" w:hAnsi="Times New Roman" w:cs="Times New Roman"/>
                <w:color w:val="000000"/>
                <w:sz w:val="22"/>
                <w:szCs w:val="22"/>
              </w:rPr>
              <w:tab/>
              <w:t>Prin derogare de la punctul 4 următoarele articole finite de unică folosință destinate să vină în contact cu produsele alimentare care respectă normele aplicabile înainte de data intrării în vigoare a prezentului regulament, care nu respectă normele din prezentul regulament, pot fi introduse pe piață până la 20 iulie 2028:</w:t>
            </w:r>
          </w:p>
          <w:p w14:paraId="4C46D078" w14:textId="77777777" w:rsidR="002F36A6" w:rsidRDefault="002F36A6">
            <w:pPr>
              <w:widowControl w:val="0"/>
              <w:pBdr>
                <w:top w:val="nil"/>
                <w:left w:val="nil"/>
                <w:bottom w:val="nil"/>
                <w:right w:val="nil"/>
                <w:between w:val="nil"/>
              </w:pBdr>
              <w:tabs>
                <w:tab w:val="left" w:pos="360"/>
                <w:tab w:val="left" w:pos="851"/>
                <w:tab w:val="left" w:pos="993"/>
                <w:tab w:val="left" w:pos="1276"/>
              </w:tabs>
              <w:ind w:right="9"/>
              <w:jc w:val="both"/>
              <w:rPr>
                <w:rFonts w:ascii="Times New Roman" w:eastAsia="Times New Roman" w:hAnsi="Times New Roman" w:cs="Times New Roman"/>
                <w:color w:val="000000"/>
                <w:sz w:val="22"/>
                <w:szCs w:val="22"/>
              </w:rPr>
            </w:pPr>
          </w:p>
          <w:p w14:paraId="53B876BE" w14:textId="77777777" w:rsidR="002F36A6" w:rsidRDefault="002F36A6">
            <w:pPr>
              <w:widowControl w:val="0"/>
              <w:pBdr>
                <w:top w:val="nil"/>
                <w:left w:val="nil"/>
                <w:bottom w:val="nil"/>
                <w:right w:val="nil"/>
                <w:between w:val="nil"/>
              </w:pBdr>
              <w:tabs>
                <w:tab w:val="left" w:pos="360"/>
                <w:tab w:val="left" w:pos="851"/>
                <w:tab w:val="left" w:pos="993"/>
                <w:tab w:val="left" w:pos="1276"/>
              </w:tabs>
              <w:ind w:right="9"/>
              <w:jc w:val="both"/>
              <w:rPr>
                <w:rFonts w:ascii="Times New Roman" w:eastAsia="Times New Roman" w:hAnsi="Times New Roman" w:cs="Times New Roman"/>
                <w:color w:val="000000"/>
                <w:sz w:val="22"/>
                <w:szCs w:val="22"/>
              </w:rPr>
            </w:pPr>
          </w:p>
          <w:p w14:paraId="66B0271F" w14:textId="77777777" w:rsidR="002F36A6" w:rsidRDefault="002F36A6">
            <w:pPr>
              <w:widowControl w:val="0"/>
              <w:pBdr>
                <w:top w:val="nil"/>
                <w:left w:val="nil"/>
                <w:bottom w:val="nil"/>
                <w:right w:val="nil"/>
                <w:between w:val="nil"/>
              </w:pBdr>
              <w:tabs>
                <w:tab w:val="left" w:pos="426"/>
              </w:tabs>
              <w:ind w:right="30"/>
              <w:jc w:val="both"/>
              <w:rPr>
                <w:rFonts w:ascii="Times New Roman" w:eastAsia="Times New Roman" w:hAnsi="Times New Roman" w:cs="Times New Roman"/>
                <w:color w:val="000000"/>
                <w:sz w:val="22"/>
                <w:szCs w:val="22"/>
              </w:rPr>
            </w:pPr>
          </w:p>
        </w:tc>
        <w:tc>
          <w:tcPr>
            <w:tcW w:w="1559" w:type="dxa"/>
          </w:tcPr>
          <w:p w14:paraId="0ED9B0C6"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C</w:t>
            </w:r>
            <w:r>
              <w:rPr>
                <w:rFonts w:ascii="Times New Roman" w:eastAsia="Times New Roman" w:hAnsi="Times New Roman" w:cs="Times New Roman"/>
                <w:b/>
                <w:bCs/>
                <w:color w:val="000000"/>
                <w:sz w:val="22"/>
                <w:szCs w:val="22"/>
              </w:rPr>
              <w:t>ompatibil</w:t>
            </w:r>
          </w:p>
        </w:tc>
        <w:tc>
          <w:tcPr>
            <w:tcW w:w="2589" w:type="dxa"/>
          </w:tcPr>
          <w:p w14:paraId="505F4D9B" w14:textId="77777777" w:rsidR="002F36A6" w:rsidRDefault="00000000">
            <w:pP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Modificarea termenului din 20 ianuarie 2028 în </w:t>
            </w:r>
            <w:r>
              <w:rPr>
                <w:rFonts w:ascii="Times New Roman" w:eastAsia="Times New Roman" w:hAnsi="Times New Roman" w:cs="Times New Roman"/>
                <w:b/>
                <w:bCs/>
                <w:color w:val="000000"/>
                <w:sz w:val="22"/>
                <w:szCs w:val="22"/>
              </w:rPr>
              <w:t>20 iulie</w:t>
            </w:r>
            <w:r>
              <w:rPr>
                <w:rFonts w:ascii="Times New Roman" w:eastAsia="Times New Roman" w:hAnsi="Times New Roman" w:cs="Times New Roman"/>
                <w:color w:val="000000"/>
                <w:sz w:val="22"/>
                <w:szCs w:val="22"/>
              </w:rPr>
              <w:t xml:space="preserve"> 2028 este în corelare cu alin.(3)   </w:t>
            </w:r>
            <w:r>
              <w:rPr>
                <w:rFonts w:ascii="Times New Roman" w:eastAsia="Times New Roman" w:hAnsi="Times New Roman" w:cs="Times New Roman"/>
                <w:i/>
                <w:iCs/>
                <w:color w:val="000000"/>
                <w:sz w:val="22"/>
                <w:szCs w:val="22"/>
              </w:rPr>
              <w:t xml:space="preserve">Articolele finite de unică folosință destinate să vină în contact cu alimentele introduse pe piață </w:t>
            </w:r>
            <w:r>
              <w:rPr>
                <w:rFonts w:ascii="Times New Roman" w:eastAsia="Times New Roman" w:hAnsi="Times New Roman" w:cs="Times New Roman"/>
                <w:i/>
                <w:iCs/>
                <w:color w:val="333333"/>
                <w:sz w:val="22"/>
                <w:szCs w:val="22"/>
                <w:highlight w:val="white"/>
              </w:rPr>
              <w:t xml:space="preserve">pentru prima dată </w:t>
            </w:r>
            <w:r>
              <w:rPr>
                <w:rFonts w:ascii="Times New Roman" w:eastAsia="Times New Roman" w:hAnsi="Times New Roman" w:cs="Times New Roman"/>
                <w:i/>
                <w:iCs/>
                <w:color w:val="000000"/>
                <w:sz w:val="22"/>
                <w:szCs w:val="22"/>
              </w:rPr>
              <w:t xml:space="preserve">în conformitate cu alineatele (1) și (2) pot fi umplute cu alimente și sigilate timp de </w:t>
            </w:r>
            <w:r>
              <w:rPr>
                <w:rFonts w:ascii="Times New Roman" w:eastAsia="Times New Roman" w:hAnsi="Times New Roman" w:cs="Times New Roman"/>
                <w:b/>
                <w:bCs/>
                <w:i/>
                <w:iCs/>
                <w:color w:val="000000"/>
                <w:sz w:val="22"/>
                <w:szCs w:val="22"/>
              </w:rPr>
              <w:t xml:space="preserve">12 luni </w:t>
            </w:r>
            <w:r>
              <w:rPr>
                <w:rFonts w:ascii="Times New Roman" w:eastAsia="Times New Roman" w:hAnsi="Times New Roman" w:cs="Times New Roman"/>
                <w:i/>
                <w:iCs/>
                <w:color w:val="000000"/>
                <w:sz w:val="22"/>
                <w:szCs w:val="22"/>
              </w:rPr>
              <w:t xml:space="preserve">de la expirarea perioadei de tranziție aplicabile. Astfel, este necesar să  existe un termen </w:t>
            </w:r>
            <w:r>
              <w:rPr>
                <w:rFonts w:ascii="Times New Roman" w:eastAsia="Times New Roman" w:hAnsi="Times New Roman" w:cs="Times New Roman"/>
                <w:color w:val="000000"/>
                <w:sz w:val="22"/>
                <w:szCs w:val="22"/>
              </w:rPr>
              <w:t xml:space="preserve">de 12 luni de la </w:t>
            </w:r>
            <w:r>
              <w:rPr>
                <w:rFonts w:ascii="Times New Roman" w:eastAsia="Times New Roman" w:hAnsi="Times New Roman" w:cs="Times New Roman"/>
                <w:color w:val="000000"/>
                <w:sz w:val="22"/>
                <w:szCs w:val="22"/>
              </w:rPr>
              <w:lastRenderedPageBreak/>
              <w:t>expirarea perioadei de tranziție aplicabile.</w:t>
            </w:r>
          </w:p>
        </w:tc>
      </w:tr>
      <w:tr w:rsidR="002F36A6" w14:paraId="346B6A27" w14:textId="77777777">
        <w:tc>
          <w:tcPr>
            <w:tcW w:w="6957" w:type="dxa"/>
          </w:tcPr>
          <w:p w14:paraId="3E47C028" w14:textId="77777777" w:rsidR="002F36A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(a)articolele finite de unică folosință destinate să vină în contact cu alimentele destinate conservării următoarelor alimente:</w:t>
            </w:r>
          </w:p>
          <w:p w14:paraId="61A383D7" w14:textId="77777777" w:rsidR="002F36A6" w:rsidRDefault="002F36A6">
            <w:pPr>
              <w:rPr>
                <w:rFonts w:ascii="Times New Roman" w:eastAsia="Times New Roman" w:hAnsi="Times New Roman" w:cs="Times New Roman"/>
                <w:sz w:val="22"/>
                <w:szCs w:val="22"/>
              </w:rPr>
            </w:pPr>
          </w:p>
        </w:tc>
        <w:tc>
          <w:tcPr>
            <w:tcW w:w="4877" w:type="dxa"/>
          </w:tcPr>
          <w:p w14:paraId="5905A99E" w14:textId="77777777" w:rsidR="002F36A6" w:rsidRDefault="00000000">
            <w:pPr>
              <w:widowControl w:val="0"/>
              <w:tabs>
                <w:tab w:val="left" w:pos="360"/>
                <w:tab w:val="left" w:pos="851"/>
                <w:tab w:val="left" w:pos="993"/>
                <w:tab w:val="left" w:pos="1276"/>
              </w:tabs>
              <w:ind w:right="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5.1. articolele finite de unică folosință destinate să vină în contact cu produsele alimentare destinate conservării următoarelor produse alimentare:</w:t>
            </w:r>
          </w:p>
        </w:tc>
        <w:tc>
          <w:tcPr>
            <w:tcW w:w="1559" w:type="dxa"/>
          </w:tcPr>
          <w:p w14:paraId="4948FC6C" w14:textId="77777777" w:rsidR="002F36A6" w:rsidRDefault="00000000">
            <w:pPr>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Compatibil</w:t>
            </w:r>
          </w:p>
        </w:tc>
        <w:tc>
          <w:tcPr>
            <w:tcW w:w="2589" w:type="dxa"/>
          </w:tcPr>
          <w:p w14:paraId="100895E7" w14:textId="77777777" w:rsidR="002F36A6" w:rsidRDefault="002F36A6">
            <w:pPr>
              <w:jc w:val="both"/>
              <w:rPr>
                <w:rFonts w:ascii="Times New Roman" w:eastAsia="Times New Roman" w:hAnsi="Times New Roman" w:cs="Times New Roman"/>
                <w:b/>
                <w:bCs/>
                <w:color w:val="000000"/>
                <w:sz w:val="22"/>
                <w:szCs w:val="22"/>
              </w:rPr>
            </w:pPr>
          </w:p>
        </w:tc>
      </w:tr>
      <w:tr w:rsidR="002F36A6" w14:paraId="1ED1B31F" w14:textId="77777777">
        <w:tc>
          <w:tcPr>
            <w:tcW w:w="6957" w:type="dxa"/>
          </w:tcPr>
          <w:p w14:paraId="17D42C98"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(i)fructe sau legume, cu excepția produselor definite în anexa I la Directiva 2001/112/CE a Consiliului (13); sau</w:t>
            </w:r>
          </w:p>
        </w:tc>
        <w:tc>
          <w:tcPr>
            <w:tcW w:w="4877" w:type="dxa"/>
          </w:tcPr>
          <w:p w14:paraId="41BF6F34" w14:textId="77777777" w:rsidR="002F36A6" w:rsidRDefault="00000000">
            <w:pPr>
              <w:widowControl w:val="0"/>
              <w:tabs>
                <w:tab w:val="left" w:pos="360"/>
                <w:tab w:val="left" w:pos="851"/>
                <w:tab w:val="left" w:pos="993"/>
                <w:tab w:val="left" w:pos="1276"/>
              </w:tabs>
              <w:ind w:right="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5.1.1  fructe sau legume, cu excepția produselor definite în anexa nr. 1 la Reglementarea  tehnică „Sucuri şi anumite produse similare destinate consumului uman”, aprobată prin Hotărârea Guvernului  nr. 1111/2010;</w:t>
            </w:r>
          </w:p>
          <w:p w14:paraId="6819E944" w14:textId="77777777" w:rsidR="002F36A6" w:rsidRDefault="002F36A6">
            <w:pPr>
              <w:widowControl w:val="0"/>
              <w:pBdr>
                <w:top w:val="nil"/>
                <w:left w:val="nil"/>
                <w:bottom w:val="nil"/>
                <w:right w:val="nil"/>
                <w:between w:val="nil"/>
              </w:pBdr>
              <w:tabs>
                <w:tab w:val="left" w:pos="426"/>
              </w:tabs>
              <w:ind w:right="30"/>
              <w:jc w:val="both"/>
              <w:rPr>
                <w:rFonts w:ascii="Times New Roman" w:eastAsia="Times New Roman" w:hAnsi="Times New Roman" w:cs="Times New Roman"/>
                <w:sz w:val="22"/>
                <w:szCs w:val="22"/>
              </w:rPr>
            </w:pPr>
          </w:p>
        </w:tc>
        <w:tc>
          <w:tcPr>
            <w:tcW w:w="1559" w:type="dxa"/>
          </w:tcPr>
          <w:p w14:paraId="4516CB91"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Compatibil</w:t>
            </w:r>
          </w:p>
        </w:tc>
        <w:tc>
          <w:tcPr>
            <w:tcW w:w="2589" w:type="dxa"/>
          </w:tcPr>
          <w:p w14:paraId="168C48CE" w14:textId="77777777" w:rsidR="002F36A6" w:rsidRDefault="002F36A6">
            <w:pPr>
              <w:jc w:val="both"/>
              <w:rPr>
                <w:rFonts w:ascii="Times New Roman" w:eastAsia="Times New Roman" w:hAnsi="Times New Roman" w:cs="Times New Roman"/>
                <w:b/>
                <w:bCs/>
                <w:color w:val="000000"/>
                <w:sz w:val="22"/>
                <w:szCs w:val="22"/>
              </w:rPr>
            </w:pPr>
          </w:p>
        </w:tc>
      </w:tr>
      <w:tr w:rsidR="002F36A6" w14:paraId="5740C033" w14:textId="77777777">
        <w:tc>
          <w:tcPr>
            <w:tcW w:w="6957" w:type="dxa"/>
          </w:tcPr>
          <w:p w14:paraId="6DD16D26"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(ii)produse pescărești, astfel cum sunt definite în Regulamentul (CE) nr. 853/2004 al Parlamentului European și al Consiliului (14);</w:t>
            </w:r>
          </w:p>
        </w:tc>
        <w:tc>
          <w:tcPr>
            <w:tcW w:w="4877" w:type="dxa"/>
          </w:tcPr>
          <w:p w14:paraId="1655302F" w14:textId="77777777" w:rsidR="002F36A6" w:rsidRDefault="00000000">
            <w:pPr>
              <w:widowControl w:val="0"/>
              <w:tabs>
                <w:tab w:val="left" w:pos="360"/>
                <w:tab w:val="left" w:pos="851"/>
                <w:tab w:val="left" w:pos="993"/>
                <w:tab w:val="left" w:pos="1276"/>
              </w:tabs>
              <w:ind w:right="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5.1.2. produse pescărești, astfel cum sunt definite în Cerințele specifice de igienă care se aplică alimentelor de origine animală aprobate prin Hotărârea Guvernului nr. 692/2025;</w:t>
            </w:r>
          </w:p>
          <w:p w14:paraId="5D264BC5" w14:textId="77777777" w:rsidR="002F36A6" w:rsidRDefault="002F36A6">
            <w:pPr>
              <w:widowControl w:val="0"/>
              <w:tabs>
                <w:tab w:val="left" w:pos="360"/>
                <w:tab w:val="left" w:pos="851"/>
                <w:tab w:val="left" w:pos="993"/>
                <w:tab w:val="left" w:pos="1276"/>
              </w:tabs>
              <w:ind w:right="9"/>
              <w:jc w:val="both"/>
              <w:rPr>
                <w:rFonts w:ascii="Times New Roman" w:eastAsia="Times New Roman" w:hAnsi="Times New Roman" w:cs="Times New Roman"/>
                <w:sz w:val="22"/>
                <w:szCs w:val="22"/>
              </w:rPr>
            </w:pPr>
          </w:p>
        </w:tc>
        <w:tc>
          <w:tcPr>
            <w:tcW w:w="1559" w:type="dxa"/>
          </w:tcPr>
          <w:p w14:paraId="2135B676"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Compatibil</w:t>
            </w:r>
          </w:p>
        </w:tc>
        <w:tc>
          <w:tcPr>
            <w:tcW w:w="2589" w:type="dxa"/>
          </w:tcPr>
          <w:p w14:paraId="24A583F1" w14:textId="77777777" w:rsidR="002F36A6" w:rsidRDefault="00000000">
            <w:pPr>
              <w:jc w:val="both"/>
              <w:rPr>
                <w:rFonts w:ascii="Times New Roman" w:eastAsia="Times New Roman" w:hAnsi="Times New Roman" w:cs="Times New Roman"/>
                <w:color w:val="333333"/>
                <w:sz w:val="22"/>
                <w:szCs w:val="22"/>
                <w:highlight w:val="white"/>
              </w:rPr>
            </w:pPr>
            <w:r>
              <w:rPr>
                <w:rFonts w:ascii="Times New Roman" w:eastAsia="Times New Roman" w:hAnsi="Times New Roman" w:cs="Times New Roman"/>
                <w:sz w:val="22"/>
                <w:szCs w:val="22"/>
              </w:rPr>
              <w:t xml:space="preserve">La moment </w:t>
            </w:r>
            <w:r>
              <w:rPr>
                <w:rFonts w:ascii="Times New Roman" w:eastAsia="Times New Roman" w:hAnsi="Times New Roman" w:cs="Times New Roman"/>
                <w:color w:val="333333"/>
                <w:sz w:val="22"/>
                <w:szCs w:val="22"/>
              </w:rPr>
              <w:t xml:space="preserve"> Regulile specifice de igienă a produselor alimentare de origine animală sunt aprobate prin </w:t>
            </w:r>
            <w:r>
              <w:rPr>
                <w:rFonts w:ascii="Times New Roman" w:eastAsia="Times New Roman" w:hAnsi="Times New Roman" w:cs="Times New Roman"/>
                <w:sz w:val="22"/>
                <w:szCs w:val="22"/>
              </w:rPr>
              <w:t xml:space="preserve">Hotărârea Guvernului nr. 435/2010 dar aceasta  urmează a fi abrogată prin Hotărârea Guvernului nr. 692/2025 pentru aprobarea </w:t>
            </w:r>
            <w:r>
              <w:rPr>
                <w:rFonts w:ascii="Times New Roman" w:eastAsia="Times New Roman" w:hAnsi="Times New Roman" w:cs="Times New Roman"/>
                <w:color w:val="333333"/>
                <w:sz w:val="22"/>
                <w:szCs w:val="22"/>
              </w:rPr>
              <w:t xml:space="preserve">Cerințelor specifice de igienă care se aplică alimentelor de origine animală </w:t>
            </w:r>
            <w:r>
              <w:rPr>
                <w:rFonts w:ascii="Times New Roman" w:eastAsia="Times New Roman" w:hAnsi="Times New Roman" w:cs="Times New Roman"/>
                <w:color w:val="333333"/>
                <w:sz w:val="22"/>
                <w:szCs w:val="22"/>
                <w:highlight w:val="white"/>
              </w:rPr>
              <w:t>care va intra în vigoare la data intrării în vigoare a Legii nr. 82/2024 privind controalele oficiale în domeniul agroalimentar.</w:t>
            </w:r>
          </w:p>
          <w:p w14:paraId="7CC37B6E" w14:textId="77777777" w:rsidR="002F36A6" w:rsidRDefault="002F36A6">
            <w:pPr>
              <w:jc w:val="both"/>
              <w:rPr>
                <w:rFonts w:ascii="Times New Roman" w:eastAsia="Times New Roman" w:hAnsi="Times New Roman" w:cs="Times New Roman"/>
                <w:color w:val="333333"/>
                <w:sz w:val="22"/>
                <w:szCs w:val="22"/>
                <w:highlight w:val="white"/>
              </w:rPr>
            </w:pPr>
          </w:p>
          <w:p w14:paraId="726324B7" w14:textId="77777777" w:rsidR="002F36A6" w:rsidRDefault="00000000">
            <w:pPr>
              <w:jc w:val="both"/>
              <w:rPr>
                <w:rFonts w:ascii="Times New Roman" w:eastAsia="Times New Roman" w:hAnsi="Times New Roman" w:cs="Times New Roman"/>
                <w:color w:val="333333"/>
                <w:sz w:val="22"/>
                <w:szCs w:val="22"/>
                <w:highlight w:val="white"/>
              </w:rPr>
            </w:pPr>
            <w:r>
              <w:rPr>
                <w:rFonts w:ascii="Times New Roman" w:eastAsia="Times New Roman" w:hAnsi="Times New Roman" w:cs="Times New Roman"/>
                <w:color w:val="333333"/>
                <w:sz w:val="22"/>
                <w:szCs w:val="22"/>
                <w:highlight w:val="white"/>
              </w:rPr>
              <w:t xml:space="preserve">Având în vedere că și prezenta hotărâre la fel va intra in vigoare Legii nr. 82/2024 privind controalele oficiale în domeniul agroalimentar se consideră oportun  ca in text să fie menționată </w:t>
            </w:r>
            <w:r>
              <w:rPr>
                <w:rFonts w:ascii="Times New Roman" w:eastAsia="Times New Roman" w:hAnsi="Times New Roman" w:cs="Times New Roman"/>
                <w:sz w:val="22"/>
                <w:szCs w:val="22"/>
              </w:rPr>
              <w:t>Hotărârea Guvernului nr. 692/2025.</w:t>
            </w:r>
          </w:p>
          <w:p w14:paraId="60848720" w14:textId="77777777" w:rsidR="002F36A6" w:rsidRDefault="00000000">
            <w:pPr>
              <w:jc w:val="both"/>
              <w:rPr>
                <w:rFonts w:ascii="Times New Roman" w:eastAsia="Times New Roman" w:hAnsi="Times New Roman" w:cs="Times New Roman"/>
                <w:b/>
                <w:bCs/>
                <w:color w:val="000000"/>
                <w:sz w:val="22"/>
                <w:szCs w:val="22"/>
              </w:rPr>
            </w:pPr>
            <w:r>
              <w:rPr>
                <w:rFonts w:ascii="Georgia" w:eastAsia="Georgia" w:hAnsi="Georgia" w:cs="Georgia"/>
                <w:b/>
                <w:bCs/>
                <w:color w:val="333333"/>
                <w:highlight w:val="white"/>
              </w:rPr>
              <w:lastRenderedPageBreak/>
              <w:t xml:space="preserve"> </w:t>
            </w:r>
          </w:p>
        </w:tc>
      </w:tr>
      <w:tr w:rsidR="002F36A6" w14:paraId="395D944E" w14:textId="77777777">
        <w:tc>
          <w:tcPr>
            <w:tcW w:w="6957" w:type="dxa"/>
          </w:tcPr>
          <w:p w14:paraId="6A1A3BBE" w14:textId="77777777" w:rsidR="002F36A6"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(b)articolele finite de unică folosință destinate să vină în contact cu alimentele pe care s-a aplicat un material pentru învelișul interior al recipientelor, fabricat utilizând BPA, dar numai pe suprafața metalică exterioară.</w:t>
            </w:r>
          </w:p>
          <w:p w14:paraId="0B72D25A" w14:textId="77777777" w:rsidR="002F36A6" w:rsidRDefault="002F36A6">
            <w:pPr>
              <w:rPr>
                <w:rFonts w:ascii="Times New Roman" w:eastAsia="Times New Roman" w:hAnsi="Times New Roman" w:cs="Times New Roman"/>
                <w:sz w:val="22"/>
                <w:szCs w:val="22"/>
              </w:rPr>
            </w:pPr>
          </w:p>
        </w:tc>
        <w:tc>
          <w:tcPr>
            <w:tcW w:w="4877" w:type="dxa"/>
          </w:tcPr>
          <w:p w14:paraId="4EFC7081" w14:textId="77777777" w:rsidR="002F36A6" w:rsidRDefault="00000000">
            <w:pPr>
              <w:widowControl w:val="0"/>
              <w:tabs>
                <w:tab w:val="left" w:pos="426"/>
              </w:tabs>
              <w:ind w:right="3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5.2. articolele finite de unică folosință destinate să vină în contact cu produsele alimentare pe care s-a aplicat un material pentru învelișul interior al recipientelor, fabricat utilizând BPA, dar numai pe suprafața metalică exterioară.</w:t>
            </w:r>
          </w:p>
        </w:tc>
        <w:tc>
          <w:tcPr>
            <w:tcW w:w="1559" w:type="dxa"/>
          </w:tcPr>
          <w:p w14:paraId="4574EC57"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t>Compatibil</w:t>
            </w:r>
          </w:p>
        </w:tc>
        <w:tc>
          <w:tcPr>
            <w:tcW w:w="2589" w:type="dxa"/>
          </w:tcPr>
          <w:p w14:paraId="319B9987" w14:textId="77777777" w:rsidR="002F36A6" w:rsidRDefault="002F36A6">
            <w:pPr>
              <w:jc w:val="both"/>
              <w:rPr>
                <w:rFonts w:ascii="Times New Roman" w:eastAsia="Times New Roman" w:hAnsi="Times New Roman" w:cs="Times New Roman"/>
                <w:b/>
                <w:bCs/>
                <w:color w:val="000000"/>
                <w:sz w:val="22"/>
                <w:szCs w:val="22"/>
              </w:rPr>
            </w:pPr>
          </w:p>
        </w:tc>
      </w:tr>
      <w:tr w:rsidR="002F36A6" w14:paraId="0E58C5C9" w14:textId="77777777">
        <w:tc>
          <w:tcPr>
            <w:tcW w:w="6957" w:type="dxa"/>
          </w:tcPr>
          <w:p w14:paraId="560F3A05"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Articolele finite de unică folosință destinate să vină în contact cu alimentele introduse pe piață </w:t>
            </w:r>
            <w:r>
              <w:rPr>
                <w:rFonts w:ascii="Times New Roman" w:eastAsia="Times New Roman" w:hAnsi="Times New Roman" w:cs="Times New Roman"/>
                <w:color w:val="333333"/>
                <w:sz w:val="22"/>
                <w:szCs w:val="22"/>
                <w:highlight w:val="white"/>
              </w:rPr>
              <w:t xml:space="preserve">pentru prima dată </w:t>
            </w:r>
            <w:r>
              <w:rPr>
                <w:rFonts w:ascii="Times New Roman" w:eastAsia="Times New Roman" w:hAnsi="Times New Roman" w:cs="Times New Roman"/>
                <w:color w:val="000000"/>
                <w:sz w:val="22"/>
                <w:szCs w:val="22"/>
              </w:rPr>
              <w:t>în conformitate cu alineatele (1) și (2) pot fi umplute cu alimente și sigilate timp de 12 luni de la expirarea perioadei de tranziție aplicabile. Alimentele ambalate rezultate pot fi introduse pe piață până la epuizarea stocurilor.</w:t>
            </w:r>
          </w:p>
        </w:tc>
        <w:tc>
          <w:tcPr>
            <w:tcW w:w="4877" w:type="dxa"/>
          </w:tcPr>
          <w:p w14:paraId="2131A8CF"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p w14:paraId="0925E29F" w14:textId="77777777"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Transpus prin pct. 6 din hotărâre:</w:t>
            </w:r>
          </w:p>
          <w:p w14:paraId="0D73A3F0" w14:textId="77777777" w:rsidR="002F36A6" w:rsidRDefault="002F36A6">
            <w:pPr>
              <w:widowControl w:val="0"/>
              <w:pBdr>
                <w:top w:val="nil"/>
                <w:left w:val="nil"/>
                <w:bottom w:val="nil"/>
                <w:right w:val="nil"/>
                <w:between w:val="nil"/>
              </w:pBdr>
              <w:tabs>
                <w:tab w:val="left" w:pos="426"/>
              </w:tabs>
              <w:ind w:right="30"/>
              <w:jc w:val="both"/>
              <w:rPr>
                <w:rFonts w:ascii="Times New Roman" w:eastAsia="Times New Roman" w:hAnsi="Times New Roman" w:cs="Times New Roman"/>
                <w:sz w:val="22"/>
                <w:szCs w:val="22"/>
              </w:rPr>
            </w:pPr>
          </w:p>
          <w:p w14:paraId="2864EE2E" w14:textId="77777777" w:rsidR="002F36A6" w:rsidRDefault="00000000">
            <w:pPr>
              <w:widowControl w:val="0"/>
              <w:pBdr>
                <w:top w:val="nil"/>
                <w:left w:val="nil"/>
                <w:bottom w:val="nil"/>
                <w:right w:val="nil"/>
                <w:between w:val="nil"/>
              </w:pBdr>
              <w:tabs>
                <w:tab w:val="left" w:pos="426"/>
              </w:tabs>
              <w:ind w:right="30"/>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6. </w:t>
            </w:r>
            <w:r>
              <w:rPr>
                <w:rFonts w:ascii="Times New Roman" w:eastAsia="Times New Roman" w:hAnsi="Times New Roman" w:cs="Times New Roman"/>
                <w:color w:val="000000"/>
                <w:sz w:val="22"/>
                <w:szCs w:val="22"/>
              </w:rPr>
              <w:tab/>
              <w:t xml:space="preserve">Articolele finite de unică folosință destinate să vină în contact cu produsele alimentare introduse pe piață </w:t>
            </w:r>
            <w:r>
              <w:rPr>
                <w:rFonts w:ascii="Times New Roman" w:eastAsia="Times New Roman" w:hAnsi="Times New Roman" w:cs="Times New Roman"/>
                <w:color w:val="333333"/>
                <w:sz w:val="22"/>
                <w:szCs w:val="22"/>
                <w:highlight w:val="white"/>
              </w:rPr>
              <w:t xml:space="preserve">pentru prima dată </w:t>
            </w:r>
            <w:r>
              <w:rPr>
                <w:rFonts w:ascii="Times New Roman" w:eastAsia="Times New Roman" w:hAnsi="Times New Roman" w:cs="Times New Roman"/>
                <w:color w:val="000000"/>
                <w:sz w:val="22"/>
                <w:szCs w:val="22"/>
              </w:rPr>
              <w:t>în conformitate cu p</w:t>
            </w:r>
            <w:r>
              <w:rPr>
                <w:rFonts w:ascii="Times New Roman" w:eastAsia="Times New Roman" w:hAnsi="Times New Roman" w:cs="Times New Roman"/>
                <w:sz w:val="22"/>
                <w:szCs w:val="22"/>
              </w:rPr>
              <w:t>ct.4 și pct. 5</w:t>
            </w:r>
            <w:r>
              <w:rPr>
                <w:rFonts w:ascii="Times New Roman" w:eastAsia="Times New Roman" w:hAnsi="Times New Roman" w:cs="Times New Roman"/>
                <w:color w:val="000000"/>
                <w:sz w:val="22"/>
                <w:szCs w:val="22"/>
              </w:rPr>
              <w:t xml:space="preserve"> pot fi umplute cu produsele alimentare și sigilate timp de 12 luni de la expirarea perioadei de tranziție aplicabile. Produsele alimentare ambalate rezultate pot fi introduse pe piață până la epuizarea stocurilor.</w:t>
            </w:r>
          </w:p>
        </w:tc>
        <w:tc>
          <w:tcPr>
            <w:tcW w:w="1559" w:type="dxa"/>
          </w:tcPr>
          <w:p w14:paraId="431212D5"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compatibil</w:t>
            </w:r>
          </w:p>
        </w:tc>
        <w:tc>
          <w:tcPr>
            <w:tcW w:w="2589" w:type="dxa"/>
          </w:tcPr>
          <w:p w14:paraId="27695118" w14:textId="77777777" w:rsidR="002F36A6" w:rsidRDefault="002F36A6">
            <w:pPr>
              <w:jc w:val="both"/>
              <w:rPr>
                <w:rFonts w:ascii="Times New Roman" w:eastAsia="Times New Roman" w:hAnsi="Times New Roman" w:cs="Times New Roman"/>
                <w:b/>
                <w:bCs/>
                <w:color w:val="000000"/>
                <w:sz w:val="22"/>
                <w:szCs w:val="22"/>
              </w:rPr>
            </w:pPr>
          </w:p>
        </w:tc>
      </w:tr>
      <w:tr w:rsidR="002F36A6" w14:paraId="65E86961" w14:textId="77777777">
        <w:tc>
          <w:tcPr>
            <w:tcW w:w="6957" w:type="dxa"/>
          </w:tcPr>
          <w:p w14:paraId="7EA86F1B" w14:textId="77777777" w:rsidR="002F36A6" w:rsidRDefault="00000000">
            <w:pPr>
              <w:ind w:firstLine="708"/>
              <w:rPr>
                <w:rFonts w:ascii="Times New Roman" w:eastAsia="Times New Roman" w:hAnsi="Times New Roman" w:cs="Times New Roman"/>
                <w:color w:val="000000"/>
                <w:sz w:val="22"/>
                <w:szCs w:val="22"/>
              </w:rPr>
            </w:pPr>
            <w:bookmarkStart w:id="6" w:name="_heading=h.v55rxhtd2pb" w:colFirst="0" w:colLast="0"/>
            <w:bookmarkEnd w:id="6"/>
            <w:r>
              <w:rPr>
                <w:rFonts w:ascii="Times New Roman" w:eastAsia="Times New Roman" w:hAnsi="Times New Roman" w:cs="Times New Roman"/>
                <w:color w:val="000000"/>
                <w:sz w:val="22"/>
                <w:szCs w:val="22"/>
              </w:rPr>
              <w:t>Articolul 12</w:t>
            </w:r>
          </w:p>
          <w:p w14:paraId="1EBB5CC4" w14:textId="77777777" w:rsidR="002F36A6" w:rsidRDefault="00000000">
            <w:pP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Dispoziții tranzitorii privind articolele finite reutilizabile destinate să vină în contact cu alimentele</w:t>
            </w:r>
          </w:p>
          <w:p w14:paraId="14E28BB8"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Articolele finite reutilizabile destinate să vină în contact cu alimentele fabricate utilizând BPA și care respectă normele aplicabile înainte de data intrării în vigoare a prezentului regulament, care nu respectă normele din prezentul regulament, pot fi introduse pe piață pentru prima dată până la 20 iulie 2026.</w:t>
            </w:r>
          </w:p>
          <w:p w14:paraId="5216D461" w14:textId="77777777" w:rsidR="002F36A6" w:rsidRDefault="002F36A6">
            <w:pPr>
              <w:ind w:firstLine="708"/>
              <w:rPr>
                <w:rFonts w:ascii="Times New Roman" w:eastAsia="Times New Roman" w:hAnsi="Times New Roman" w:cs="Times New Roman"/>
                <w:color w:val="000000"/>
                <w:sz w:val="22"/>
                <w:szCs w:val="22"/>
              </w:rPr>
            </w:pPr>
          </w:p>
        </w:tc>
        <w:tc>
          <w:tcPr>
            <w:tcW w:w="4877" w:type="dxa"/>
          </w:tcPr>
          <w:p w14:paraId="50DE7277" w14:textId="77777777" w:rsidR="002F36A6" w:rsidRDefault="002F36A6">
            <w:pPr>
              <w:widowControl w:val="0"/>
              <w:pBdr>
                <w:top w:val="nil"/>
                <w:left w:val="nil"/>
                <w:bottom w:val="nil"/>
                <w:right w:val="nil"/>
                <w:between w:val="nil"/>
              </w:pBdr>
              <w:tabs>
                <w:tab w:val="left" w:pos="426"/>
              </w:tabs>
              <w:ind w:right="30"/>
              <w:jc w:val="both"/>
              <w:rPr>
                <w:rFonts w:ascii="Times New Roman" w:eastAsia="Times New Roman" w:hAnsi="Times New Roman" w:cs="Times New Roman"/>
                <w:b/>
                <w:bCs/>
                <w:sz w:val="22"/>
                <w:szCs w:val="22"/>
              </w:rPr>
            </w:pPr>
          </w:p>
          <w:p w14:paraId="00DA2849" w14:textId="77777777"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Transpus prin pct. 7 din hotărâre:</w:t>
            </w:r>
          </w:p>
          <w:p w14:paraId="4C481EF5" w14:textId="77777777" w:rsidR="002F36A6" w:rsidRDefault="002F36A6">
            <w:pPr>
              <w:widowControl w:val="0"/>
              <w:pBdr>
                <w:top w:val="nil"/>
                <w:left w:val="nil"/>
                <w:bottom w:val="nil"/>
                <w:right w:val="nil"/>
                <w:between w:val="nil"/>
              </w:pBdr>
              <w:tabs>
                <w:tab w:val="left" w:pos="426"/>
              </w:tabs>
              <w:ind w:right="30"/>
              <w:jc w:val="both"/>
              <w:rPr>
                <w:rFonts w:ascii="Times New Roman" w:eastAsia="Times New Roman" w:hAnsi="Times New Roman" w:cs="Times New Roman"/>
                <w:sz w:val="16"/>
                <w:szCs w:val="16"/>
              </w:rPr>
            </w:pPr>
          </w:p>
          <w:p w14:paraId="05D87DD1" w14:textId="77777777" w:rsidR="002F36A6" w:rsidRDefault="00000000">
            <w:pPr>
              <w:widowControl w:val="0"/>
              <w:pBdr>
                <w:top w:val="nil"/>
                <w:left w:val="nil"/>
                <w:bottom w:val="nil"/>
                <w:right w:val="nil"/>
                <w:between w:val="nil"/>
              </w:pBdr>
              <w:tabs>
                <w:tab w:val="left" w:pos="426"/>
              </w:tabs>
              <w:ind w:right="30"/>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sz w:val="22"/>
                <w:szCs w:val="22"/>
              </w:rPr>
              <w:t xml:space="preserve">7. </w:t>
            </w:r>
            <w:r>
              <w:rPr>
                <w:rFonts w:ascii="Times New Roman" w:eastAsia="Times New Roman" w:hAnsi="Times New Roman" w:cs="Times New Roman"/>
                <w:color w:val="000000"/>
                <w:sz w:val="22"/>
                <w:szCs w:val="22"/>
              </w:rPr>
              <w:t xml:space="preserve"> Articolele finite reutilizabile destinate să vină în contact cu produsele alimentare fabricate utilizând BPA și care respectă normele aplicabile înainte de data intrării în vigoare a prezentului regulament, care nu respectă normele din prezentul regulament, pot fi introduse pe piață pentru prima dată până la </w:t>
            </w:r>
            <w:r>
              <w:rPr>
                <w:rFonts w:ascii="Times New Roman" w:eastAsia="Times New Roman" w:hAnsi="Times New Roman" w:cs="Times New Roman"/>
                <w:color w:val="000000"/>
                <w:sz w:val="22"/>
                <w:szCs w:val="22"/>
                <w:highlight w:val="white"/>
              </w:rPr>
              <w:t>20 iulie 202</w:t>
            </w:r>
            <w:r>
              <w:rPr>
                <w:rFonts w:ascii="Times New Roman" w:eastAsia="Times New Roman" w:hAnsi="Times New Roman" w:cs="Times New Roman"/>
                <w:sz w:val="22"/>
                <w:szCs w:val="22"/>
                <w:highlight w:val="white"/>
              </w:rPr>
              <w:t>7</w:t>
            </w:r>
            <w:r>
              <w:rPr>
                <w:rFonts w:ascii="Times New Roman" w:eastAsia="Times New Roman" w:hAnsi="Times New Roman" w:cs="Times New Roman"/>
                <w:color w:val="000000"/>
                <w:sz w:val="22"/>
                <w:szCs w:val="22"/>
                <w:highlight w:val="white"/>
              </w:rPr>
              <w:t>.</w:t>
            </w:r>
          </w:p>
          <w:p w14:paraId="5D5F6D93" w14:textId="77777777" w:rsidR="002F36A6" w:rsidRDefault="002F36A6">
            <w:pPr>
              <w:widowControl w:val="0"/>
              <w:pBdr>
                <w:top w:val="nil"/>
                <w:left w:val="nil"/>
                <w:bottom w:val="nil"/>
                <w:right w:val="nil"/>
                <w:between w:val="nil"/>
              </w:pBdr>
              <w:tabs>
                <w:tab w:val="left" w:pos="426"/>
              </w:tabs>
              <w:ind w:right="30"/>
              <w:jc w:val="both"/>
              <w:rPr>
                <w:rFonts w:ascii="Times New Roman" w:eastAsia="Times New Roman" w:hAnsi="Times New Roman" w:cs="Times New Roman"/>
                <w:color w:val="000000"/>
                <w:sz w:val="22"/>
                <w:szCs w:val="22"/>
              </w:rPr>
            </w:pPr>
          </w:p>
        </w:tc>
        <w:tc>
          <w:tcPr>
            <w:tcW w:w="1559" w:type="dxa"/>
          </w:tcPr>
          <w:p w14:paraId="30FB9883"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Compatibil</w:t>
            </w:r>
          </w:p>
        </w:tc>
        <w:tc>
          <w:tcPr>
            <w:tcW w:w="2589" w:type="dxa"/>
          </w:tcPr>
          <w:p w14:paraId="3F16B9F3" w14:textId="77777777" w:rsidR="002F36A6" w:rsidRDefault="00000000">
            <w:pPr>
              <w:jc w:val="both"/>
              <w:rPr>
                <w:rFonts w:ascii="Times New Roman" w:eastAsia="Times New Roman" w:hAnsi="Times New Roman" w:cs="Times New Roman"/>
                <w:b/>
                <w:bCs/>
                <w:color w:val="000000"/>
                <w:sz w:val="22"/>
                <w:szCs w:val="22"/>
              </w:rPr>
            </w:pPr>
            <w:r>
              <w:rPr>
                <w:rFonts w:ascii="Times New Roman" w:eastAsia="Times New Roman" w:hAnsi="Times New Roman" w:cs="Times New Roman"/>
                <w:sz w:val="22"/>
                <w:szCs w:val="22"/>
              </w:rPr>
              <w:t>Având în vedere că proiectul de act normativ național va fi aprobat în 2026, și că acest termen va fi depășit se propune ca aceasta dispoziție tranzitorie  să fie tranferată pentru anul 2027.</w:t>
            </w:r>
          </w:p>
        </w:tc>
      </w:tr>
      <w:tr w:rsidR="002F36A6" w14:paraId="5007A3C3" w14:textId="77777777">
        <w:tc>
          <w:tcPr>
            <w:tcW w:w="6957" w:type="dxa"/>
          </w:tcPr>
          <w:p w14:paraId="201FA0BB"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Prin derogare de la alineatul (1), articolele finite reutilizabile destinate să vină în contact cu alimentele utilizate ca echipamente profesionale de producție alimentară, care respectă normele aplicabile înainte de data intrării în vigoare a prezentului regulament, care nu respectă normele din prezentul regulament, pot fi introduse pe piață pentru prima dată până la 20 ianuarie 2028.</w:t>
            </w:r>
          </w:p>
          <w:p w14:paraId="7865EE63" w14:textId="77777777" w:rsidR="002F36A6" w:rsidRDefault="002F36A6">
            <w:pPr>
              <w:ind w:firstLine="708"/>
              <w:rPr>
                <w:rFonts w:ascii="Times New Roman" w:eastAsia="Times New Roman" w:hAnsi="Times New Roman" w:cs="Times New Roman"/>
                <w:i/>
                <w:iCs/>
                <w:color w:val="000000"/>
                <w:sz w:val="22"/>
                <w:szCs w:val="22"/>
              </w:rPr>
            </w:pPr>
          </w:p>
        </w:tc>
        <w:tc>
          <w:tcPr>
            <w:tcW w:w="4877" w:type="dxa"/>
          </w:tcPr>
          <w:p w14:paraId="79773E9A" w14:textId="77777777" w:rsidR="002F36A6" w:rsidRDefault="00000000">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Transpus prin pct. 8 din hotărâre:</w:t>
            </w:r>
          </w:p>
          <w:p w14:paraId="6EA996D9" w14:textId="77777777" w:rsidR="002F36A6" w:rsidRDefault="002F36A6">
            <w:pPr>
              <w:widowControl w:val="0"/>
              <w:pBdr>
                <w:top w:val="nil"/>
                <w:left w:val="nil"/>
                <w:bottom w:val="nil"/>
                <w:right w:val="nil"/>
                <w:between w:val="nil"/>
              </w:pBdr>
              <w:tabs>
                <w:tab w:val="left" w:pos="426"/>
              </w:tabs>
              <w:ind w:right="30"/>
              <w:jc w:val="both"/>
              <w:rPr>
                <w:rFonts w:ascii="Times New Roman" w:eastAsia="Times New Roman" w:hAnsi="Times New Roman" w:cs="Times New Roman"/>
                <w:sz w:val="22"/>
                <w:szCs w:val="22"/>
              </w:rPr>
            </w:pPr>
          </w:p>
          <w:p w14:paraId="7B0CFB3D" w14:textId="77777777" w:rsidR="002F36A6" w:rsidRDefault="00000000">
            <w:pPr>
              <w:widowControl w:val="0"/>
              <w:pBdr>
                <w:top w:val="nil"/>
                <w:left w:val="nil"/>
                <w:bottom w:val="nil"/>
                <w:right w:val="nil"/>
                <w:between w:val="nil"/>
              </w:pBdr>
              <w:tabs>
                <w:tab w:val="left" w:pos="426"/>
              </w:tabs>
              <w:ind w:right="30"/>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8. </w:t>
            </w:r>
            <w:r>
              <w:rPr>
                <w:rFonts w:ascii="Times New Roman" w:eastAsia="Times New Roman" w:hAnsi="Times New Roman" w:cs="Times New Roman"/>
                <w:color w:val="000000"/>
                <w:sz w:val="22"/>
                <w:szCs w:val="22"/>
              </w:rPr>
              <w:t>Prin derogare de la pct. 7, articolele finite reutilizabile destinate să vină în contact cu produsele alimentare utilizate ca echipamente profesionale de producție alimentară, care respectă normele aplicabile înainte de data intrării în vigoare a prezentului regulament, care nu respectă normele din prezentul regulament, pot fi introduse pe piață pentru prima dată până la 20 ianuarie 2028.</w:t>
            </w:r>
          </w:p>
          <w:p w14:paraId="3C0F4F77"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tc>
        <w:tc>
          <w:tcPr>
            <w:tcW w:w="1559" w:type="dxa"/>
          </w:tcPr>
          <w:p w14:paraId="32686F42"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Compatibil</w:t>
            </w:r>
          </w:p>
        </w:tc>
        <w:tc>
          <w:tcPr>
            <w:tcW w:w="2589" w:type="dxa"/>
          </w:tcPr>
          <w:p w14:paraId="6B810772" w14:textId="77777777" w:rsidR="002F36A6" w:rsidRDefault="002F36A6">
            <w:pPr>
              <w:jc w:val="both"/>
              <w:rPr>
                <w:rFonts w:ascii="Times New Roman" w:eastAsia="Times New Roman" w:hAnsi="Times New Roman" w:cs="Times New Roman"/>
                <w:b/>
                <w:bCs/>
                <w:color w:val="000000"/>
                <w:sz w:val="22"/>
                <w:szCs w:val="22"/>
              </w:rPr>
            </w:pPr>
          </w:p>
        </w:tc>
      </w:tr>
      <w:tr w:rsidR="002F36A6" w14:paraId="52C504AC" w14:textId="77777777">
        <w:tc>
          <w:tcPr>
            <w:tcW w:w="6957" w:type="dxa"/>
          </w:tcPr>
          <w:p w14:paraId="502259B6" w14:textId="77777777" w:rsidR="002F36A6" w:rsidRDefault="00000000">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(3)   Articolele finite reutilizabile destinate să vină în contact cu alimentele care au fost introduse pentru prima dată pe piață în conformitate cu alineatele (1) </w:t>
            </w:r>
            <w:r>
              <w:rPr>
                <w:rFonts w:ascii="Times New Roman" w:eastAsia="Times New Roman" w:hAnsi="Times New Roman" w:cs="Times New Roman"/>
                <w:color w:val="333333"/>
                <w:sz w:val="22"/>
                <w:szCs w:val="22"/>
                <w:highlight w:val="white"/>
              </w:rPr>
              <w:t xml:space="preserve">pot rămâne pe piață până la 20 iulie 2027. Articolele finite reutilizabile destinate să vină în contact cu alimentele care au fost introduse pentru prima dată pe piață în conformitate cu alineatul (2) pot rămâne pe piață până la 20 ianuarie 2029. </w:t>
            </w:r>
          </w:p>
          <w:p w14:paraId="50D88E35" w14:textId="77777777" w:rsidR="002F36A6" w:rsidRDefault="002F36A6">
            <w:pPr>
              <w:ind w:firstLine="708"/>
              <w:rPr>
                <w:rFonts w:ascii="Times New Roman" w:eastAsia="Times New Roman" w:hAnsi="Times New Roman" w:cs="Times New Roman"/>
                <w:i/>
                <w:iCs/>
                <w:color w:val="000000"/>
                <w:sz w:val="22"/>
                <w:szCs w:val="22"/>
              </w:rPr>
            </w:pPr>
          </w:p>
        </w:tc>
        <w:tc>
          <w:tcPr>
            <w:tcW w:w="4877" w:type="dxa"/>
          </w:tcPr>
          <w:p w14:paraId="1ED46118" w14:textId="77777777" w:rsidR="002F36A6" w:rsidRDefault="00000000">
            <w:pPr>
              <w:ind w:right="30"/>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Transpus prin pct. 9 din hotărâre</w:t>
            </w:r>
          </w:p>
          <w:p w14:paraId="549DA764" w14:textId="77777777" w:rsidR="002F36A6" w:rsidRDefault="002F36A6">
            <w:pPr>
              <w:ind w:right="30"/>
              <w:jc w:val="both"/>
              <w:rPr>
                <w:rFonts w:ascii="Times New Roman" w:eastAsia="Times New Roman" w:hAnsi="Times New Roman" w:cs="Times New Roman"/>
                <w:sz w:val="22"/>
                <w:szCs w:val="22"/>
              </w:rPr>
            </w:pPr>
          </w:p>
          <w:p w14:paraId="3F2B80B8" w14:textId="77777777" w:rsidR="002F36A6" w:rsidRDefault="00000000">
            <w:pPr>
              <w:ind w:right="30"/>
              <w:jc w:val="both"/>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 xml:space="preserve">9. </w:t>
            </w:r>
            <w:r>
              <w:rPr>
                <w:rFonts w:ascii="Times New Roman" w:eastAsia="Times New Roman" w:hAnsi="Times New Roman" w:cs="Times New Roman"/>
                <w:color w:val="000000"/>
                <w:sz w:val="22"/>
                <w:szCs w:val="22"/>
              </w:rPr>
              <w:t xml:space="preserve"> Articolele finite reutilizabile destinate să vină în contact cu produsele alimentare care au fost introduse pentru prima dată pe piață în conformitate cu pct. 7 </w:t>
            </w:r>
            <w:r>
              <w:rPr>
                <w:rFonts w:ascii="Times New Roman" w:eastAsia="Times New Roman" w:hAnsi="Times New Roman" w:cs="Times New Roman"/>
                <w:color w:val="333333"/>
                <w:sz w:val="22"/>
                <w:szCs w:val="22"/>
                <w:highlight w:val="white"/>
              </w:rPr>
              <w:t>pot rămâne pe piață până la 20 iulie 2028. Articolele finite reutilizabile destinate să vină în contact cu alimentele care au fost introduse pentru prima dată pe piață în conformitate cu punctul 8 pot rămâne pe piață până la 20 ianuarie 2029.</w:t>
            </w:r>
          </w:p>
          <w:p w14:paraId="02F5E113"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tc>
        <w:tc>
          <w:tcPr>
            <w:tcW w:w="1559" w:type="dxa"/>
          </w:tcPr>
          <w:p w14:paraId="2DC83B4B"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Compatibil</w:t>
            </w:r>
          </w:p>
        </w:tc>
        <w:tc>
          <w:tcPr>
            <w:tcW w:w="2589" w:type="dxa"/>
          </w:tcPr>
          <w:p w14:paraId="75977839" w14:textId="77777777" w:rsidR="002F36A6" w:rsidRDefault="00000000">
            <w:pPr>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 xml:space="preserve">Termenul a fost modificat din </w:t>
            </w:r>
            <w:r>
              <w:rPr>
                <w:rFonts w:ascii="Times New Roman" w:eastAsia="Times New Roman" w:hAnsi="Times New Roman" w:cs="Times New Roman"/>
                <w:color w:val="333333"/>
                <w:sz w:val="22"/>
                <w:szCs w:val="22"/>
                <w:highlight w:val="white"/>
              </w:rPr>
              <w:t>20 iulie 2027</w:t>
            </w:r>
            <w:r>
              <w:rPr>
                <w:rFonts w:ascii="Times New Roman" w:eastAsia="Times New Roman" w:hAnsi="Times New Roman" w:cs="Times New Roman"/>
                <w:color w:val="333333"/>
                <w:sz w:val="22"/>
                <w:szCs w:val="22"/>
              </w:rPr>
              <w:t xml:space="preserve"> în 20 iulie 2028, având în vedere că prezentul alineat are tangență cu alin.(1). Prin această modificare s-a obținut același interval de timp între derogări.</w:t>
            </w:r>
          </w:p>
          <w:p w14:paraId="4EEC1A97" w14:textId="77777777" w:rsidR="002F36A6" w:rsidRDefault="002F36A6">
            <w:pPr>
              <w:jc w:val="both"/>
              <w:rPr>
                <w:rFonts w:ascii="Times New Roman" w:eastAsia="Times New Roman" w:hAnsi="Times New Roman" w:cs="Times New Roman"/>
                <w:color w:val="000000"/>
                <w:sz w:val="22"/>
                <w:szCs w:val="22"/>
              </w:rPr>
            </w:pPr>
          </w:p>
        </w:tc>
      </w:tr>
      <w:tr w:rsidR="002F36A6" w14:paraId="380152A8" w14:textId="77777777">
        <w:tc>
          <w:tcPr>
            <w:tcW w:w="6957" w:type="dxa"/>
          </w:tcPr>
          <w:p w14:paraId="6B5110F3"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Articolul 13</w:t>
            </w:r>
          </w:p>
          <w:p w14:paraId="20042BA5" w14:textId="77777777" w:rsidR="002F36A6" w:rsidRDefault="00000000">
            <w:pPr>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Abrogarea</w:t>
            </w:r>
          </w:p>
          <w:p w14:paraId="5B0B2C09" w14:textId="77777777" w:rsidR="002F36A6" w:rsidRDefault="00000000">
            <w:pPr>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Regulamentul (UE) 2018/213 se abrogă.</w:t>
            </w:r>
          </w:p>
          <w:p w14:paraId="56A53FF7" w14:textId="77777777" w:rsidR="002F36A6" w:rsidRDefault="002F36A6">
            <w:pPr>
              <w:ind w:firstLine="708"/>
              <w:rPr>
                <w:rFonts w:ascii="Times New Roman" w:eastAsia="Times New Roman" w:hAnsi="Times New Roman" w:cs="Times New Roman"/>
                <w:i/>
                <w:iCs/>
                <w:color w:val="000000"/>
                <w:sz w:val="22"/>
                <w:szCs w:val="22"/>
              </w:rPr>
            </w:pPr>
          </w:p>
        </w:tc>
        <w:tc>
          <w:tcPr>
            <w:tcW w:w="4877" w:type="dxa"/>
          </w:tcPr>
          <w:p w14:paraId="1C93D9BF"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tc>
        <w:tc>
          <w:tcPr>
            <w:tcW w:w="1559" w:type="dxa"/>
          </w:tcPr>
          <w:p w14:paraId="6F154741"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Prevedere UE neaplicabilă</w:t>
            </w:r>
          </w:p>
        </w:tc>
        <w:tc>
          <w:tcPr>
            <w:tcW w:w="2589" w:type="dxa"/>
          </w:tcPr>
          <w:p w14:paraId="1E5B84C6" w14:textId="77777777" w:rsidR="002F36A6" w:rsidRDefault="002F36A6">
            <w:pPr>
              <w:jc w:val="both"/>
              <w:rPr>
                <w:rFonts w:ascii="Times New Roman" w:eastAsia="Times New Roman" w:hAnsi="Times New Roman" w:cs="Times New Roman"/>
                <w:b/>
                <w:bCs/>
                <w:color w:val="000000"/>
                <w:sz w:val="22"/>
                <w:szCs w:val="22"/>
              </w:rPr>
            </w:pPr>
          </w:p>
        </w:tc>
      </w:tr>
      <w:tr w:rsidR="002F36A6" w14:paraId="316740A4" w14:textId="77777777">
        <w:tc>
          <w:tcPr>
            <w:tcW w:w="6957" w:type="dxa"/>
          </w:tcPr>
          <w:p w14:paraId="25CCCFC0" w14:textId="77777777" w:rsidR="002F36A6" w:rsidRDefault="00000000">
            <w:pPr>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Articolul 14</w:t>
            </w:r>
          </w:p>
          <w:p w14:paraId="3D4AAEA0" w14:textId="77777777" w:rsidR="002F36A6" w:rsidRDefault="00000000">
            <w:pPr>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Intrarea în vigoare</w:t>
            </w:r>
          </w:p>
          <w:p w14:paraId="7519FA9A" w14:textId="77777777" w:rsidR="002F36A6" w:rsidRDefault="00000000">
            <w:pPr>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Prezentul regulament intră în vigoare în a douăzecea zi de la data publicării în Jurnalul Oficial al Uniunii Europene.</w:t>
            </w:r>
          </w:p>
          <w:p w14:paraId="00AFD4EB" w14:textId="77777777" w:rsidR="002F36A6" w:rsidRDefault="00000000">
            <w:pPr>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Prezentul regulament este obligatoriu în toate elementele sale și se aplică direct în toate statele membre.</w:t>
            </w:r>
          </w:p>
          <w:p w14:paraId="7487EF4B" w14:textId="77777777" w:rsidR="002F36A6" w:rsidRDefault="00000000">
            <w:pPr>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Adoptat la Bruxelles, 19 decembrie 2024.</w:t>
            </w:r>
          </w:p>
          <w:p w14:paraId="1DF40BBB" w14:textId="77777777" w:rsidR="002F36A6" w:rsidRDefault="002F36A6">
            <w:pPr>
              <w:ind w:firstLine="708"/>
              <w:rPr>
                <w:rFonts w:ascii="Times New Roman" w:eastAsia="Times New Roman" w:hAnsi="Times New Roman" w:cs="Times New Roman"/>
                <w:i/>
                <w:iCs/>
                <w:color w:val="000000"/>
                <w:sz w:val="22"/>
                <w:szCs w:val="22"/>
              </w:rPr>
            </w:pPr>
          </w:p>
        </w:tc>
        <w:tc>
          <w:tcPr>
            <w:tcW w:w="4877" w:type="dxa"/>
          </w:tcPr>
          <w:p w14:paraId="3672D123"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tc>
        <w:tc>
          <w:tcPr>
            <w:tcW w:w="1559" w:type="dxa"/>
          </w:tcPr>
          <w:p w14:paraId="6DCDFB23"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Prevedere UE neaplicabilă</w:t>
            </w:r>
          </w:p>
        </w:tc>
        <w:tc>
          <w:tcPr>
            <w:tcW w:w="2589" w:type="dxa"/>
          </w:tcPr>
          <w:p w14:paraId="12285C3D" w14:textId="77777777" w:rsidR="002F36A6" w:rsidRDefault="002F36A6">
            <w:pPr>
              <w:jc w:val="both"/>
              <w:rPr>
                <w:rFonts w:ascii="Times New Roman" w:eastAsia="Times New Roman" w:hAnsi="Times New Roman" w:cs="Times New Roman"/>
                <w:b/>
                <w:bCs/>
                <w:color w:val="000000"/>
                <w:sz w:val="22"/>
                <w:szCs w:val="22"/>
              </w:rPr>
            </w:pPr>
          </w:p>
        </w:tc>
      </w:tr>
      <w:tr w:rsidR="002F36A6" w14:paraId="7BE487E9" w14:textId="77777777">
        <w:tc>
          <w:tcPr>
            <w:tcW w:w="6957" w:type="dxa"/>
          </w:tcPr>
          <w:p w14:paraId="61279B0F" w14:textId="77777777" w:rsidR="002F36A6" w:rsidRDefault="00000000">
            <w:pPr>
              <w:ind w:firstLine="708"/>
              <w:jc w:val="center"/>
              <w:rPr>
                <w:rFonts w:ascii="Times New Roman" w:eastAsia="Times New Roman" w:hAnsi="Times New Roman" w:cs="Times New Roman"/>
                <w:b/>
                <w:bCs/>
                <w:i/>
                <w:iCs/>
                <w:color w:val="000000"/>
                <w:sz w:val="22"/>
                <w:szCs w:val="22"/>
              </w:rPr>
            </w:pPr>
            <w:bookmarkStart w:id="7" w:name="_heading=h.h56kq561g1q5" w:colFirst="0" w:colLast="0"/>
            <w:bookmarkEnd w:id="7"/>
            <w:r>
              <w:rPr>
                <w:rFonts w:ascii="Times New Roman" w:eastAsia="Times New Roman" w:hAnsi="Times New Roman" w:cs="Times New Roman"/>
                <w:b/>
                <w:bCs/>
                <w:i/>
                <w:iCs/>
                <w:color w:val="000000"/>
                <w:sz w:val="22"/>
                <w:szCs w:val="22"/>
              </w:rPr>
              <w:t>ANEXA I</w:t>
            </w:r>
          </w:p>
          <w:p w14:paraId="4774733A" w14:textId="77777777" w:rsidR="002F36A6" w:rsidRDefault="00000000">
            <w:pPr>
              <w:ind w:firstLine="708"/>
              <w:jc w:val="center"/>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 xml:space="preserve">Structura chimică a substanțelor pentru care se aplică </w:t>
            </w:r>
            <w:r>
              <w:rPr>
                <w:rFonts w:ascii="Times New Roman" w:eastAsia="Times New Roman" w:hAnsi="Times New Roman" w:cs="Times New Roman"/>
                <w:i/>
                <w:iCs/>
                <w:sz w:val="22"/>
                <w:szCs w:val="22"/>
              </w:rPr>
              <w:t>definițiile</w:t>
            </w:r>
            <w:r>
              <w:rPr>
                <w:rFonts w:ascii="Times New Roman" w:eastAsia="Times New Roman" w:hAnsi="Times New Roman" w:cs="Times New Roman"/>
                <w:i/>
                <w:iCs/>
                <w:color w:val="000000"/>
                <w:sz w:val="22"/>
                <w:szCs w:val="22"/>
              </w:rPr>
              <w:t xml:space="preserve"> noțiunilor de „bisfenol” și „derivat al bisfenolului” este următoarea:</w:t>
            </w:r>
          </w:p>
          <w:tbl>
            <w:tblPr>
              <w:tblStyle w:val="ac"/>
              <w:tblW w:w="672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3154"/>
              <w:gridCol w:w="3571"/>
            </w:tblGrid>
            <w:tr w:rsidR="002F36A6" w14:paraId="216C6486" w14:textId="77777777">
              <w:tc>
                <w:tcPr>
                  <w:tcW w:w="3154" w:type="dxa"/>
                  <w:tcBorders>
                    <w:top w:val="single" w:sz="6" w:space="0" w:color="000000"/>
                    <w:left w:val="single" w:sz="6" w:space="0" w:color="000000"/>
                    <w:bottom w:val="single" w:sz="6" w:space="0" w:color="000000"/>
                    <w:right w:val="single" w:sz="6" w:space="0" w:color="000000"/>
                  </w:tcBorders>
                </w:tcPr>
                <w:p w14:paraId="59755DAC" w14:textId="77777777" w:rsidR="002F36A6" w:rsidRDefault="002F36A6">
                  <w:pPr>
                    <w:widowControl w:val="0"/>
                    <w:pBdr>
                      <w:top w:val="nil"/>
                      <w:left w:val="nil"/>
                      <w:bottom w:val="nil"/>
                      <w:right w:val="nil"/>
                      <w:between w:val="nil"/>
                    </w:pBdr>
                    <w:spacing w:line="276" w:lineRule="auto"/>
                    <w:rPr>
                      <w:i/>
                      <w:iCs/>
                      <w:color w:val="000000"/>
                      <w:sz w:val="22"/>
                      <w:szCs w:val="22"/>
                    </w:rPr>
                  </w:pPr>
                </w:p>
                <w:tbl>
                  <w:tblPr>
                    <w:tblStyle w:val="ad"/>
                    <w:tblW w:w="3139" w:type="dxa"/>
                    <w:tblInd w:w="0" w:type="dxa"/>
                    <w:tblLayout w:type="fixed"/>
                    <w:tblLook w:val="0400" w:firstRow="0" w:lastRow="0" w:firstColumn="0" w:lastColumn="0" w:noHBand="0" w:noVBand="1"/>
                  </w:tblPr>
                  <w:tblGrid>
                    <w:gridCol w:w="411"/>
                    <w:gridCol w:w="2728"/>
                  </w:tblGrid>
                  <w:tr w:rsidR="002F36A6" w14:paraId="324E0CFD" w14:textId="77777777">
                    <w:tc>
                      <w:tcPr>
                        <w:tcW w:w="411" w:type="dxa"/>
                      </w:tcPr>
                      <w:p w14:paraId="06977504" w14:textId="77777777" w:rsidR="002F36A6" w:rsidRDefault="00000000">
                        <w:pPr>
                          <w:ind w:firstLine="708"/>
                          <w:rPr>
                            <w:i/>
                            <w:iCs/>
                            <w:color w:val="000000"/>
                            <w:sz w:val="22"/>
                            <w:szCs w:val="22"/>
                          </w:rPr>
                        </w:pPr>
                        <w:r>
                          <w:rPr>
                            <w:i/>
                            <w:iCs/>
                            <w:color w:val="000000"/>
                            <w:sz w:val="22"/>
                            <w:szCs w:val="22"/>
                          </w:rPr>
                          <w:t>(A)</w:t>
                        </w:r>
                      </w:p>
                    </w:tc>
                    <w:tc>
                      <w:tcPr>
                        <w:tcW w:w="2728" w:type="dxa"/>
                      </w:tcPr>
                      <w:p w14:paraId="7B70D2A5" w14:textId="77777777" w:rsidR="002F36A6" w:rsidRDefault="00000000">
                        <w:pPr>
                          <w:ind w:firstLine="708"/>
                          <w:rPr>
                            <w:i/>
                            <w:iCs/>
                            <w:color w:val="000000"/>
                            <w:sz w:val="22"/>
                            <w:szCs w:val="22"/>
                          </w:rPr>
                        </w:pPr>
                        <w:r>
                          <w:rPr>
                            <w:i/>
                            <w:iCs/>
                            <w:color w:val="000000"/>
                            <w:sz w:val="22"/>
                            <w:szCs w:val="22"/>
                          </w:rPr>
                          <w:t>Structura bisfenolului</w:t>
                        </w:r>
                      </w:p>
                    </w:tc>
                  </w:tr>
                </w:tbl>
                <w:p w14:paraId="775501ED" w14:textId="77777777" w:rsidR="002F36A6" w:rsidRDefault="002F36A6">
                  <w:pPr>
                    <w:ind w:firstLine="708"/>
                    <w:rPr>
                      <w:i/>
                      <w:iCs/>
                      <w:color w:val="000000"/>
                      <w:sz w:val="22"/>
                      <w:szCs w:val="22"/>
                    </w:rPr>
                  </w:pPr>
                </w:p>
              </w:tc>
              <w:tc>
                <w:tcPr>
                  <w:tcW w:w="3571" w:type="dxa"/>
                  <w:tcBorders>
                    <w:top w:val="single" w:sz="6" w:space="0" w:color="000000"/>
                    <w:left w:val="single" w:sz="6" w:space="0" w:color="000000"/>
                    <w:bottom w:val="single" w:sz="6" w:space="0" w:color="000000"/>
                    <w:right w:val="single" w:sz="6" w:space="0" w:color="000000"/>
                  </w:tcBorders>
                </w:tcPr>
                <w:p w14:paraId="1337CDE6" w14:textId="77777777" w:rsidR="002F36A6" w:rsidRDefault="002F36A6">
                  <w:pPr>
                    <w:widowControl w:val="0"/>
                    <w:pBdr>
                      <w:top w:val="nil"/>
                      <w:left w:val="nil"/>
                      <w:bottom w:val="nil"/>
                      <w:right w:val="nil"/>
                      <w:between w:val="nil"/>
                    </w:pBdr>
                    <w:spacing w:line="276" w:lineRule="auto"/>
                    <w:rPr>
                      <w:i/>
                      <w:iCs/>
                      <w:color w:val="000000"/>
                      <w:sz w:val="22"/>
                      <w:szCs w:val="22"/>
                    </w:rPr>
                  </w:pPr>
                </w:p>
                <w:tbl>
                  <w:tblPr>
                    <w:tblStyle w:val="ae"/>
                    <w:tblW w:w="3555" w:type="dxa"/>
                    <w:tblInd w:w="0" w:type="dxa"/>
                    <w:tblLayout w:type="fixed"/>
                    <w:tblLook w:val="0400" w:firstRow="0" w:lastRow="0" w:firstColumn="0" w:lastColumn="0" w:noHBand="0" w:noVBand="1"/>
                  </w:tblPr>
                  <w:tblGrid>
                    <w:gridCol w:w="317"/>
                    <w:gridCol w:w="3238"/>
                  </w:tblGrid>
                  <w:tr w:rsidR="002F36A6" w14:paraId="568AA596" w14:textId="77777777">
                    <w:tc>
                      <w:tcPr>
                        <w:tcW w:w="317" w:type="dxa"/>
                      </w:tcPr>
                      <w:p w14:paraId="5EE29A23" w14:textId="77777777" w:rsidR="002F36A6" w:rsidRDefault="00000000">
                        <w:pPr>
                          <w:ind w:firstLine="708"/>
                          <w:rPr>
                            <w:i/>
                            <w:iCs/>
                            <w:color w:val="000000"/>
                            <w:sz w:val="22"/>
                            <w:szCs w:val="22"/>
                          </w:rPr>
                        </w:pPr>
                        <w:r>
                          <w:rPr>
                            <w:i/>
                            <w:iCs/>
                            <w:color w:val="000000"/>
                            <w:sz w:val="22"/>
                            <w:szCs w:val="22"/>
                          </w:rPr>
                          <w:t>(B)</w:t>
                        </w:r>
                      </w:p>
                    </w:tc>
                    <w:tc>
                      <w:tcPr>
                        <w:tcW w:w="3238" w:type="dxa"/>
                      </w:tcPr>
                      <w:p w14:paraId="364029A6" w14:textId="77777777" w:rsidR="002F36A6" w:rsidRDefault="00000000">
                        <w:pPr>
                          <w:ind w:firstLine="708"/>
                          <w:rPr>
                            <w:i/>
                            <w:iCs/>
                            <w:color w:val="000000"/>
                            <w:sz w:val="22"/>
                            <w:szCs w:val="22"/>
                          </w:rPr>
                        </w:pPr>
                        <w:r>
                          <w:rPr>
                            <w:i/>
                            <w:iCs/>
                            <w:color w:val="000000"/>
                            <w:sz w:val="22"/>
                            <w:szCs w:val="22"/>
                          </w:rPr>
                          <w:t>Structura derivatului bisfenolului</w:t>
                        </w:r>
                      </w:p>
                    </w:tc>
                  </w:tr>
                </w:tbl>
                <w:p w14:paraId="1FFF54FE" w14:textId="77777777" w:rsidR="002F36A6" w:rsidRDefault="002F36A6">
                  <w:pPr>
                    <w:ind w:firstLine="708"/>
                    <w:rPr>
                      <w:i/>
                      <w:iCs/>
                      <w:color w:val="000000"/>
                      <w:sz w:val="22"/>
                      <w:szCs w:val="22"/>
                    </w:rPr>
                  </w:pPr>
                </w:p>
              </w:tc>
            </w:tr>
            <w:tr w:rsidR="002F36A6" w14:paraId="2B10F037" w14:textId="77777777">
              <w:tc>
                <w:tcPr>
                  <w:tcW w:w="3154" w:type="dxa"/>
                  <w:tcBorders>
                    <w:top w:val="single" w:sz="6" w:space="0" w:color="000000"/>
                    <w:left w:val="single" w:sz="6" w:space="0" w:color="000000"/>
                    <w:bottom w:val="single" w:sz="6" w:space="0" w:color="000000"/>
                    <w:right w:val="single" w:sz="6" w:space="0" w:color="000000"/>
                  </w:tcBorders>
                </w:tcPr>
                <w:p w14:paraId="565930C2" w14:textId="77777777" w:rsidR="002F36A6" w:rsidRDefault="00000000">
                  <w:pPr>
                    <w:ind w:firstLine="708"/>
                    <w:rPr>
                      <w:i/>
                      <w:iCs/>
                      <w:color w:val="000000"/>
                      <w:sz w:val="22"/>
                      <w:szCs w:val="22"/>
                    </w:rPr>
                  </w:pPr>
                  <w:r>
                    <w:rPr>
                      <w:i/>
                      <w:iCs/>
                      <w:noProof/>
                      <w:color w:val="000000"/>
                      <w:sz w:val="22"/>
                      <w:szCs w:val="22"/>
                    </w:rPr>
                    <w:drawing>
                      <wp:inline distT="0" distB="0" distL="0" distR="0" wp14:anchorId="79BC2247" wp14:editId="417C07E3">
                        <wp:extent cx="2505075" cy="514350"/>
                        <wp:effectExtent l="0" t="0" r="0" b="0"/>
                        <wp:docPr id="1" name="image1.jpg" descr="Image 1"/>
                        <wp:cNvGraphicFramePr/>
                        <a:graphic xmlns:a="http://schemas.openxmlformats.org/drawingml/2006/main">
                          <a:graphicData uri="http://schemas.openxmlformats.org/drawingml/2006/picture">
                            <pic:pic xmlns:pic="http://schemas.openxmlformats.org/drawingml/2006/picture">
                              <pic:nvPicPr>
                                <pic:cNvPr id="0" name="image1.jpg" descr="Image 1"/>
                                <pic:cNvPicPr preferRelativeResize="0"/>
                              </pic:nvPicPr>
                              <pic:blipFill>
                                <a:blip r:embed="rId15"/>
                                <a:srcRect/>
                                <a:stretch>
                                  <a:fillRect/>
                                </a:stretch>
                              </pic:blipFill>
                              <pic:spPr>
                                <a:xfrm>
                                  <a:off x="0" y="0"/>
                                  <a:ext cx="2505075" cy="514350"/>
                                </a:xfrm>
                                <a:prstGeom prst="rect">
                                  <a:avLst/>
                                </a:prstGeom>
                                <a:ln/>
                              </pic:spPr>
                            </pic:pic>
                          </a:graphicData>
                        </a:graphic>
                      </wp:inline>
                    </w:drawing>
                  </w:r>
                </w:p>
              </w:tc>
              <w:tc>
                <w:tcPr>
                  <w:tcW w:w="3571" w:type="dxa"/>
                  <w:tcBorders>
                    <w:top w:val="single" w:sz="6" w:space="0" w:color="000000"/>
                    <w:left w:val="single" w:sz="6" w:space="0" w:color="000000"/>
                    <w:bottom w:val="single" w:sz="6" w:space="0" w:color="000000"/>
                    <w:right w:val="single" w:sz="6" w:space="0" w:color="000000"/>
                  </w:tcBorders>
                </w:tcPr>
                <w:p w14:paraId="36B078A4" w14:textId="77777777" w:rsidR="002F36A6" w:rsidRDefault="00000000">
                  <w:pPr>
                    <w:ind w:firstLine="708"/>
                    <w:rPr>
                      <w:i/>
                      <w:iCs/>
                      <w:color w:val="000000"/>
                      <w:sz w:val="22"/>
                      <w:szCs w:val="22"/>
                    </w:rPr>
                  </w:pPr>
                  <w:r>
                    <w:rPr>
                      <w:i/>
                      <w:iCs/>
                      <w:noProof/>
                      <w:color w:val="000000"/>
                      <w:sz w:val="22"/>
                      <w:szCs w:val="22"/>
                    </w:rPr>
                    <w:drawing>
                      <wp:inline distT="0" distB="0" distL="0" distR="0" wp14:anchorId="4E476050" wp14:editId="2346B687">
                        <wp:extent cx="2838450" cy="1047750"/>
                        <wp:effectExtent l="0" t="0" r="0" b="0"/>
                        <wp:docPr id="3" name="image2.jpg" descr="Image 2"/>
                        <wp:cNvGraphicFramePr/>
                        <a:graphic xmlns:a="http://schemas.openxmlformats.org/drawingml/2006/main">
                          <a:graphicData uri="http://schemas.openxmlformats.org/drawingml/2006/picture">
                            <pic:pic xmlns:pic="http://schemas.openxmlformats.org/drawingml/2006/picture">
                              <pic:nvPicPr>
                                <pic:cNvPr id="0" name="image2.jpg" descr="Image 2"/>
                                <pic:cNvPicPr preferRelativeResize="0"/>
                              </pic:nvPicPr>
                              <pic:blipFill>
                                <a:blip r:embed="rId16"/>
                                <a:srcRect/>
                                <a:stretch>
                                  <a:fillRect/>
                                </a:stretch>
                              </pic:blipFill>
                              <pic:spPr>
                                <a:xfrm>
                                  <a:off x="0" y="0"/>
                                  <a:ext cx="2838450" cy="1047750"/>
                                </a:xfrm>
                                <a:prstGeom prst="rect">
                                  <a:avLst/>
                                </a:prstGeom>
                                <a:ln/>
                              </pic:spPr>
                            </pic:pic>
                          </a:graphicData>
                        </a:graphic>
                      </wp:inline>
                    </w:drawing>
                  </w:r>
                </w:p>
              </w:tc>
            </w:tr>
          </w:tbl>
          <w:p w14:paraId="43DC3024"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Note. X se referă la orice grup de legătură care separă cele două inele fenil printr-un singur atom, dar atomul poate avea orice substituent (substituenți).</w:t>
            </w:r>
          </w:p>
          <w:p w14:paraId="712FBDD3"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lastRenderedPageBreak/>
              <w:t>R</w:t>
            </w:r>
            <w:r>
              <w:rPr>
                <w:rFonts w:ascii="Times New Roman" w:eastAsia="Times New Roman" w:hAnsi="Times New Roman" w:cs="Times New Roman"/>
                <w:i/>
                <w:iCs/>
                <w:color w:val="000000"/>
                <w:sz w:val="22"/>
                <w:szCs w:val="22"/>
                <w:vertAlign w:val="subscript"/>
              </w:rPr>
              <w:t>1</w:t>
            </w:r>
            <w:r>
              <w:rPr>
                <w:rFonts w:ascii="Times New Roman" w:eastAsia="Times New Roman" w:hAnsi="Times New Roman" w:cs="Times New Roman"/>
                <w:i/>
                <w:iCs/>
                <w:color w:val="000000"/>
                <w:sz w:val="22"/>
                <w:szCs w:val="22"/>
              </w:rPr>
              <w:t>-R</w:t>
            </w:r>
            <w:r>
              <w:rPr>
                <w:rFonts w:ascii="Times New Roman" w:eastAsia="Times New Roman" w:hAnsi="Times New Roman" w:cs="Times New Roman"/>
                <w:i/>
                <w:iCs/>
                <w:color w:val="000000"/>
                <w:sz w:val="22"/>
                <w:szCs w:val="22"/>
                <w:vertAlign w:val="subscript"/>
              </w:rPr>
              <w:t>10</w:t>
            </w:r>
            <w:r>
              <w:rPr>
                <w:rFonts w:ascii="Times New Roman" w:eastAsia="Times New Roman" w:hAnsi="Times New Roman" w:cs="Times New Roman"/>
                <w:i/>
                <w:iCs/>
                <w:color w:val="000000"/>
                <w:sz w:val="22"/>
                <w:szCs w:val="22"/>
              </w:rPr>
              <w:t> se referă la orice substituent. Cel puțin unul dintre substituenți nu este un atom de hidrogen (H).</w:t>
            </w:r>
          </w:p>
          <w:p w14:paraId="4F92454E"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rPr>
              <w:pict w14:anchorId="6AD52E3C">
                <v:rect id="_x0000_i1025" style="width:0;height:1.5pt" o:hralign="center" o:hrstd="t" o:hr="t" fillcolor="#a0a0a0" stroked="f"/>
              </w:pict>
            </w:r>
          </w:p>
          <w:p w14:paraId="3979B2B4"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rPr>
              <w:pict w14:anchorId="0F5BA1CB">
                <v:rect id="_x0000_i1026" style="width:0;height:1.5pt" o:hralign="center" o:hrstd="t" o:hr="t" fillcolor="#a0a0a0" stroked="f"/>
              </w:pict>
            </w:r>
          </w:p>
          <w:p w14:paraId="0CC9766A" w14:textId="77777777" w:rsidR="002F36A6" w:rsidRDefault="002F36A6">
            <w:pPr>
              <w:ind w:firstLine="708"/>
              <w:rPr>
                <w:rFonts w:ascii="Times New Roman" w:eastAsia="Times New Roman" w:hAnsi="Times New Roman" w:cs="Times New Roman"/>
                <w:i/>
                <w:iCs/>
                <w:color w:val="000000"/>
                <w:sz w:val="22"/>
                <w:szCs w:val="22"/>
              </w:rPr>
            </w:pPr>
          </w:p>
        </w:tc>
        <w:tc>
          <w:tcPr>
            <w:tcW w:w="4877" w:type="dxa"/>
          </w:tcPr>
          <w:p w14:paraId="27D07DE0" w14:textId="77777777" w:rsidR="002F36A6" w:rsidRDefault="00000000">
            <w:pPr>
              <w:widowControl w:val="0"/>
              <w:pBdr>
                <w:top w:val="nil"/>
                <w:left w:val="nil"/>
                <w:bottom w:val="nil"/>
                <w:right w:val="nil"/>
                <w:between w:val="nil"/>
              </w:pBdr>
              <w:tabs>
                <w:tab w:val="left" w:pos="426"/>
              </w:tabs>
              <w:ind w:right="-90"/>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color w:val="000000"/>
                <w:sz w:val="22"/>
                <w:szCs w:val="22"/>
              </w:rPr>
              <w:lastRenderedPageBreak/>
              <w:t xml:space="preserve">                                               </w:t>
            </w:r>
            <w:r>
              <w:rPr>
                <w:rFonts w:ascii="Times New Roman" w:eastAsia="Times New Roman" w:hAnsi="Times New Roman" w:cs="Times New Roman"/>
                <w:b/>
                <w:bCs/>
                <w:color w:val="000000"/>
                <w:sz w:val="22"/>
                <w:szCs w:val="22"/>
              </w:rPr>
              <w:t xml:space="preserve">Anexa nr.1 </w:t>
            </w:r>
          </w:p>
          <w:p w14:paraId="0479CB27" w14:textId="77777777" w:rsidR="002F36A6" w:rsidRDefault="00000000">
            <w:pPr>
              <w:widowControl w:val="0"/>
              <w:pBdr>
                <w:top w:val="nil"/>
                <w:left w:val="nil"/>
                <w:bottom w:val="nil"/>
                <w:right w:val="nil"/>
                <w:between w:val="nil"/>
              </w:pBdr>
              <w:tabs>
                <w:tab w:val="left" w:pos="426"/>
              </w:tabs>
              <w:ind w:right="-90"/>
              <w:jc w:val="right"/>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la Regulamentul sanitar privind utilizarea bisfenolului A (BPA) și a altor bisfenoli și derivați ai bisfenolului cu clasificare armonizată pentru proprietăți periculoase specifice în anumite materiale și articole destinate să vină în contact cu produsele alimentare</w:t>
            </w:r>
            <w:r>
              <w:rPr>
                <w:rFonts w:ascii="Times New Roman" w:eastAsia="Times New Roman" w:hAnsi="Times New Roman" w:cs="Times New Roman"/>
                <w:color w:val="000000"/>
                <w:sz w:val="22"/>
                <w:szCs w:val="22"/>
              </w:rPr>
              <w:t xml:space="preserve"> </w:t>
            </w:r>
          </w:p>
          <w:p w14:paraId="4F73434D" w14:textId="77777777" w:rsidR="002F36A6" w:rsidRDefault="00000000">
            <w:pPr>
              <w:jc w:val="center"/>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 xml:space="preserve">Structura chimică a substanțelor pentru care se aplică </w:t>
            </w:r>
            <w:r>
              <w:rPr>
                <w:rFonts w:ascii="Times New Roman" w:eastAsia="Times New Roman" w:hAnsi="Times New Roman" w:cs="Times New Roman"/>
                <w:i/>
                <w:iCs/>
                <w:sz w:val="22"/>
                <w:szCs w:val="22"/>
              </w:rPr>
              <w:t xml:space="preserve">definițiile </w:t>
            </w:r>
            <w:r>
              <w:rPr>
                <w:rFonts w:ascii="Times New Roman" w:eastAsia="Times New Roman" w:hAnsi="Times New Roman" w:cs="Times New Roman"/>
                <w:i/>
                <w:iCs/>
                <w:color w:val="000000"/>
                <w:sz w:val="22"/>
                <w:szCs w:val="22"/>
              </w:rPr>
              <w:t xml:space="preserve"> noțiunilor de „bisfenol” și „derivat al bisfenolului” este următoarea:</w:t>
            </w:r>
          </w:p>
          <w:tbl>
            <w:tblPr>
              <w:tblStyle w:val="af"/>
              <w:tblW w:w="464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79"/>
              <w:gridCol w:w="2466"/>
            </w:tblGrid>
            <w:tr w:rsidR="002F36A6" w14:paraId="3708C589" w14:textId="77777777">
              <w:tc>
                <w:tcPr>
                  <w:tcW w:w="2179" w:type="dxa"/>
                  <w:tcBorders>
                    <w:top w:val="single" w:sz="6" w:space="0" w:color="000000"/>
                    <w:left w:val="single" w:sz="6" w:space="0" w:color="000000"/>
                    <w:bottom w:val="single" w:sz="6" w:space="0" w:color="000000"/>
                    <w:right w:val="single" w:sz="6" w:space="0" w:color="000000"/>
                  </w:tcBorders>
                </w:tcPr>
                <w:p w14:paraId="13E9BA4A" w14:textId="77777777" w:rsidR="002F36A6" w:rsidRDefault="002F36A6">
                  <w:pPr>
                    <w:widowControl w:val="0"/>
                    <w:pBdr>
                      <w:top w:val="nil"/>
                      <w:left w:val="nil"/>
                      <w:bottom w:val="nil"/>
                      <w:right w:val="nil"/>
                      <w:between w:val="nil"/>
                    </w:pBdr>
                    <w:spacing w:line="276" w:lineRule="auto"/>
                    <w:rPr>
                      <w:i/>
                      <w:iCs/>
                      <w:color w:val="000000"/>
                      <w:sz w:val="22"/>
                      <w:szCs w:val="22"/>
                    </w:rPr>
                  </w:pPr>
                </w:p>
                <w:tbl>
                  <w:tblPr>
                    <w:tblStyle w:val="af0"/>
                    <w:tblW w:w="2164" w:type="dxa"/>
                    <w:tblInd w:w="0" w:type="dxa"/>
                    <w:tblLayout w:type="fixed"/>
                    <w:tblLook w:val="0400" w:firstRow="0" w:lastRow="0" w:firstColumn="0" w:lastColumn="0" w:noHBand="0" w:noVBand="1"/>
                  </w:tblPr>
                  <w:tblGrid>
                    <w:gridCol w:w="288"/>
                    <w:gridCol w:w="1876"/>
                  </w:tblGrid>
                  <w:tr w:rsidR="002F36A6" w14:paraId="760A303E" w14:textId="77777777">
                    <w:tc>
                      <w:tcPr>
                        <w:tcW w:w="288" w:type="dxa"/>
                      </w:tcPr>
                      <w:p w14:paraId="089C7025" w14:textId="77777777" w:rsidR="002F36A6" w:rsidRDefault="00000000">
                        <w:pPr>
                          <w:ind w:firstLine="708"/>
                          <w:rPr>
                            <w:i/>
                            <w:iCs/>
                            <w:color w:val="000000"/>
                            <w:sz w:val="22"/>
                            <w:szCs w:val="22"/>
                          </w:rPr>
                        </w:pPr>
                        <w:r>
                          <w:rPr>
                            <w:i/>
                            <w:iCs/>
                            <w:color w:val="000000"/>
                            <w:sz w:val="22"/>
                            <w:szCs w:val="22"/>
                          </w:rPr>
                          <w:t>(A)</w:t>
                        </w:r>
                      </w:p>
                    </w:tc>
                    <w:tc>
                      <w:tcPr>
                        <w:tcW w:w="1876" w:type="dxa"/>
                      </w:tcPr>
                      <w:p w14:paraId="7486E4F3" w14:textId="77777777" w:rsidR="002F36A6" w:rsidRDefault="00000000">
                        <w:pPr>
                          <w:rPr>
                            <w:i/>
                            <w:iCs/>
                            <w:color w:val="000000"/>
                            <w:sz w:val="22"/>
                            <w:szCs w:val="22"/>
                          </w:rPr>
                        </w:pPr>
                        <w:r>
                          <w:rPr>
                            <w:i/>
                            <w:iCs/>
                            <w:color w:val="000000"/>
                            <w:sz w:val="22"/>
                            <w:szCs w:val="22"/>
                          </w:rPr>
                          <w:t>Structura bisfenolului</w:t>
                        </w:r>
                      </w:p>
                    </w:tc>
                  </w:tr>
                </w:tbl>
                <w:p w14:paraId="7FE99F00" w14:textId="77777777" w:rsidR="002F36A6" w:rsidRDefault="002F36A6">
                  <w:pPr>
                    <w:ind w:firstLine="708"/>
                    <w:rPr>
                      <w:i/>
                      <w:iCs/>
                      <w:color w:val="000000"/>
                      <w:sz w:val="22"/>
                      <w:szCs w:val="22"/>
                    </w:rPr>
                  </w:pPr>
                </w:p>
              </w:tc>
              <w:tc>
                <w:tcPr>
                  <w:tcW w:w="2466" w:type="dxa"/>
                  <w:tcBorders>
                    <w:top w:val="single" w:sz="6" w:space="0" w:color="000000"/>
                    <w:left w:val="single" w:sz="6" w:space="0" w:color="000000"/>
                    <w:bottom w:val="single" w:sz="6" w:space="0" w:color="000000"/>
                    <w:right w:val="single" w:sz="6" w:space="0" w:color="000000"/>
                  </w:tcBorders>
                </w:tcPr>
                <w:p w14:paraId="4085B32B" w14:textId="77777777" w:rsidR="002F36A6" w:rsidRDefault="002F36A6">
                  <w:pPr>
                    <w:widowControl w:val="0"/>
                    <w:pBdr>
                      <w:top w:val="nil"/>
                      <w:left w:val="nil"/>
                      <w:bottom w:val="nil"/>
                      <w:right w:val="nil"/>
                      <w:between w:val="nil"/>
                    </w:pBdr>
                    <w:spacing w:line="276" w:lineRule="auto"/>
                    <w:rPr>
                      <w:i/>
                      <w:iCs/>
                      <w:color w:val="000000"/>
                      <w:sz w:val="22"/>
                      <w:szCs w:val="22"/>
                    </w:rPr>
                  </w:pPr>
                </w:p>
                <w:tbl>
                  <w:tblPr>
                    <w:tblStyle w:val="af1"/>
                    <w:tblW w:w="2451" w:type="dxa"/>
                    <w:tblInd w:w="0" w:type="dxa"/>
                    <w:tblLayout w:type="fixed"/>
                    <w:tblLook w:val="0400" w:firstRow="0" w:lastRow="0" w:firstColumn="0" w:lastColumn="0" w:noHBand="0" w:noVBand="1"/>
                  </w:tblPr>
                  <w:tblGrid>
                    <w:gridCol w:w="224"/>
                    <w:gridCol w:w="2227"/>
                  </w:tblGrid>
                  <w:tr w:rsidR="002F36A6" w14:paraId="19A20A1E" w14:textId="77777777">
                    <w:tc>
                      <w:tcPr>
                        <w:tcW w:w="224" w:type="dxa"/>
                      </w:tcPr>
                      <w:p w14:paraId="64374F50" w14:textId="77777777" w:rsidR="002F36A6" w:rsidRDefault="00000000">
                        <w:pPr>
                          <w:ind w:firstLine="708"/>
                          <w:rPr>
                            <w:i/>
                            <w:iCs/>
                            <w:color w:val="000000"/>
                            <w:sz w:val="22"/>
                            <w:szCs w:val="22"/>
                          </w:rPr>
                        </w:pPr>
                        <w:r>
                          <w:rPr>
                            <w:i/>
                            <w:iCs/>
                            <w:color w:val="000000"/>
                            <w:sz w:val="22"/>
                            <w:szCs w:val="22"/>
                          </w:rPr>
                          <w:t>(B)</w:t>
                        </w:r>
                      </w:p>
                    </w:tc>
                    <w:tc>
                      <w:tcPr>
                        <w:tcW w:w="2227" w:type="dxa"/>
                      </w:tcPr>
                      <w:p w14:paraId="38EA8FF9" w14:textId="77777777" w:rsidR="002F36A6" w:rsidRDefault="00000000">
                        <w:pPr>
                          <w:rPr>
                            <w:i/>
                            <w:iCs/>
                            <w:color w:val="000000"/>
                            <w:sz w:val="22"/>
                            <w:szCs w:val="22"/>
                          </w:rPr>
                        </w:pPr>
                        <w:r>
                          <w:rPr>
                            <w:i/>
                            <w:iCs/>
                            <w:color w:val="000000"/>
                            <w:sz w:val="22"/>
                            <w:szCs w:val="22"/>
                          </w:rPr>
                          <w:t>Structura derivatului bisfenolului</w:t>
                        </w:r>
                      </w:p>
                    </w:tc>
                  </w:tr>
                </w:tbl>
                <w:p w14:paraId="786ADF63" w14:textId="77777777" w:rsidR="002F36A6" w:rsidRDefault="002F36A6">
                  <w:pPr>
                    <w:ind w:firstLine="708"/>
                    <w:rPr>
                      <w:i/>
                      <w:iCs/>
                      <w:color w:val="000000"/>
                      <w:sz w:val="22"/>
                      <w:szCs w:val="22"/>
                    </w:rPr>
                  </w:pPr>
                </w:p>
              </w:tc>
            </w:tr>
            <w:tr w:rsidR="002F36A6" w14:paraId="63A06634" w14:textId="77777777">
              <w:tc>
                <w:tcPr>
                  <w:tcW w:w="2179" w:type="dxa"/>
                  <w:tcBorders>
                    <w:top w:val="single" w:sz="6" w:space="0" w:color="000000"/>
                    <w:left w:val="single" w:sz="6" w:space="0" w:color="000000"/>
                    <w:bottom w:val="single" w:sz="6" w:space="0" w:color="000000"/>
                    <w:right w:val="single" w:sz="6" w:space="0" w:color="000000"/>
                  </w:tcBorders>
                </w:tcPr>
                <w:p w14:paraId="668EFA40" w14:textId="77777777" w:rsidR="002F36A6" w:rsidRDefault="00000000">
                  <w:pPr>
                    <w:rPr>
                      <w:i/>
                      <w:iCs/>
                      <w:color w:val="000000"/>
                      <w:sz w:val="22"/>
                      <w:szCs w:val="22"/>
                    </w:rPr>
                  </w:pPr>
                  <w:r>
                    <w:rPr>
                      <w:i/>
                      <w:iCs/>
                      <w:noProof/>
                      <w:color w:val="000000"/>
                      <w:sz w:val="22"/>
                      <w:szCs w:val="22"/>
                    </w:rPr>
                    <w:lastRenderedPageBreak/>
                    <w:drawing>
                      <wp:inline distT="0" distB="0" distL="0" distR="0" wp14:anchorId="495AB519" wp14:editId="37E25D72">
                        <wp:extent cx="2505075" cy="514350"/>
                        <wp:effectExtent l="0" t="0" r="0" b="0"/>
                        <wp:docPr id="2" name="image1.jpg" descr="Image 1"/>
                        <wp:cNvGraphicFramePr/>
                        <a:graphic xmlns:a="http://schemas.openxmlformats.org/drawingml/2006/main">
                          <a:graphicData uri="http://schemas.openxmlformats.org/drawingml/2006/picture">
                            <pic:pic xmlns:pic="http://schemas.openxmlformats.org/drawingml/2006/picture">
                              <pic:nvPicPr>
                                <pic:cNvPr id="0" name="image1.jpg" descr="Image 1"/>
                                <pic:cNvPicPr preferRelativeResize="0"/>
                              </pic:nvPicPr>
                              <pic:blipFill>
                                <a:blip r:embed="rId15"/>
                                <a:srcRect/>
                                <a:stretch>
                                  <a:fillRect/>
                                </a:stretch>
                              </pic:blipFill>
                              <pic:spPr>
                                <a:xfrm>
                                  <a:off x="0" y="0"/>
                                  <a:ext cx="2505075" cy="514350"/>
                                </a:xfrm>
                                <a:prstGeom prst="rect">
                                  <a:avLst/>
                                </a:prstGeom>
                                <a:ln/>
                              </pic:spPr>
                            </pic:pic>
                          </a:graphicData>
                        </a:graphic>
                      </wp:inline>
                    </w:drawing>
                  </w:r>
                </w:p>
              </w:tc>
              <w:tc>
                <w:tcPr>
                  <w:tcW w:w="2466" w:type="dxa"/>
                  <w:tcBorders>
                    <w:top w:val="single" w:sz="6" w:space="0" w:color="000000"/>
                    <w:left w:val="single" w:sz="6" w:space="0" w:color="000000"/>
                    <w:bottom w:val="single" w:sz="6" w:space="0" w:color="000000"/>
                    <w:right w:val="single" w:sz="6" w:space="0" w:color="000000"/>
                  </w:tcBorders>
                </w:tcPr>
                <w:p w14:paraId="16234F28" w14:textId="77777777" w:rsidR="002F36A6" w:rsidRDefault="00000000">
                  <w:pPr>
                    <w:ind w:firstLine="92"/>
                    <w:rPr>
                      <w:i/>
                      <w:iCs/>
                      <w:color w:val="000000"/>
                      <w:sz w:val="22"/>
                      <w:szCs w:val="22"/>
                    </w:rPr>
                  </w:pPr>
                  <w:r>
                    <w:rPr>
                      <w:i/>
                      <w:iCs/>
                      <w:noProof/>
                      <w:color w:val="000000"/>
                      <w:sz w:val="22"/>
                      <w:szCs w:val="22"/>
                    </w:rPr>
                    <w:drawing>
                      <wp:inline distT="0" distB="0" distL="0" distR="0" wp14:anchorId="02279E55" wp14:editId="44F1D408">
                        <wp:extent cx="2838450" cy="1047750"/>
                        <wp:effectExtent l="0" t="0" r="0" b="0"/>
                        <wp:docPr id="4" name="image2.jpg" descr="Image 2"/>
                        <wp:cNvGraphicFramePr/>
                        <a:graphic xmlns:a="http://schemas.openxmlformats.org/drawingml/2006/main">
                          <a:graphicData uri="http://schemas.openxmlformats.org/drawingml/2006/picture">
                            <pic:pic xmlns:pic="http://schemas.openxmlformats.org/drawingml/2006/picture">
                              <pic:nvPicPr>
                                <pic:cNvPr id="0" name="image2.jpg" descr="Image 2"/>
                                <pic:cNvPicPr preferRelativeResize="0"/>
                              </pic:nvPicPr>
                              <pic:blipFill>
                                <a:blip r:embed="rId16"/>
                                <a:srcRect/>
                                <a:stretch>
                                  <a:fillRect/>
                                </a:stretch>
                              </pic:blipFill>
                              <pic:spPr>
                                <a:xfrm>
                                  <a:off x="0" y="0"/>
                                  <a:ext cx="2838450" cy="1047750"/>
                                </a:xfrm>
                                <a:prstGeom prst="rect">
                                  <a:avLst/>
                                </a:prstGeom>
                                <a:ln/>
                              </pic:spPr>
                            </pic:pic>
                          </a:graphicData>
                        </a:graphic>
                      </wp:inline>
                    </w:drawing>
                  </w:r>
                </w:p>
              </w:tc>
            </w:tr>
          </w:tbl>
          <w:p w14:paraId="1B7DCD55" w14:textId="77777777" w:rsidR="002F36A6" w:rsidRDefault="00000000">
            <w:pPr>
              <w:ind w:firstLine="708"/>
              <w:rPr>
                <w:rFonts w:ascii="Times New Roman" w:eastAsia="Times New Roman" w:hAnsi="Times New Roman" w:cs="Times New Roman"/>
                <w:i/>
                <w:iCs/>
                <w:color w:val="000000"/>
                <w:sz w:val="22"/>
                <w:szCs w:val="22"/>
              </w:rPr>
            </w:pPr>
            <w:bookmarkStart w:id="8" w:name="_heading=h.6dkazbcf8ct" w:colFirst="0" w:colLast="0"/>
            <w:bookmarkEnd w:id="8"/>
            <w:r>
              <w:rPr>
                <w:rFonts w:ascii="Times New Roman" w:eastAsia="Times New Roman" w:hAnsi="Times New Roman" w:cs="Times New Roman"/>
                <w:i/>
                <w:iCs/>
                <w:color w:val="000000"/>
                <w:sz w:val="22"/>
                <w:szCs w:val="22"/>
              </w:rPr>
              <w:t>Note. X se referă la orice grup de legătură care separă cele două inele fenil printr-un singur atom, dar atomul poate avea orice substituent (substituenți).</w:t>
            </w:r>
          </w:p>
          <w:p w14:paraId="443AF3B2"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R</w:t>
            </w:r>
            <w:r>
              <w:rPr>
                <w:rFonts w:ascii="Times New Roman" w:eastAsia="Times New Roman" w:hAnsi="Times New Roman" w:cs="Times New Roman"/>
                <w:i/>
                <w:iCs/>
                <w:color w:val="000000"/>
                <w:sz w:val="22"/>
                <w:szCs w:val="22"/>
                <w:vertAlign w:val="subscript"/>
              </w:rPr>
              <w:t>1</w:t>
            </w:r>
            <w:r>
              <w:rPr>
                <w:rFonts w:ascii="Times New Roman" w:eastAsia="Times New Roman" w:hAnsi="Times New Roman" w:cs="Times New Roman"/>
                <w:i/>
                <w:iCs/>
                <w:color w:val="000000"/>
                <w:sz w:val="22"/>
                <w:szCs w:val="22"/>
              </w:rPr>
              <w:t>-R</w:t>
            </w:r>
            <w:r>
              <w:rPr>
                <w:rFonts w:ascii="Times New Roman" w:eastAsia="Times New Roman" w:hAnsi="Times New Roman" w:cs="Times New Roman"/>
                <w:i/>
                <w:iCs/>
                <w:color w:val="000000"/>
                <w:sz w:val="22"/>
                <w:szCs w:val="22"/>
                <w:vertAlign w:val="subscript"/>
              </w:rPr>
              <w:t>10</w:t>
            </w:r>
            <w:r>
              <w:rPr>
                <w:rFonts w:ascii="Times New Roman" w:eastAsia="Times New Roman" w:hAnsi="Times New Roman" w:cs="Times New Roman"/>
                <w:i/>
                <w:iCs/>
                <w:color w:val="000000"/>
                <w:sz w:val="22"/>
                <w:szCs w:val="22"/>
              </w:rPr>
              <w:t> se referă la orice substituent. Cel puțin unul dintre substituenți nu este un atom de hidrogen (H).</w:t>
            </w:r>
          </w:p>
          <w:p w14:paraId="24A3C7E3" w14:textId="77777777" w:rsidR="002F36A6" w:rsidRDefault="002F36A6">
            <w:pPr>
              <w:widowControl w:val="0"/>
              <w:pBdr>
                <w:top w:val="nil"/>
                <w:left w:val="nil"/>
                <w:bottom w:val="nil"/>
                <w:right w:val="nil"/>
                <w:between w:val="nil"/>
              </w:pBdr>
              <w:tabs>
                <w:tab w:val="left" w:pos="426"/>
              </w:tabs>
              <w:ind w:right="-90"/>
              <w:jc w:val="both"/>
              <w:rPr>
                <w:rFonts w:ascii="Times New Roman" w:eastAsia="Times New Roman" w:hAnsi="Times New Roman" w:cs="Times New Roman"/>
                <w:color w:val="000000"/>
                <w:sz w:val="22"/>
                <w:szCs w:val="22"/>
              </w:rPr>
            </w:pPr>
          </w:p>
        </w:tc>
        <w:tc>
          <w:tcPr>
            <w:tcW w:w="1559" w:type="dxa"/>
          </w:tcPr>
          <w:p w14:paraId="3A38093C"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lastRenderedPageBreak/>
              <w:t>compatibil</w:t>
            </w:r>
          </w:p>
        </w:tc>
        <w:tc>
          <w:tcPr>
            <w:tcW w:w="2589" w:type="dxa"/>
          </w:tcPr>
          <w:p w14:paraId="12C71E5D" w14:textId="77777777" w:rsidR="002F36A6" w:rsidRDefault="002F36A6">
            <w:pPr>
              <w:jc w:val="both"/>
              <w:rPr>
                <w:rFonts w:ascii="Times New Roman" w:eastAsia="Times New Roman" w:hAnsi="Times New Roman" w:cs="Times New Roman"/>
                <w:b/>
                <w:bCs/>
                <w:color w:val="000000"/>
                <w:sz w:val="22"/>
                <w:szCs w:val="22"/>
              </w:rPr>
            </w:pPr>
          </w:p>
        </w:tc>
      </w:tr>
      <w:tr w:rsidR="002F36A6" w14:paraId="41EA6F3D" w14:textId="77777777">
        <w:tc>
          <w:tcPr>
            <w:tcW w:w="6957" w:type="dxa"/>
          </w:tcPr>
          <w:p w14:paraId="093EE358" w14:textId="77777777" w:rsidR="002F36A6" w:rsidRDefault="00000000">
            <w:pPr>
              <w:ind w:firstLine="708"/>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ANEXA II</w:t>
            </w:r>
          </w:p>
          <w:p w14:paraId="4CA45772" w14:textId="77777777" w:rsidR="002F36A6" w:rsidRDefault="00000000">
            <w:pPr>
              <w:ind w:firstLine="708"/>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Lista Uniunii de BPA și alți bisfenoli periculoși și derivați periculoși ai bisfenolului autorizați pentru utilizare la fabricarea materialelor și a articolelor destinate să vină în contact cu alimentele pentru aplicări specifice</w:t>
            </w:r>
          </w:p>
          <w:p w14:paraId="57BB9E42"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Coloana 1 (Substanța MCA nr.): numărul substanței materialelor destinate să vină în contact cu alimentele (MCA)</w:t>
            </w:r>
          </w:p>
          <w:p w14:paraId="53B32EC1"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Coloana 2 (Nr. CAS): numărul de înregistrare în Chemical Abstracts Service (CAS)</w:t>
            </w:r>
          </w:p>
          <w:p w14:paraId="1C1587B8"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Coloana 3 (Denumirea substanței): denumirea chimică IUPAC</w:t>
            </w:r>
          </w:p>
          <w:p w14:paraId="01045D03"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Coloana 4 (Tipul materialului): grupul de materiale și articole care pot face obiectul unor măsuri speciale</w:t>
            </w:r>
          </w:p>
          <w:p w14:paraId="1F70F44A"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Coloana 5 (Aplicare specifică): aplicare specifică pentru care utilizarea substanței este restricționată și pentru care se aplică derogarea</w:t>
            </w:r>
          </w:p>
          <w:p w14:paraId="4B587733"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Coloana 6 (Alte restricții): alte restricții care se aplică</w:t>
            </w:r>
          </w:p>
          <w:tbl>
            <w:tblPr>
              <w:tblStyle w:val="af2"/>
              <w:tblW w:w="672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05"/>
              <w:gridCol w:w="444"/>
              <w:gridCol w:w="1442"/>
              <w:gridCol w:w="1170"/>
              <w:gridCol w:w="1633"/>
              <w:gridCol w:w="1131"/>
            </w:tblGrid>
            <w:tr w:rsidR="002F36A6" w14:paraId="7E376A22" w14:textId="77777777">
              <w:tc>
                <w:tcPr>
                  <w:tcW w:w="905" w:type="dxa"/>
                  <w:tcBorders>
                    <w:top w:val="single" w:sz="6" w:space="0" w:color="000000"/>
                    <w:left w:val="single" w:sz="6" w:space="0" w:color="000000"/>
                    <w:bottom w:val="single" w:sz="6" w:space="0" w:color="000000"/>
                    <w:right w:val="single" w:sz="6" w:space="0" w:color="000000"/>
                  </w:tcBorders>
                </w:tcPr>
                <w:p w14:paraId="1BE1CD56" w14:textId="77777777" w:rsidR="002F36A6" w:rsidRDefault="00000000">
                  <w:pPr>
                    <w:ind w:firstLine="708"/>
                    <w:rPr>
                      <w:b/>
                      <w:bCs/>
                      <w:i/>
                      <w:iCs/>
                      <w:color w:val="000000"/>
                      <w:sz w:val="22"/>
                      <w:szCs w:val="22"/>
                    </w:rPr>
                  </w:pPr>
                  <w:r>
                    <w:rPr>
                      <w:b/>
                      <w:bCs/>
                      <w:i/>
                      <w:iCs/>
                      <w:color w:val="000000"/>
                      <w:sz w:val="22"/>
                      <w:szCs w:val="22"/>
                    </w:rPr>
                    <w:t>(1)</w:t>
                  </w:r>
                </w:p>
              </w:tc>
              <w:tc>
                <w:tcPr>
                  <w:tcW w:w="444" w:type="dxa"/>
                  <w:tcBorders>
                    <w:top w:val="single" w:sz="6" w:space="0" w:color="000000"/>
                    <w:left w:val="single" w:sz="6" w:space="0" w:color="000000"/>
                    <w:bottom w:val="single" w:sz="6" w:space="0" w:color="000000"/>
                    <w:right w:val="single" w:sz="6" w:space="0" w:color="000000"/>
                  </w:tcBorders>
                </w:tcPr>
                <w:p w14:paraId="408F2A51" w14:textId="77777777" w:rsidR="002F36A6" w:rsidRDefault="00000000">
                  <w:pPr>
                    <w:ind w:firstLine="708"/>
                    <w:rPr>
                      <w:b/>
                      <w:bCs/>
                      <w:i/>
                      <w:iCs/>
                      <w:color w:val="000000"/>
                      <w:sz w:val="22"/>
                      <w:szCs w:val="22"/>
                    </w:rPr>
                  </w:pPr>
                  <w:r>
                    <w:rPr>
                      <w:b/>
                      <w:bCs/>
                      <w:i/>
                      <w:iCs/>
                      <w:color w:val="000000"/>
                      <w:sz w:val="22"/>
                      <w:szCs w:val="22"/>
                    </w:rPr>
                    <w:t>(2)</w:t>
                  </w:r>
                </w:p>
              </w:tc>
              <w:tc>
                <w:tcPr>
                  <w:tcW w:w="1442" w:type="dxa"/>
                  <w:tcBorders>
                    <w:top w:val="single" w:sz="6" w:space="0" w:color="000000"/>
                    <w:left w:val="single" w:sz="6" w:space="0" w:color="000000"/>
                    <w:bottom w:val="single" w:sz="6" w:space="0" w:color="000000"/>
                    <w:right w:val="single" w:sz="6" w:space="0" w:color="000000"/>
                  </w:tcBorders>
                </w:tcPr>
                <w:p w14:paraId="4F57499B" w14:textId="77777777" w:rsidR="002F36A6" w:rsidRDefault="00000000">
                  <w:pPr>
                    <w:ind w:firstLine="708"/>
                    <w:rPr>
                      <w:b/>
                      <w:bCs/>
                      <w:i/>
                      <w:iCs/>
                      <w:color w:val="000000"/>
                      <w:sz w:val="22"/>
                      <w:szCs w:val="22"/>
                    </w:rPr>
                  </w:pPr>
                  <w:r>
                    <w:rPr>
                      <w:b/>
                      <w:bCs/>
                      <w:i/>
                      <w:iCs/>
                      <w:color w:val="000000"/>
                      <w:sz w:val="22"/>
                      <w:szCs w:val="22"/>
                    </w:rPr>
                    <w:t>(3)</w:t>
                  </w:r>
                </w:p>
              </w:tc>
              <w:tc>
                <w:tcPr>
                  <w:tcW w:w="1170" w:type="dxa"/>
                  <w:tcBorders>
                    <w:top w:val="single" w:sz="6" w:space="0" w:color="000000"/>
                    <w:left w:val="single" w:sz="6" w:space="0" w:color="000000"/>
                    <w:bottom w:val="single" w:sz="6" w:space="0" w:color="000000"/>
                    <w:right w:val="single" w:sz="6" w:space="0" w:color="000000"/>
                  </w:tcBorders>
                </w:tcPr>
                <w:p w14:paraId="62AF9387" w14:textId="77777777" w:rsidR="002F36A6" w:rsidRDefault="00000000">
                  <w:pPr>
                    <w:ind w:firstLine="708"/>
                    <w:rPr>
                      <w:b/>
                      <w:bCs/>
                      <w:i/>
                      <w:iCs/>
                      <w:color w:val="000000"/>
                      <w:sz w:val="22"/>
                      <w:szCs w:val="22"/>
                    </w:rPr>
                  </w:pPr>
                  <w:r>
                    <w:rPr>
                      <w:b/>
                      <w:bCs/>
                      <w:i/>
                      <w:iCs/>
                      <w:color w:val="000000"/>
                      <w:sz w:val="22"/>
                      <w:szCs w:val="22"/>
                    </w:rPr>
                    <w:t>(4)</w:t>
                  </w:r>
                </w:p>
              </w:tc>
              <w:tc>
                <w:tcPr>
                  <w:tcW w:w="1633" w:type="dxa"/>
                  <w:tcBorders>
                    <w:top w:val="single" w:sz="6" w:space="0" w:color="000000"/>
                    <w:left w:val="single" w:sz="6" w:space="0" w:color="000000"/>
                    <w:bottom w:val="single" w:sz="6" w:space="0" w:color="000000"/>
                    <w:right w:val="single" w:sz="6" w:space="0" w:color="000000"/>
                  </w:tcBorders>
                </w:tcPr>
                <w:p w14:paraId="04BB822E" w14:textId="77777777" w:rsidR="002F36A6" w:rsidRDefault="00000000">
                  <w:pPr>
                    <w:ind w:firstLine="708"/>
                    <w:rPr>
                      <w:b/>
                      <w:bCs/>
                      <w:i/>
                      <w:iCs/>
                      <w:color w:val="000000"/>
                      <w:sz w:val="22"/>
                      <w:szCs w:val="22"/>
                    </w:rPr>
                  </w:pPr>
                  <w:r>
                    <w:rPr>
                      <w:b/>
                      <w:bCs/>
                      <w:i/>
                      <w:iCs/>
                      <w:color w:val="000000"/>
                      <w:sz w:val="22"/>
                      <w:szCs w:val="22"/>
                    </w:rPr>
                    <w:t>(5)</w:t>
                  </w:r>
                </w:p>
              </w:tc>
              <w:tc>
                <w:tcPr>
                  <w:tcW w:w="1131" w:type="dxa"/>
                  <w:tcBorders>
                    <w:top w:val="single" w:sz="6" w:space="0" w:color="000000"/>
                    <w:left w:val="single" w:sz="6" w:space="0" w:color="000000"/>
                    <w:bottom w:val="single" w:sz="6" w:space="0" w:color="000000"/>
                    <w:right w:val="single" w:sz="6" w:space="0" w:color="000000"/>
                  </w:tcBorders>
                </w:tcPr>
                <w:p w14:paraId="287DD3E9" w14:textId="77777777" w:rsidR="002F36A6" w:rsidRDefault="00000000">
                  <w:pPr>
                    <w:ind w:firstLine="708"/>
                    <w:rPr>
                      <w:b/>
                      <w:bCs/>
                      <w:i/>
                      <w:iCs/>
                      <w:color w:val="000000"/>
                      <w:sz w:val="22"/>
                      <w:szCs w:val="22"/>
                    </w:rPr>
                  </w:pPr>
                  <w:r>
                    <w:rPr>
                      <w:b/>
                      <w:bCs/>
                      <w:i/>
                      <w:iCs/>
                      <w:color w:val="000000"/>
                      <w:sz w:val="22"/>
                      <w:szCs w:val="22"/>
                    </w:rPr>
                    <w:t>(6)</w:t>
                  </w:r>
                </w:p>
              </w:tc>
            </w:tr>
            <w:tr w:rsidR="002F36A6" w14:paraId="218D19F7" w14:textId="77777777">
              <w:tc>
                <w:tcPr>
                  <w:tcW w:w="905" w:type="dxa"/>
                  <w:tcBorders>
                    <w:top w:val="single" w:sz="6" w:space="0" w:color="000000"/>
                    <w:left w:val="single" w:sz="6" w:space="0" w:color="000000"/>
                    <w:bottom w:val="single" w:sz="6" w:space="0" w:color="000000"/>
                    <w:right w:val="single" w:sz="6" w:space="0" w:color="000000"/>
                  </w:tcBorders>
                </w:tcPr>
                <w:p w14:paraId="2EEF880C" w14:textId="77777777" w:rsidR="002F36A6" w:rsidRDefault="00000000">
                  <w:pPr>
                    <w:ind w:firstLine="708"/>
                    <w:rPr>
                      <w:b/>
                      <w:bCs/>
                      <w:i/>
                      <w:iCs/>
                      <w:color w:val="000000"/>
                      <w:sz w:val="22"/>
                      <w:szCs w:val="22"/>
                    </w:rPr>
                  </w:pPr>
                  <w:r>
                    <w:rPr>
                      <w:b/>
                      <w:bCs/>
                      <w:i/>
                      <w:iCs/>
                      <w:color w:val="000000"/>
                      <w:sz w:val="22"/>
                      <w:szCs w:val="22"/>
                    </w:rPr>
                    <w:t>Substanța MCA nr.</w:t>
                  </w:r>
                </w:p>
              </w:tc>
              <w:tc>
                <w:tcPr>
                  <w:tcW w:w="444" w:type="dxa"/>
                  <w:tcBorders>
                    <w:top w:val="single" w:sz="6" w:space="0" w:color="000000"/>
                    <w:left w:val="single" w:sz="6" w:space="0" w:color="000000"/>
                    <w:bottom w:val="single" w:sz="6" w:space="0" w:color="000000"/>
                    <w:right w:val="single" w:sz="6" w:space="0" w:color="000000"/>
                  </w:tcBorders>
                </w:tcPr>
                <w:p w14:paraId="36430B34" w14:textId="77777777" w:rsidR="002F36A6" w:rsidRDefault="00000000">
                  <w:pPr>
                    <w:ind w:firstLine="708"/>
                    <w:rPr>
                      <w:b/>
                      <w:bCs/>
                      <w:i/>
                      <w:iCs/>
                      <w:color w:val="000000"/>
                      <w:sz w:val="22"/>
                      <w:szCs w:val="22"/>
                    </w:rPr>
                  </w:pPr>
                  <w:r>
                    <w:rPr>
                      <w:b/>
                      <w:bCs/>
                      <w:i/>
                      <w:iCs/>
                      <w:color w:val="000000"/>
                      <w:sz w:val="22"/>
                      <w:szCs w:val="22"/>
                    </w:rPr>
                    <w:t>Nr. CAS</w:t>
                  </w:r>
                </w:p>
              </w:tc>
              <w:tc>
                <w:tcPr>
                  <w:tcW w:w="1442" w:type="dxa"/>
                  <w:tcBorders>
                    <w:top w:val="single" w:sz="6" w:space="0" w:color="000000"/>
                    <w:left w:val="single" w:sz="6" w:space="0" w:color="000000"/>
                    <w:bottom w:val="single" w:sz="6" w:space="0" w:color="000000"/>
                    <w:right w:val="single" w:sz="6" w:space="0" w:color="000000"/>
                  </w:tcBorders>
                </w:tcPr>
                <w:p w14:paraId="4511915F" w14:textId="77777777" w:rsidR="002F36A6" w:rsidRDefault="00000000">
                  <w:pPr>
                    <w:ind w:firstLine="708"/>
                    <w:rPr>
                      <w:b/>
                      <w:bCs/>
                      <w:i/>
                      <w:iCs/>
                      <w:color w:val="000000"/>
                      <w:sz w:val="22"/>
                      <w:szCs w:val="22"/>
                    </w:rPr>
                  </w:pPr>
                  <w:r>
                    <w:rPr>
                      <w:b/>
                      <w:bCs/>
                      <w:i/>
                      <w:iCs/>
                      <w:color w:val="000000"/>
                      <w:sz w:val="22"/>
                      <w:szCs w:val="22"/>
                    </w:rPr>
                    <w:t>Denumirea substanței</w:t>
                  </w:r>
                </w:p>
              </w:tc>
              <w:tc>
                <w:tcPr>
                  <w:tcW w:w="1170" w:type="dxa"/>
                  <w:tcBorders>
                    <w:top w:val="single" w:sz="6" w:space="0" w:color="000000"/>
                    <w:left w:val="single" w:sz="6" w:space="0" w:color="000000"/>
                    <w:bottom w:val="single" w:sz="6" w:space="0" w:color="000000"/>
                    <w:right w:val="single" w:sz="6" w:space="0" w:color="000000"/>
                  </w:tcBorders>
                </w:tcPr>
                <w:p w14:paraId="4E02CE4A" w14:textId="77777777" w:rsidR="002F36A6" w:rsidRDefault="00000000">
                  <w:pPr>
                    <w:ind w:firstLine="708"/>
                    <w:rPr>
                      <w:b/>
                      <w:bCs/>
                      <w:i/>
                      <w:iCs/>
                      <w:color w:val="000000"/>
                      <w:sz w:val="22"/>
                      <w:szCs w:val="22"/>
                    </w:rPr>
                  </w:pPr>
                  <w:r>
                    <w:rPr>
                      <w:b/>
                      <w:bCs/>
                      <w:i/>
                      <w:iCs/>
                      <w:color w:val="000000"/>
                      <w:sz w:val="22"/>
                      <w:szCs w:val="22"/>
                    </w:rPr>
                    <w:t>Tipul materialului</w:t>
                  </w:r>
                </w:p>
              </w:tc>
              <w:tc>
                <w:tcPr>
                  <w:tcW w:w="1633" w:type="dxa"/>
                  <w:tcBorders>
                    <w:top w:val="single" w:sz="6" w:space="0" w:color="000000"/>
                    <w:left w:val="single" w:sz="6" w:space="0" w:color="000000"/>
                    <w:bottom w:val="single" w:sz="6" w:space="0" w:color="000000"/>
                    <w:right w:val="single" w:sz="6" w:space="0" w:color="000000"/>
                  </w:tcBorders>
                </w:tcPr>
                <w:p w14:paraId="5CB0D27C" w14:textId="77777777" w:rsidR="002F36A6" w:rsidRDefault="00000000">
                  <w:pPr>
                    <w:ind w:firstLine="708"/>
                    <w:rPr>
                      <w:b/>
                      <w:bCs/>
                      <w:i/>
                      <w:iCs/>
                      <w:color w:val="000000"/>
                      <w:sz w:val="22"/>
                      <w:szCs w:val="22"/>
                    </w:rPr>
                  </w:pPr>
                  <w:r>
                    <w:rPr>
                      <w:b/>
                      <w:bCs/>
                      <w:i/>
                      <w:iCs/>
                      <w:color w:val="000000"/>
                      <w:sz w:val="22"/>
                      <w:szCs w:val="22"/>
                    </w:rPr>
                    <w:t>Aplicare specifică</w:t>
                  </w:r>
                </w:p>
              </w:tc>
              <w:tc>
                <w:tcPr>
                  <w:tcW w:w="1131" w:type="dxa"/>
                  <w:tcBorders>
                    <w:top w:val="single" w:sz="6" w:space="0" w:color="000000"/>
                    <w:left w:val="single" w:sz="6" w:space="0" w:color="000000"/>
                    <w:bottom w:val="single" w:sz="6" w:space="0" w:color="000000"/>
                    <w:right w:val="single" w:sz="6" w:space="0" w:color="000000"/>
                  </w:tcBorders>
                </w:tcPr>
                <w:p w14:paraId="0687C494" w14:textId="77777777" w:rsidR="002F36A6" w:rsidRDefault="00000000">
                  <w:pPr>
                    <w:ind w:firstLine="708"/>
                    <w:rPr>
                      <w:b/>
                      <w:bCs/>
                      <w:i/>
                      <w:iCs/>
                      <w:color w:val="000000"/>
                      <w:sz w:val="22"/>
                      <w:szCs w:val="22"/>
                    </w:rPr>
                  </w:pPr>
                  <w:r>
                    <w:rPr>
                      <w:b/>
                      <w:bCs/>
                      <w:i/>
                      <w:iCs/>
                      <w:color w:val="000000"/>
                      <w:sz w:val="22"/>
                      <w:szCs w:val="22"/>
                    </w:rPr>
                    <w:t>Alte restricții</w:t>
                  </w:r>
                </w:p>
              </w:tc>
            </w:tr>
            <w:tr w:rsidR="002F36A6" w14:paraId="7DDC293D" w14:textId="77777777">
              <w:tc>
                <w:tcPr>
                  <w:tcW w:w="905" w:type="dxa"/>
                  <w:vMerge w:val="restart"/>
                  <w:tcBorders>
                    <w:top w:val="single" w:sz="6" w:space="0" w:color="000000"/>
                    <w:left w:val="single" w:sz="6" w:space="0" w:color="000000"/>
                    <w:bottom w:val="single" w:sz="6" w:space="0" w:color="000000"/>
                    <w:right w:val="single" w:sz="6" w:space="0" w:color="000000"/>
                  </w:tcBorders>
                </w:tcPr>
                <w:p w14:paraId="3D29D50C" w14:textId="77777777" w:rsidR="002F36A6" w:rsidRDefault="00000000">
                  <w:pPr>
                    <w:ind w:firstLine="708"/>
                    <w:rPr>
                      <w:i/>
                      <w:iCs/>
                      <w:color w:val="000000"/>
                      <w:sz w:val="22"/>
                      <w:szCs w:val="22"/>
                    </w:rPr>
                  </w:pPr>
                  <w:r>
                    <w:rPr>
                      <w:i/>
                      <w:iCs/>
                      <w:color w:val="000000"/>
                      <w:sz w:val="22"/>
                      <w:szCs w:val="22"/>
                    </w:rPr>
                    <w:t>151</w:t>
                  </w:r>
                </w:p>
              </w:tc>
              <w:tc>
                <w:tcPr>
                  <w:tcW w:w="444" w:type="dxa"/>
                  <w:vMerge w:val="restart"/>
                  <w:tcBorders>
                    <w:top w:val="single" w:sz="6" w:space="0" w:color="000000"/>
                    <w:left w:val="single" w:sz="6" w:space="0" w:color="000000"/>
                    <w:bottom w:val="single" w:sz="6" w:space="0" w:color="000000"/>
                    <w:right w:val="single" w:sz="6" w:space="0" w:color="000000"/>
                  </w:tcBorders>
                </w:tcPr>
                <w:p w14:paraId="08DF0FAB" w14:textId="77777777" w:rsidR="002F36A6" w:rsidRDefault="00000000">
                  <w:pPr>
                    <w:ind w:firstLine="708"/>
                    <w:rPr>
                      <w:i/>
                      <w:iCs/>
                      <w:color w:val="000000"/>
                      <w:sz w:val="22"/>
                      <w:szCs w:val="22"/>
                    </w:rPr>
                  </w:pPr>
                  <w:r>
                    <w:rPr>
                      <w:i/>
                      <w:iCs/>
                      <w:color w:val="000000"/>
                      <w:sz w:val="22"/>
                      <w:szCs w:val="22"/>
                    </w:rPr>
                    <w:t>80-05-7</w:t>
                  </w:r>
                </w:p>
              </w:tc>
              <w:tc>
                <w:tcPr>
                  <w:tcW w:w="1442" w:type="dxa"/>
                  <w:vMerge w:val="restart"/>
                  <w:tcBorders>
                    <w:top w:val="single" w:sz="6" w:space="0" w:color="000000"/>
                    <w:left w:val="single" w:sz="6" w:space="0" w:color="000000"/>
                    <w:bottom w:val="single" w:sz="6" w:space="0" w:color="000000"/>
                    <w:right w:val="single" w:sz="6" w:space="0" w:color="000000"/>
                  </w:tcBorders>
                </w:tcPr>
                <w:p w14:paraId="7068D295" w14:textId="77777777" w:rsidR="002F36A6" w:rsidRDefault="00000000">
                  <w:pPr>
                    <w:ind w:firstLine="708"/>
                    <w:rPr>
                      <w:i/>
                      <w:iCs/>
                      <w:color w:val="000000"/>
                      <w:sz w:val="22"/>
                      <w:szCs w:val="22"/>
                    </w:rPr>
                  </w:pPr>
                  <w:r>
                    <w:rPr>
                      <w:i/>
                      <w:iCs/>
                      <w:color w:val="000000"/>
                      <w:sz w:val="22"/>
                      <w:szCs w:val="22"/>
                    </w:rPr>
                    <w:t>4,4’-izopropilidendifenol (bisfenol A)</w:t>
                  </w:r>
                </w:p>
              </w:tc>
              <w:tc>
                <w:tcPr>
                  <w:tcW w:w="1170" w:type="dxa"/>
                  <w:tcBorders>
                    <w:top w:val="single" w:sz="6" w:space="0" w:color="000000"/>
                    <w:left w:val="single" w:sz="6" w:space="0" w:color="000000"/>
                    <w:bottom w:val="single" w:sz="6" w:space="0" w:color="000000"/>
                    <w:right w:val="single" w:sz="6" w:space="0" w:color="000000"/>
                  </w:tcBorders>
                </w:tcPr>
                <w:p w14:paraId="00639891" w14:textId="77777777" w:rsidR="002F36A6" w:rsidRDefault="00000000">
                  <w:pPr>
                    <w:ind w:firstLine="708"/>
                    <w:rPr>
                      <w:i/>
                      <w:iCs/>
                      <w:color w:val="000000"/>
                      <w:sz w:val="22"/>
                      <w:szCs w:val="22"/>
                    </w:rPr>
                  </w:pPr>
                  <w:r>
                    <w:rPr>
                      <w:i/>
                      <w:iCs/>
                      <w:color w:val="000000"/>
                      <w:sz w:val="22"/>
                      <w:szCs w:val="22"/>
                    </w:rPr>
                    <w:t>Materiale pentru învelișul interior al recipientelor</w:t>
                  </w:r>
                </w:p>
              </w:tc>
              <w:tc>
                <w:tcPr>
                  <w:tcW w:w="1633" w:type="dxa"/>
                  <w:tcBorders>
                    <w:top w:val="single" w:sz="6" w:space="0" w:color="000000"/>
                    <w:left w:val="single" w:sz="6" w:space="0" w:color="000000"/>
                    <w:bottom w:val="single" w:sz="6" w:space="0" w:color="000000"/>
                    <w:right w:val="single" w:sz="6" w:space="0" w:color="000000"/>
                  </w:tcBorders>
                </w:tcPr>
                <w:p w14:paraId="07E09EAA" w14:textId="77777777" w:rsidR="002F36A6" w:rsidRDefault="00000000">
                  <w:pPr>
                    <w:ind w:firstLine="708"/>
                    <w:rPr>
                      <w:i/>
                      <w:iCs/>
                      <w:color w:val="000000"/>
                      <w:sz w:val="22"/>
                      <w:szCs w:val="22"/>
                    </w:rPr>
                  </w:pPr>
                  <w:r>
                    <w:rPr>
                      <w:i/>
                      <w:iCs/>
                      <w:color w:val="000000"/>
                      <w:sz w:val="22"/>
                      <w:szCs w:val="22"/>
                    </w:rPr>
                    <w:t xml:space="preserve">Pentru utilizare ca monomer sau materie primă la fabricarea </w:t>
                  </w:r>
                  <w:r>
                    <w:rPr>
                      <w:i/>
                      <w:iCs/>
                      <w:color w:val="000000"/>
                      <w:sz w:val="22"/>
                      <w:szCs w:val="22"/>
                    </w:rPr>
                    <w:lastRenderedPageBreak/>
                    <w:t>rășinilor epoxidice lichide, se aplică pe materiale sau articole care pot constitui un suport, care vin în contact cu alimentele, cu o capacitate mai mare de 1 000 de litri</w:t>
                  </w:r>
                </w:p>
              </w:tc>
              <w:tc>
                <w:tcPr>
                  <w:tcW w:w="1131" w:type="dxa"/>
                  <w:tcBorders>
                    <w:top w:val="single" w:sz="6" w:space="0" w:color="000000"/>
                    <w:left w:val="single" w:sz="6" w:space="0" w:color="000000"/>
                    <w:bottom w:val="single" w:sz="6" w:space="0" w:color="000000"/>
                    <w:right w:val="single" w:sz="6" w:space="0" w:color="000000"/>
                  </w:tcBorders>
                </w:tcPr>
                <w:p w14:paraId="4F3384C6" w14:textId="77777777" w:rsidR="002F36A6" w:rsidRDefault="00000000">
                  <w:pPr>
                    <w:ind w:firstLine="708"/>
                    <w:rPr>
                      <w:i/>
                      <w:iCs/>
                      <w:color w:val="000000"/>
                      <w:sz w:val="22"/>
                      <w:szCs w:val="22"/>
                    </w:rPr>
                  </w:pPr>
                  <w:r>
                    <w:rPr>
                      <w:i/>
                      <w:iCs/>
                      <w:color w:val="000000"/>
                      <w:sz w:val="22"/>
                      <w:szCs w:val="22"/>
                    </w:rPr>
                    <w:lastRenderedPageBreak/>
                    <w:t xml:space="preserve">Migrarea în alimente nu trebuie să </w:t>
                  </w:r>
                  <w:r>
                    <w:rPr>
                      <w:i/>
                      <w:iCs/>
                      <w:color w:val="000000"/>
                      <w:sz w:val="22"/>
                      <w:szCs w:val="22"/>
                    </w:rPr>
                    <w:lastRenderedPageBreak/>
                    <w:t>fie detectabilă.</w:t>
                  </w:r>
                </w:p>
                <w:p w14:paraId="06797DCF" w14:textId="77777777" w:rsidR="002F36A6" w:rsidRDefault="00000000">
                  <w:pPr>
                    <w:ind w:firstLine="708"/>
                    <w:rPr>
                      <w:i/>
                      <w:iCs/>
                      <w:color w:val="000000"/>
                      <w:sz w:val="22"/>
                      <w:szCs w:val="22"/>
                    </w:rPr>
                  </w:pPr>
                  <w:r>
                    <w:rPr>
                      <w:i/>
                      <w:iCs/>
                      <w:color w:val="000000"/>
                      <w:sz w:val="22"/>
                      <w:szCs w:val="22"/>
                    </w:rPr>
                    <w:t>Articolele finite destinate să vină în contact cu alimentele se curăță și se clătesc înainte de a veni în contact cu alimentele</w:t>
                  </w:r>
                </w:p>
              </w:tc>
            </w:tr>
            <w:tr w:rsidR="002F36A6" w14:paraId="04AE59FD" w14:textId="77777777">
              <w:tc>
                <w:tcPr>
                  <w:tcW w:w="905" w:type="dxa"/>
                  <w:vMerge/>
                  <w:tcBorders>
                    <w:top w:val="single" w:sz="6" w:space="0" w:color="000000"/>
                    <w:left w:val="single" w:sz="6" w:space="0" w:color="000000"/>
                    <w:bottom w:val="single" w:sz="6" w:space="0" w:color="000000"/>
                    <w:right w:val="single" w:sz="6" w:space="0" w:color="000000"/>
                  </w:tcBorders>
                </w:tcPr>
                <w:p w14:paraId="02270E76" w14:textId="77777777" w:rsidR="002F36A6" w:rsidRDefault="002F36A6">
                  <w:pPr>
                    <w:widowControl w:val="0"/>
                    <w:pBdr>
                      <w:top w:val="nil"/>
                      <w:left w:val="nil"/>
                      <w:bottom w:val="nil"/>
                      <w:right w:val="nil"/>
                      <w:between w:val="nil"/>
                    </w:pBdr>
                    <w:spacing w:line="276" w:lineRule="auto"/>
                    <w:rPr>
                      <w:i/>
                      <w:iCs/>
                      <w:color w:val="000000"/>
                      <w:sz w:val="22"/>
                      <w:szCs w:val="22"/>
                    </w:rPr>
                  </w:pPr>
                </w:p>
              </w:tc>
              <w:tc>
                <w:tcPr>
                  <w:tcW w:w="444" w:type="dxa"/>
                  <w:vMerge/>
                  <w:tcBorders>
                    <w:top w:val="single" w:sz="6" w:space="0" w:color="000000"/>
                    <w:left w:val="single" w:sz="6" w:space="0" w:color="000000"/>
                    <w:bottom w:val="single" w:sz="6" w:space="0" w:color="000000"/>
                    <w:right w:val="single" w:sz="6" w:space="0" w:color="000000"/>
                  </w:tcBorders>
                </w:tcPr>
                <w:p w14:paraId="2F627DBD" w14:textId="77777777" w:rsidR="002F36A6" w:rsidRDefault="002F36A6">
                  <w:pPr>
                    <w:widowControl w:val="0"/>
                    <w:pBdr>
                      <w:top w:val="nil"/>
                      <w:left w:val="nil"/>
                      <w:bottom w:val="nil"/>
                      <w:right w:val="nil"/>
                      <w:between w:val="nil"/>
                    </w:pBdr>
                    <w:spacing w:line="276" w:lineRule="auto"/>
                    <w:rPr>
                      <w:i/>
                      <w:iCs/>
                      <w:color w:val="000000"/>
                      <w:sz w:val="22"/>
                      <w:szCs w:val="22"/>
                    </w:rPr>
                  </w:pPr>
                </w:p>
              </w:tc>
              <w:tc>
                <w:tcPr>
                  <w:tcW w:w="1442" w:type="dxa"/>
                  <w:vMerge/>
                  <w:tcBorders>
                    <w:top w:val="single" w:sz="6" w:space="0" w:color="000000"/>
                    <w:left w:val="single" w:sz="6" w:space="0" w:color="000000"/>
                    <w:bottom w:val="single" w:sz="6" w:space="0" w:color="000000"/>
                    <w:right w:val="single" w:sz="6" w:space="0" w:color="000000"/>
                  </w:tcBorders>
                </w:tcPr>
                <w:p w14:paraId="707E9054" w14:textId="77777777" w:rsidR="002F36A6" w:rsidRDefault="002F36A6">
                  <w:pPr>
                    <w:widowControl w:val="0"/>
                    <w:pBdr>
                      <w:top w:val="nil"/>
                      <w:left w:val="nil"/>
                      <w:bottom w:val="nil"/>
                      <w:right w:val="nil"/>
                      <w:between w:val="nil"/>
                    </w:pBdr>
                    <w:spacing w:line="276" w:lineRule="auto"/>
                    <w:rPr>
                      <w:i/>
                      <w:iCs/>
                      <w:color w:val="000000"/>
                      <w:sz w:val="22"/>
                      <w:szCs w:val="22"/>
                    </w:rPr>
                  </w:pPr>
                </w:p>
              </w:tc>
              <w:tc>
                <w:tcPr>
                  <w:tcW w:w="1170" w:type="dxa"/>
                  <w:tcBorders>
                    <w:top w:val="single" w:sz="6" w:space="0" w:color="000000"/>
                    <w:left w:val="single" w:sz="6" w:space="0" w:color="000000"/>
                    <w:bottom w:val="single" w:sz="6" w:space="0" w:color="000000"/>
                    <w:right w:val="single" w:sz="6" w:space="0" w:color="000000"/>
                  </w:tcBorders>
                </w:tcPr>
                <w:p w14:paraId="4273E119" w14:textId="77777777" w:rsidR="002F36A6" w:rsidRDefault="00000000">
                  <w:pPr>
                    <w:ind w:firstLine="708"/>
                    <w:rPr>
                      <w:i/>
                      <w:iCs/>
                      <w:color w:val="000000"/>
                      <w:sz w:val="22"/>
                      <w:szCs w:val="22"/>
                    </w:rPr>
                  </w:pPr>
                  <w:r>
                    <w:rPr>
                      <w:i/>
                      <w:iCs/>
                      <w:color w:val="000000"/>
                      <w:sz w:val="22"/>
                      <w:szCs w:val="22"/>
                    </w:rPr>
                    <w:t>Materiale plastice</w:t>
                  </w:r>
                </w:p>
              </w:tc>
              <w:tc>
                <w:tcPr>
                  <w:tcW w:w="1633" w:type="dxa"/>
                  <w:tcBorders>
                    <w:top w:val="single" w:sz="6" w:space="0" w:color="000000"/>
                    <w:left w:val="single" w:sz="6" w:space="0" w:color="000000"/>
                    <w:bottom w:val="single" w:sz="6" w:space="0" w:color="000000"/>
                    <w:right w:val="single" w:sz="6" w:space="0" w:color="000000"/>
                  </w:tcBorders>
                </w:tcPr>
                <w:p w14:paraId="728F5C36" w14:textId="77777777" w:rsidR="002F36A6" w:rsidRDefault="00000000">
                  <w:pPr>
                    <w:ind w:firstLine="708"/>
                    <w:rPr>
                      <w:i/>
                      <w:iCs/>
                      <w:color w:val="000000"/>
                      <w:sz w:val="22"/>
                      <w:szCs w:val="22"/>
                    </w:rPr>
                  </w:pPr>
                  <w:r>
                    <w:rPr>
                      <w:i/>
                      <w:iCs/>
                      <w:color w:val="000000"/>
                      <w:sz w:val="22"/>
                      <w:szCs w:val="22"/>
                    </w:rPr>
                    <w:t>Pentru utilizare ca monomer sau ca materie primă la fabricarea ansamblurilor de membrane de filtrare din polisulfonă</w:t>
                  </w:r>
                </w:p>
              </w:tc>
              <w:tc>
                <w:tcPr>
                  <w:tcW w:w="1131" w:type="dxa"/>
                  <w:tcBorders>
                    <w:top w:val="single" w:sz="6" w:space="0" w:color="000000"/>
                    <w:left w:val="single" w:sz="6" w:space="0" w:color="000000"/>
                    <w:bottom w:val="single" w:sz="6" w:space="0" w:color="000000"/>
                    <w:right w:val="single" w:sz="6" w:space="0" w:color="000000"/>
                  </w:tcBorders>
                </w:tcPr>
                <w:p w14:paraId="00D1858C" w14:textId="77777777" w:rsidR="002F36A6" w:rsidRDefault="00000000">
                  <w:pPr>
                    <w:ind w:firstLine="708"/>
                    <w:rPr>
                      <w:i/>
                      <w:iCs/>
                      <w:color w:val="000000"/>
                      <w:sz w:val="22"/>
                      <w:szCs w:val="22"/>
                    </w:rPr>
                  </w:pPr>
                  <w:r>
                    <w:rPr>
                      <w:i/>
                      <w:iCs/>
                      <w:color w:val="000000"/>
                      <w:sz w:val="22"/>
                      <w:szCs w:val="22"/>
                    </w:rPr>
                    <w:t>Migrarea în alimente nu trebuie să fie detectabilă.</w:t>
                  </w:r>
                </w:p>
                <w:p w14:paraId="00FCFE24" w14:textId="77777777" w:rsidR="002F36A6" w:rsidRDefault="00000000">
                  <w:pPr>
                    <w:ind w:firstLine="708"/>
                    <w:rPr>
                      <w:i/>
                      <w:iCs/>
                      <w:color w:val="000000"/>
                      <w:sz w:val="22"/>
                      <w:szCs w:val="22"/>
                    </w:rPr>
                  </w:pPr>
                  <w:r>
                    <w:rPr>
                      <w:i/>
                      <w:iCs/>
                      <w:color w:val="000000"/>
                      <w:sz w:val="22"/>
                      <w:szCs w:val="22"/>
                    </w:rPr>
                    <w:t>Articolele finite destinate să vină în contact cu alimentele se curăță și se clătesc înainte de a veni în contact cu alimentele</w:t>
                  </w:r>
                </w:p>
              </w:tc>
            </w:tr>
          </w:tbl>
          <w:p w14:paraId="2FBEF2A6" w14:textId="77777777" w:rsidR="002F36A6" w:rsidRDefault="002F36A6">
            <w:pPr>
              <w:ind w:firstLine="708"/>
              <w:rPr>
                <w:rFonts w:ascii="Times New Roman" w:eastAsia="Times New Roman" w:hAnsi="Times New Roman" w:cs="Times New Roman"/>
                <w:i/>
                <w:iCs/>
                <w:color w:val="000000"/>
                <w:sz w:val="22"/>
                <w:szCs w:val="22"/>
              </w:rPr>
            </w:pPr>
          </w:p>
        </w:tc>
        <w:tc>
          <w:tcPr>
            <w:tcW w:w="4877" w:type="dxa"/>
          </w:tcPr>
          <w:p w14:paraId="4B6F8A31" w14:textId="77777777" w:rsidR="002F36A6" w:rsidRDefault="00000000">
            <w:pPr>
              <w:widowControl w:val="0"/>
              <w:pBdr>
                <w:top w:val="nil"/>
                <w:left w:val="nil"/>
                <w:bottom w:val="nil"/>
                <w:right w:val="nil"/>
                <w:between w:val="nil"/>
              </w:pBdr>
              <w:tabs>
                <w:tab w:val="left" w:pos="426"/>
              </w:tabs>
              <w:ind w:right="-90"/>
              <w:jc w:val="right"/>
              <w:rPr>
                <w:rFonts w:ascii="Times New Roman" w:eastAsia="Times New Roman" w:hAnsi="Times New Roman" w:cs="Times New Roman"/>
                <w:b/>
                <w:bCs/>
                <w:color w:val="000000"/>
                <w:sz w:val="22"/>
                <w:szCs w:val="22"/>
              </w:rPr>
            </w:pPr>
            <w:bookmarkStart w:id="9" w:name="_heading=h.b87u6wrkri5r" w:colFirst="0" w:colLast="0"/>
            <w:bookmarkEnd w:id="9"/>
            <w:r>
              <w:rPr>
                <w:rFonts w:ascii="Times New Roman" w:eastAsia="Times New Roman" w:hAnsi="Times New Roman" w:cs="Times New Roman"/>
                <w:b/>
                <w:bCs/>
                <w:color w:val="000000"/>
                <w:sz w:val="22"/>
                <w:szCs w:val="22"/>
              </w:rPr>
              <w:lastRenderedPageBreak/>
              <w:t xml:space="preserve">Anexa nr.2 </w:t>
            </w:r>
          </w:p>
          <w:p w14:paraId="111549E7" w14:textId="77777777" w:rsidR="002F36A6" w:rsidRDefault="00000000">
            <w:pPr>
              <w:ind w:firstLine="708"/>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la </w:t>
            </w:r>
            <w:r>
              <w:rPr>
                <w:rFonts w:ascii="Times New Roman" w:eastAsia="Times New Roman" w:hAnsi="Times New Roman" w:cs="Times New Roman"/>
                <w:b/>
                <w:bCs/>
                <w:sz w:val="22"/>
                <w:szCs w:val="22"/>
              </w:rPr>
              <w:t xml:space="preserve">Regulamentul sanitar privind utilizarea bisfenolului A (BPA) și a altor bisfenoli și derivați ai bisfenolului cu clasificare armonizată pentru proprietăți periculoase specifice în anumite materiale și articole destinate să vină în contact cu </w:t>
            </w:r>
            <w:r>
              <w:rPr>
                <w:rFonts w:ascii="Times New Roman" w:eastAsia="Times New Roman" w:hAnsi="Times New Roman" w:cs="Times New Roman"/>
                <w:b/>
                <w:bCs/>
                <w:color w:val="000000"/>
                <w:sz w:val="22"/>
                <w:szCs w:val="22"/>
              </w:rPr>
              <w:t>produsele alimentare</w:t>
            </w:r>
          </w:p>
          <w:p w14:paraId="78C0DD0F" w14:textId="77777777" w:rsidR="002F36A6" w:rsidRDefault="002F36A6">
            <w:pPr>
              <w:ind w:firstLine="708"/>
              <w:jc w:val="center"/>
              <w:rPr>
                <w:rFonts w:ascii="Times New Roman" w:eastAsia="Times New Roman" w:hAnsi="Times New Roman" w:cs="Times New Roman"/>
                <w:sz w:val="22"/>
                <w:szCs w:val="22"/>
              </w:rPr>
            </w:pPr>
          </w:p>
          <w:p w14:paraId="19ED86DB" w14:textId="77777777" w:rsidR="002F36A6" w:rsidRDefault="00000000">
            <w:pPr>
              <w:ind w:firstLine="708"/>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Lista de BPA și alți bisfenoli periculoși și derivați periculoși ai bisfenolului autorizați pentru utilizare la fabricarea materialelor și a articolelor destinate să vină în contact cu produsele alimentare pentru aplicări specifice</w:t>
            </w:r>
          </w:p>
          <w:p w14:paraId="485B4385"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 xml:space="preserve">Coloana 1 (Substanța MCA nr.): numărul substanței materialelor destinate să vină în contact cu </w:t>
            </w:r>
            <w:r>
              <w:rPr>
                <w:rFonts w:ascii="Times New Roman" w:eastAsia="Times New Roman" w:hAnsi="Times New Roman" w:cs="Times New Roman"/>
                <w:color w:val="000000"/>
                <w:sz w:val="22"/>
                <w:szCs w:val="22"/>
              </w:rPr>
              <w:t>produsele alimentare</w:t>
            </w:r>
            <w:r>
              <w:rPr>
                <w:rFonts w:ascii="Times New Roman" w:eastAsia="Times New Roman" w:hAnsi="Times New Roman" w:cs="Times New Roman"/>
                <w:i/>
                <w:iCs/>
                <w:color w:val="000000"/>
                <w:sz w:val="22"/>
                <w:szCs w:val="22"/>
              </w:rPr>
              <w:t xml:space="preserve"> (MCA)</w:t>
            </w:r>
          </w:p>
          <w:p w14:paraId="703A157D"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Coloana 2 (Nr. CAS): numărul de înregistrare în Chemical Abstracts Service (CAS)</w:t>
            </w:r>
          </w:p>
          <w:p w14:paraId="7F5743E2"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Coloana 3 (Denumirea substanței): denumirea chimică IUPAC</w:t>
            </w:r>
          </w:p>
          <w:p w14:paraId="51D42F75"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Coloana 4 (Tipul materialului): grupul de materiale și articole care pot face obiectul unor măsuri speciale</w:t>
            </w:r>
          </w:p>
          <w:p w14:paraId="542D8D2B"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lastRenderedPageBreak/>
              <w:t>Coloana 5 (Aplicare specifică): aplicare specifică pentru care utilizarea substanței este restricționată și pentru care se aplică derogarea</w:t>
            </w:r>
          </w:p>
          <w:p w14:paraId="728D9983"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Coloana 6 (Alte restricții): alte restricții care se aplică</w:t>
            </w:r>
          </w:p>
          <w:tbl>
            <w:tblPr>
              <w:tblStyle w:val="af3"/>
              <w:tblW w:w="464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26"/>
              <w:gridCol w:w="314"/>
              <w:gridCol w:w="993"/>
              <w:gridCol w:w="808"/>
              <w:gridCol w:w="896"/>
              <w:gridCol w:w="1008"/>
            </w:tblGrid>
            <w:tr w:rsidR="002F36A6" w14:paraId="2DE691AE" w14:textId="77777777">
              <w:tc>
                <w:tcPr>
                  <w:tcW w:w="626" w:type="dxa"/>
                  <w:tcBorders>
                    <w:top w:val="single" w:sz="6" w:space="0" w:color="000000"/>
                    <w:left w:val="single" w:sz="6" w:space="0" w:color="000000"/>
                    <w:bottom w:val="single" w:sz="6" w:space="0" w:color="000000"/>
                    <w:right w:val="single" w:sz="6" w:space="0" w:color="000000"/>
                  </w:tcBorders>
                </w:tcPr>
                <w:p w14:paraId="3D473033" w14:textId="77777777" w:rsidR="002F36A6" w:rsidRDefault="00000000">
                  <w:pPr>
                    <w:jc w:val="center"/>
                    <w:rPr>
                      <w:b/>
                      <w:bCs/>
                      <w:i/>
                      <w:iCs/>
                      <w:color w:val="000000"/>
                      <w:sz w:val="22"/>
                      <w:szCs w:val="22"/>
                    </w:rPr>
                  </w:pPr>
                  <w:r>
                    <w:rPr>
                      <w:b/>
                      <w:bCs/>
                      <w:i/>
                      <w:iCs/>
                      <w:color w:val="000000"/>
                      <w:sz w:val="22"/>
                      <w:szCs w:val="22"/>
                    </w:rPr>
                    <w:t>(1)</w:t>
                  </w:r>
                </w:p>
              </w:tc>
              <w:tc>
                <w:tcPr>
                  <w:tcW w:w="314" w:type="dxa"/>
                  <w:tcBorders>
                    <w:top w:val="single" w:sz="6" w:space="0" w:color="000000"/>
                    <w:left w:val="single" w:sz="6" w:space="0" w:color="000000"/>
                    <w:bottom w:val="single" w:sz="6" w:space="0" w:color="000000"/>
                    <w:right w:val="single" w:sz="6" w:space="0" w:color="000000"/>
                  </w:tcBorders>
                </w:tcPr>
                <w:p w14:paraId="6F10E6DF" w14:textId="77777777" w:rsidR="002F36A6" w:rsidRDefault="00000000">
                  <w:pPr>
                    <w:jc w:val="center"/>
                    <w:rPr>
                      <w:b/>
                      <w:bCs/>
                      <w:i/>
                      <w:iCs/>
                      <w:color w:val="000000"/>
                      <w:sz w:val="22"/>
                      <w:szCs w:val="22"/>
                    </w:rPr>
                  </w:pPr>
                  <w:r>
                    <w:rPr>
                      <w:b/>
                      <w:bCs/>
                      <w:i/>
                      <w:iCs/>
                      <w:color w:val="000000"/>
                      <w:sz w:val="22"/>
                      <w:szCs w:val="22"/>
                    </w:rPr>
                    <w:t>(2)</w:t>
                  </w:r>
                </w:p>
              </w:tc>
              <w:tc>
                <w:tcPr>
                  <w:tcW w:w="993" w:type="dxa"/>
                  <w:tcBorders>
                    <w:top w:val="single" w:sz="6" w:space="0" w:color="000000"/>
                    <w:left w:val="single" w:sz="6" w:space="0" w:color="000000"/>
                    <w:bottom w:val="single" w:sz="6" w:space="0" w:color="000000"/>
                    <w:right w:val="single" w:sz="6" w:space="0" w:color="000000"/>
                  </w:tcBorders>
                </w:tcPr>
                <w:p w14:paraId="7675EAC0" w14:textId="77777777" w:rsidR="002F36A6" w:rsidRDefault="00000000">
                  <w:pPr>
                    <w:jc w:val="center"/>
                    <w:rPr>
                      <w:b/>
                      <w:bCs/>
                      <w:i/>
                      <w:iCs/>
                      <w:color w:val="000000"/>
                      <w:sz w:val="22"/>
                      <w:szCs w:val="22"/>
                    </w:rPr>
                  </w:pPr>
                  <w:r>
                    <w:rPr>
                      <w:b/>
                      <w:bCs/>
                      <w:i/>
                      <w:iCs/>
                      <w:color w:val="000000"/>
                      <w:sz w:val="22"/>
                      <w:szCs w:val="22"/>
                    </w:rPr>
                    <w:t>(3)</w:t>
                  </w:r>
                </w:p>
              </w:tc>
              <w:tc>
                <w:tcPr>
                  <w:tcW w:w="808" w:type="dxa"/>
                  <w:tcBorders>
                    <w:top w:val="single" w:sz="6" w:space="0" w:color="000000"/>
                    <w:left w:val="single" w:sz="6" w:space="0" w:color="000000"/>
                    <w:bottom w:val="single" w:sz="6" w:space="0" w:color="000000"/>
                    <w:right w:val="single" w:sz="6" w:space="0" w:color="000000"/>
                  </w:tcBorders>
                </w:tcPr>
                <w:p w14:paraId="24BBBDC4" w14:textId="77777777" w:rsidR="002F36A6" w:rsidRDefault="00000000">
                  <w:pPr>
                    <w:jc w:val="center"/>
                    <w:rPr>
                      <w:b/>
                      <w:bCs/>
                      <w:i/>
                      <w:iCs/>
                      <w:color w:val="000000"/>
                      <w:sz w:val="22"/>
                      <w:szCs w:val="22"/>
                    </w:rPr>
                  </w:pPr>
                  <w:r>
                    <w:rPr>
                      <w:b/>
                      <w:bCs/>
                      <w:i/>
                      <w:iCs/>
                      <w:color w:val="000000"/>
                      <w:sz w:val="22"/>
                      <w:szCs w:val="22"/>
                    </w:rPr>
                    <w:t>(4)</w:t>
                  </w:r>
                </w:p>
              </w:tc>
              <w:tc>
                <w:tcPr>
                  <w:tcW w:w="896" w:type="dxa"/>
                  <w:tcBorders>
                    <w:top w:val="single" w:sz="6" w:space="0" w:color="000000"/>
                    <w:left w:val="single" w:sz="6" w:space="0" w:color="000000"/>
                    <w:bottom w:val="single" w:sz="6" w:space="0" w:color="000000"/>
                    <w:right w:val="single" w:sz="6" w:space="0" w:color="000000"/>
                  </w:tcBorders>
                </w:tcPr>
                <w:p w14:paraId="516BBEFA" w14:textId="77777777" w:rsidR="002F36A6" w:rsidRDefault="00000000">
                  <w:pPr>
                    <w:jc w:val="center"/>
                    <w:rPr>
                      <w:b/>
                      <w:bCs/>
                      <w:i/>
                      <w:iCs/>
                      <w:color w:val="000000"/>
                      <w:sz w:val="22"/>
                      <w:szCs w:val="22"/>
                    </w:rPr>
                  </w:pPr>
                  <w:r>
                    <w:rPr>
                      <w:b/>
                      <w:bCs/>
                      <w:i/>
                      <w:iCs/>
                      <w:color w:val="000000"/>
                      <w:sz w:val="22"/>
                      <w:szCs w:val="22"/>
                    </w:rPr>
                    <w:t>(5)</w:t>
                  </w:r>
                </w:p>
              </w:tc>
              <w:tc>
                <w:tcPr>
                  <w:tcW w:w="1008" w:type="dxa"/>
                  <w:tcBorders>
                    <w:top w:val="single" w:sz="6" w:space="0" w:color="000000"/>
                    <w:left w:val="single" w:sz="6" w:space="0" w:color="000000"/>
                    <w:bottom w:val="single" w:sz="6" w:space="0" w:color="000000"/>
                    <w:right w:val="single" w:sz="6" w:space="0" w:color="000000"/>
                  </w:tcBorders>
                </w:tcPr>
                <w:p w14:paraId="2D8A4E32" w14:textId="77777777" w:rsidR="002F36A6" w:rsidRDefault="00000000">
                  <w:pPr>
                    <w:jc w:val="center"/>
                    <w:rPr>
                      <w:b/>
                      <w:bCs/>
                      <w:i/>
                      <w:iCs/>
                      <w:color w:val="000000"/>
                      <w:sz w:val="22"/>
                      <w:szCs w:val="22"/>
                    </w:rPr>
                  </w:pPr>
                  <w:r>
                    <w:rPr>
                      <w:b/>
                      <w:bCs/>
                      <w:i/>
                      <w:iCs/>
                      <w:color w:val="000000"/>
                      <w:sz w:val="22"/>
                      <w:szCs w:val="22"/>
                    </w:rPr>
                    <w:t>(6)</w:t>
                  </w:r>
                </w:p>
              </w:tc>
            </w:tr>
            <w:tr w:rsidR="002F36A6" w14:paraId="5C2CF49D" w14:textId="77777777">
              <w:tc>
                <w:tcPr>
                  <w:tcW w:w="626" w:type="dxa"/>
                  <w:tcBorders>
                    <w:top w:val="single" w:sz="6" w:space="0" w:color="000000"/>
                    <w:left w:val="single" w:sz="6" w:space="0" w:color="000000"/>
                    <w:bottom w:val="single" w:sz="6" w:space="0" w:color="000000"/>
                    <w:right w:val="single" w:sz="6" w:space="0" w:color="000000"/>
                  </w:tcBorders>
                </w:tcPr>
                <w:p w14:paraId="016F9EED" w14:textId="77777777" w:rsidR="002F36A6" w:rsidRDefault="00000000">
                  <w:pPr>
                    <w:jc w:val="center"/>
                    <w:rPr>
                      <w:b/>
                      <w:bCs/>
                      <w:i/>
                      <w:iCs/>
                      <w:color w:val="000000"/>
                      <w:sz w:val="22"/>
                      <w:szCs w:val="22"/>
                    </w:rPr>
                  </w:pPr>
                  <w:r>
                    <w:rPr>
                      <w:b/>
                      <w:bCs/>
                      <w:i/>
                      <w:iCs/>
                      <w:color w:val="000000"/>
                      <w:sz w:val="22"/>
                      <w:szCs w:val="22"/>
                    </w:rPr>
                    <w:t>Substanța MCA nr.</w:t>
                  </w:r>
                </w:p>
              </w:tc>
              <w:tc>
                <w:tcPr>
                  <w:tcW w:w="314" w:type="dxa"/>
                  <w:tcBorders>
                    <w:top w:val="single" w:sz="6" w:space="0" w:color="000000"/>
                    <w:left w:val="single" w:sz="6" w:space="0" w:color="000000"/>
                    <w:bottom w:val="single" w:sz="6" w:space="0" w:color="000000"/>
                    <w:right w:val="single" w:sz="6" w:space="0" w:color="000000"/>
                  </w:tcBorders>
                </w:tcPr>
                <w:p w14:paraId="32308DFD" w14:textId="77777777" w:rsidR="002F36A6" w:rsidRDefault="00000000">
                  <w:pPr>
                    <w:jc w:val="center"/>
                    <w:rPr>
                      <w:b/>
                      <w:bCs/>
                      <w:i/>
                      <w:iCs/>
                      <w:color w:val="000000"/>
                      <w:sz w:val="22"/>
                      <w:szCs w:val="22"/>
                    </w:rPr>
                  </w:pPr>
                  <w:r>
                    <w:rPr>
                      <w:b/>
                      <w:bCs/>
                      <w:i/>
                      <w:iCs/>
                      <w:color w:val="000000"/>
                      <w:sz w:val="22"/>
                      <w:szCs w:val="22"/>
                    </w:rPr>
                    <w:t>Nr. CAS</w:t>
                  </w:r>
                </w:p>
              </w:tc>
              <w:tc>
                <w:tcPr>
                  <w:tcW w:w="993" w:type="dxa"/>
                  <w:tcBorders>
                    <w:top w:val="single" w:sz="6" w:space="0" w:color="000000"/>
                    <w:left w:val="single" w:sz="6" w:space="0" w:color="000000"/>
                    <w:bottom w:val="single" w:sz="6" w:space="0" w:color="000000"/>
                    <w:right w:val="single" w:sz="6" w:space="0" w:color="000000"/>
                  </w:tcBorders>
                </w:tcPr>
                <w:p w14:paraId="0BC3FCFB" w14:textId="77777777" w:rsidR="002F36A6" w:rsidRDefault="00000000">
                  <w:pPr>
                    <w:jc w:val="center"/>
                    <w:rPr>
                      <w:b/>
                      <w:bCs/>
                      <w:i/>
                      <w:iCs/>
                      <w:color w:val="000000"/>
                      <w:sz w:val="22"/>
                      <w:szCs w:val="22"/>
                    </w:rPr>
                  </w:pPr>
                  <w:r>
                    <w:rPr>
                      <w:b/>
                      <w:bCs/>
                      <w:i/>
                      <w:iCs/>
                      <w:color w:val="000000"/>
                      <w:sz w:val="22"/>
                      <w:szCs w:val="22"/>
                    </w:rPr>
                    <w:t>Denumirea substanței</w:t>
                  </w:r>
                </w:p>
              </w:tc>
              <w:tc>
                <w:tcPr>
                  <w:tcW w:w="808" w:type="dxa"/>
                  <w:tcBorders>
                    <w:top w:val="single" w:sz="6" w:space="0" w:color="000000"/>
                    <w:left w:val="single" w:sz="6" w:space="0" w:color="000000"/>
                    <w:bottom w:val="single" w:sz="6" w:space="0" w:color="000000"/>
                    <w:right w:val="single" w:sz="6" w:space="0" w:color="000000"/>
                  </w:tcBorders>
                </w:tcPr>
                <w:p w14:paraId="78CCCE88" w14:textId="77777777" w:rsidR="002F36A6" w:rsidRDefault="00000000">
                  <w:pPr>
                    <w:jc w:val="center"/>
                    <w:rPr>
                      <w:b/>
                      <w:bCs/>
                      <w:i/>
                      <w:iCs/>
                      <w:color w:val="000000"/>
                      <w:sz w:val="22"/>
                      <w:szCs w:val="22"/>
                    </w:rPr>
                  </w:pPr>
                  <w:r>
                    <w:rPr>
                      <w:b/>
                      <w:bCs/>
                      <w:i/>
                      <w:iCs/>
                      <w:color w:val="000000"/>
                      <w:sz w:val="22"/>
                      <w:szCs w:val="22"/>
                    </w:rPr>
                    <w:t>Tipul materialului</w:t>
                  </w:r>
                </w:p>
              </w:tc>
              <w:tc>
                <w:tcPr>
                  <w:tcW w:w="896" w:type="dxa"/>
                  <w:tcBorders>
                    <w:top w:val="single" w:sz="6" w:space="0" w:color="000000"/>
                    <w:left w:val="single" w:sz="6" w:space="0" w:color="000000"/>
                    <w:bottom w:val="single" w:sz="6" w:space="0" w:color="000000"/>
                    <w:right w:val="single" w:sz="6" w:space="0" w:color="000000"/>
                  </w:tcBorders>
                </w:tcPr>
                <w:p w14:paraId="641C3971" w14:textId="77777777" w:rsidR="002F36A6" w:rsidRDefault="00000000">
                  <w:pPr>
                    <w:jc w:val="center"/>
                    <w:rPr>
                      <w:b/>
                      <w:bCs/>
                      <w:i/>
                      <w:iCs/>
                      <w:color w:val="000000"/>
                      <w:sz w:val="22"/>
                      <w:szCs w:val="22"/>
                    </w:rPr>
                  </w:pPr>
                  <w:r>
                    <w:rPr>
                      <w:b/>
                      <w:bCs/>
                      <w:i/>
                      <w:iCs/>
                      <w:color w:val="000000"/>
                      <w:sz w:val="22"/>
                      <w:szCs w:val="22"/>
                    </w:rPr>
                    <w:t>Aplicare specifică</w:t>
                  </w:r>
                </w:p>
              </w:tc>
              <w:tc>
                <w:tcPr>
                  <w:tcW w:w="1008" w:type="dxa"/>
                  <w:tcBorders>
                    <w:top w:val="single" w:sz="6" w:space="0" w:color="000000"/>
                    <w:left w:val="single" w:sz="6" w:space="0" w:color="000000"/>
                    <w:bottom w:val="single" w:sz="6" w:space="0" w:color="000000"/>
                    <w:right w:val="single" w:sz="6" w:space="0" w:color="000000"/>
                  </w:tcBorders>
                </w:tcPr>
                <w:p w14:paraId="29D49A37" w14:textId="77777777" w:rsidR="002F36A6" w:rsidRDefault="00000000">
                  <w:pPr>
                    <w:jc w:val="center"/>
                    <w:rPr>
                      <w:b/>
                      <w:bCs/>
                      <w:i/>
                      <w:iCs/>
                      <w:color w:val="000000"/>
                      <w:sz w:val="22"/>
                      <w:szCs w:val="22"/>
                    </w:rPr>
                  </w:pPr>
                  <w:r>
                    <w:rPr>
                      <w:b/>
                      <w:bCs/>
                      <w:i/>
                      <w:iCs/>
                      <w:color w:val="000000"/>
                      <w:sz w:val="22"/>
                      <w:szCs w:val="22"/>
                    </w:rPr>
                    <w:t>Alte restricții</w:t>
                  </w:r>
                </w:p>
              </w:tc>
            </w:tr>
            <w:tr w:rsidR="002F36A6" w14:paraId="5697F014" w14:textId="77777777">
              <w:tc>
                <w:tcPr>
                  <w:tcW w:w="626" w:type="dxa"/>
                  <w:vMerge w:val="restart"/>
                  <w:tcBorders>
                    <w:top w:val="single" w:sz="6" w:space="0" w:color="000000"/>
                    <w:left w:val="single" w:sz="6" w:space="0" w:color="000000"/>
                    <w:bottom w:val="single" w:sz="6" w:space="0" w:color="000000"/>
                    <w:right w:val="single" w:sz="6" w:space="0" w:color="000000"/>
                  </w:tcBorders>
                </w:tcPr>
                <w:p w14:paraId="43B1138F" w14:textId="77777777" w:rsidR="002F36A6" w:rsidRDefault="00000000">
                  <w:pPr>
                    <w:rPr>
                      <w:i/>
                      <w:iCs/>
                      <w:color w:val="000000"/>
                      <w:sz w:val="22"/>
                      <w:szCs w:val="22"/>
                    </w:rPr>
                  </w:pPr>
                  <w:r>
                    <w:rPr>
                      <w:i/>
                      <w:iCs/>
                      <w:color w:val="000000"/>
                      <w:sz w:val="22"/>
                      <w:szCs w:val="22"/>
                    </w:rPr>
                    <w:t>151</w:t>
                  </w:r>
                </w:p>
              </w:tc>
              <w:tc>
                <w:tcPr>
                  <w:tcW w:w="314" w:type="dxa"/>
                  <w:vMerge w:val="restart"/>
                  <w:tcBorders>
                    <w:top w:val="single" w:sz="6" w:space="0" w:color="000000"/>
                    <w:left w:val="single" w:sz="6" w:space="0" w:color="000000"/>
                    <w:bottom w:val="single" w:sz="6" w:space="0" w:color="000000"/>
                    <w:right w:val="single" w:sz="6" w:space="0" w:color="000000"/>
                  </w:tcBorders>
                </w:tcPr>
                <w:p w14:paraId="7B483DB2" w14:textId="77777777" w:rsidR="002F36A6" w:rsidRDefault="00000000">
                  <w:pPr>
                    <w:rPr>
                      <w:i/>
                      <w:iCs/>
                      <w:color w:val="000000"/>
                      <w:sz w:val="22"/>
                      <w:szCs w:val="22"/>
                    </w:rPr>
                  </w:pPr>
                  <w:r>
                    <w:rPr>
                      <w:i/>
                      <w:iCs/>
                      <w:color w:val="000000"/>
                      <w:sz w:val="22"/>
                      <w:szCs w:val="22"/>
                    </w:rPr>
                    <w:t>80-05-7</w:t>
                  </w:r>
                </w:p>
              </w:tc>
              <w:tc>
                <w:tcPr>
                  <w:tcW w:w="993" w:type="dxa"/>
                  <w:vMerge w:val="restart"/>
                  <w:tcBorders>
                    <w:top w:val="single" w:sz="6" w:space="0" w:color="000000"/>
                    <w:left w:val="single" w:sz="6" w:space="0" w:color="000000"/>
                    <w:bottom w:val="single" w:sz="6" w:space="0" w:color="000000"/>
                    <w:right w:val="single" w:sz="6" w:space="0" w:color="000000"/>
                  </w:tcBorders>
                </w:tcPr>
                <w:p w14:paraId="1D73D352" w14:textId="77777777" w:rsidR="002F36A6" w:rsidRDefault="00000000">
                  <w:pPr>
                    <w:rPr>
                      <w:i/>
                      <w:iCs/>
                      <w:color w:val="000000"/>
                      <w:sz w:val="22"/>
                      <w:szCs w:val="22"/>
                    </w:rPr>
                  </w:pPr>
                  <w:r>
                    <w:rPr>
                      <w:i/>
                      <w:iCs/>
                      <w:color w:val="000000"/>
                      <w:sz w:val="22"/>
                      <w:szCs w:val="22"/>
                    </w:rPr>
                    <w:t>4,4’-izopropilidendifenol (bisfenol A)</w:t>
                  </w:r>
                </w:p>
              </w:tc>
              <w:tc>
                <w:tcPr>
                  <w:tcW w:w="808" w:type="dxa"/>
                  <w:tcBorders>
                    <w:top w:val="single" w:sz="6" w:space="0" w:color="000000"/>
                    <w:left w:val="single" w:sz="6" w:space="0" w:color="000000"/>
                    <w:bottom w:val="single" w:sz="6" w:space="0" w:color="000000"/>
                    <w:right w:val="single" w:sz="6" w:space="0" w:color="000000"/>
                  </w:tcBorders>
                </w:tcPr>
                <w:p w14:paraId="7F7EBBCA" w14:textId="77777777" w:rsidR="002F36A6" w:rsidRDefault="00000000">
                  <w:pPr>
                    <w:rPr>
                      <w:i/>
                      <w:iCs/>
                      <w:color w:val="000000"/>
                      <w:sz w:val="22"/>
                      <w:szCs w:val="22"/>
                    </w:rPr>
                  </w:pPr>
                  <w:r>
                    <w:rPr>
                      <w:i/>
                      <w:iCs/>
                      <w:color w:val="000000"/>
                      <w:sz w:val="22"/>
                      <w:szCs w:val="22"/>
                    </w:rPr>
                    <w:t>Materiale pentru învelișul interior al recipientelor</w:t>
                  </w:r>
                </w:p>
              </w:tc>
              <w:tc>
                <w:tcPr>
                  <w:tcW w:w="896" w:type="dxa"/>
                  <w:tcBorders>
                    <w:top w:val="single" w:sz="6" w:space="0" w:color="000000"/>
                    <w:left w:val="single" w:sz="6" w:space="0" w:color="000000"/>
                    <w:bottom w:val="single" w:sz="6" w:space="0" w:color="000000"/>
                    <w:right w:val="single" w:sz="6" w:space="0" w:color="000000"/>
                  </w:tcBorders>
                </w:tcPr>
                <w:p w14:paraId="3BF72DC4" w14:textId="77777777" w:rsidR="002F36A6" w:rsidRDefault="00000000">
                  <w:pPr>
                    <w:rPr>
                      <w:i/>
                      <w:iCs/>
                      <w:color w:val="000000"/>
                      <w:sz w:val="22"/>
                      <w:szCs w:val="22"/>
                    </w:rPr>
                  </w:pPr>
                  <w:r>
                    <w:rPr>
                      <w:i/>
                      <w:iCs/>
                      <w:color w:val="000000"/>
                      <w:sz w:val="22"/>
                      <w:szCs w:val="22"/>
                    </w:rPr>
                    <w:t xml:space="preserve">Pentru utilizare ca monomer sau materie primă la fabricarea rășinilor epoxidice lichide, se aplică pe materiale sau articole care pot constitui un suport, care vin în contact cu </w:t>
                  </w:r>
                  <w:r>
                    <w:rPr>
                      <w:sz w:val="22"/>
                      <w:szCs w:val="22"/>
                    </w:rPr>
                    <w:t xml:space="preserve">produsele alimentare </w:t>
                  </w:r>
                  <w:r>
                    <w:rPr>
                      <w:i/>
                      <w:iCs/>
                      <w:color w:val="000000"/>
                      <w:sz w:val="22"/>
                      <w:szCs w:val="22"/>
                    </w:rPr>
                    <w:t xml:space="preserve">e, cu o capacitate mai mare de </w:t>
                  </w:r>
                  <w:r>
                    <w:rPr>
                      <w:i/>
                      <w:iCs/>
                      <w:color w:val="000000"/>
                      <w:sz w:val="22"/>
                      <w:szCs w:val="22"/>
                    </w:rPr>
                    <w:lastRenderedPageBreak/>
                    <w:t>1 000 de litri</w:t>
                  </w:r>
                </w:p>
              </w:tc>
              <w:tc>
                <w:tcPr>
                  <w:tcW w:w="1008" w:type="dxa"/>
                  <w:tcBorders>
                    <w:top w:val="single" w:sz="6" w:space="0" w:color="000000"/>
                    <w:left w:val="single" w:sz="6" w:space="0" w:color="000000"/>
                    <w:bottom w:val="single" w:sz="6" w:space="0" w:color="000000"/>
                    <w:right w:val="single" w:sz="6" w:space="0" w:color="000000"/>
                  </w:tcBorders>
                </w:tcPr>
                <w:p w14:paraId="14A39BF0" w14:textId="77777777" w:rsidR="002F36A6" w:rsidRDefault="00000000">
                  <w:pPr>
                    <w:rPr>
                      <w:i/>
                      <w:iCs/>
                      <w:color w:val="000000"/>
                      <w:sz w:val="22"/>
                      <w:szCs w:val="22"/>
                    </w:rPr>
                  </w:pPr>
                  <w:r>
                    <w:rPr>
                      <w:i/>
                      <w:iCs/>
                      <w:color w:val="000000"/>
                      <w:sz w:val="22"/>
                      <w:szCs w:val="22"/>
                    </w:rPr>
                    <w:lastRenderedPageBreak/>
                    <w:t xml:space="preserve">Migrarea în </w:t>
                  </w:r>
                  <w:r>
                    <w:rPr>
                      <w:sz w:val="22"/>
                      <w:szCs w:val="22"/>
                    </w:rPr>
                    <w:t>produsele alimentare</w:t>
                  </w:r>
                  <w:r>
                    <w:rPr>
                      <w:i/>
                      <w:iCs/>
                      <w:color w:val="000000"/>
                      <w:sz w:val="22"/>
                      <w:szCs w:val="22"/>
                    </w:rPr>
                    <w:t xml:space="preserve"> nu trebuie să fie detectabilă.</w:t>
                  </w:r>
                </w:p>
                <w:p w14:paraId="63A1F098" w14:textId="77777777" w:rsidR="002F36A6" w:rsidRDefault="00000000">
                  <w:pPr>
                    <w:rPr>
                      <w:i/>
                      <w:iCs/>
                      <w:color w:val="000000"/>
                      <w:sz w:val="22"/>
                      <w:szCs w:val="22"/>
                    </w:rPr>
                  </w:pPr>
                  <w:r>
                    <w:rPr>
                      <w:i/>
                      <w:iCs/>
                      <w:color w:val="000000"/>
                      <w:sz w:val="22"/>
                      <w:szCs w:val="22"/>
                    </w:rPr>
                    <w:t xml:space="preserve">Articolele finite destinate să vină în contact cu </w:t>
                  </w:r>
                  <w:r>
                    <w:rPr>
                      <w:color w:val="000000"/>
                      <w:sz w:val="22"/>
                      <w:szCs w:val="22"/>
                    </w:rPr>
                    <w:t>produsele alimentare</w:t>
                  </w:r>
                  <w:r>
                    <w:rPr>
                      <w:i/>
                      <w:iCs/>
                      <w:color w:val="000000"/>
                      <w:sz w:val="22"/>
                      <w:szCs w:val="22"/>
                    </w:rPr>
                    <w:t xml:space="preserve"> se curăță și se clătesc înainte de a veni în contact cu </w:t>
                  </w:r>
                  <w:r>
                    <w:rPr>
                      <w:color w:val="000000"/>
                      <w:sz w:val="22"/>
                      <w:szCs w:val="22"/>
                    </w:rPr>
                    <w:t>produsele alimentare</w:t>
                  </w:r>
                </w:p>
              </w:tc>
            </w:tr>
            <w:tr w:rsidR="002F36A6" w14:paraId="64A8EE5D" w14:textId="77777777">
              <w:tc>
                <w:tcPr>
                  <w:tcW w:w="626" w:type="dxa"/>
                  <w:vMerge/>
                  <w:tcBorders>
                    <w:top w:val="single" w:sz="6" w:space="0" w:color="000000"/>
                    <w:left w:val="single" w:sz="6" w:space="0" w:color="000000"/>
                    <w:bottom w:val="single" w:sz="6" w:space="0" w:color="000000"/>
                    <w:right w:val="single" w:sz="6" w:space="0" w:color="000000"/>
                  </w:tcBorders>
                </w:tcPr>
                <w:p w14:paraId="1DE20895" w14:textId="77777777" w:rsidR="002F36A6" w:rsidRDefault="002F36A6">
                  <w:pPr>
                    <w:widowControl w:val="0"/>
                    <w:pBdr>
                      <w:top w:val="nil"/>
                      <w:left w:val="nil"/>
                      <w:bottom w:val="nil"/>
                      <w:right w:val="nil"/>
                      <w:between w:val="nil"/>
                    </w:pBdr>
                    <w:spacing w:line="276" w:lineRule="auto"/>
                    <w:rPr>
                      <w:i/>
                      <w:iCs/>
                      <w:color w:val="000000"/>
                      <w:sz w:val="22"/>
                      <w:szCs w:val="22"/>
                    </w:rPr>
                  </w:pPr>
                </w:p>
              </w:tc>
              <w:tc>
                <w:tcPr>
                  <w:tcW w:w="314" w:type="dxa"/>
                  <w:vMerge/>
                  <w:tcBorders>
                    <w:top w:val="single" w:sz="6" w:space="0" w:color="000000"/>
                    <w:left w:val="single" w:sz="6" w:space="0" w:color="000000"/>
                    <w:bottom w:val="single" w:sz="6" w:space="0" w:color="000000"/>
                    <w:right w:val="single" w:sz="6" w:space="0" w:color="000000"/>
                  </w:tcBorders>
                </w:tcPr>
                <w:p w14:paraId="03700364" w14:textId="77777777" w:rsidR="002F36A6" w:rsidRDefault="002F36A6">
                  <w:pPr>
                    <w:widowControl w:val="0"/>
                    <w:pBdr>
                      <w:top w:val="nil"/>
                      <w:left w:val="nil"/>
                      <w:bottom w:val="nil"/>
                      <w:right w:val="nil"/>
                      <w:between w:val="nil"/>
                    </w:pBdr>
                    <w:spacing w:line="276" w:lineRule="auto"/>
                    <w:rPr>
                      <w:i/>
                      <w:iCs/>
                      <w:color w:val="000000"/>
                      <w:sz w:val="22"/>
                      <w:szCs w:val="22"/>
                    </w:rPr>
                  </w:pPr>
                </w:p>
              </w:tc>
              <w:tc>
                <w:tcPr>
                  <w:tcW w:w="993" w:type="dxa"/>
                  <w:vMerge/>
                  <w:tcBorders>
                    <w:top w:val="single" w:sz="6" w:space="0" w:color="000000"/>
                    <w:left w:val="single" w:sz="6" w:space="0" w:color="000000"/>
                    <w:bottom w:val="single" w:sz="6" w:space="0" w:color="000000"/>
                    <w:right w:val="single" w:sz="6" w:space="0" w:color="000000"/>
                  </w:tcBorders>
                </w:tcPr>
                <w:p w14:paraId="7B3EBCD6" w14:textId="77777777" w:rsidR="002F36A6" w:rsidRDefault="002F36A6">
                  <w:pPr>
                    <w:widowControl w:val="0"/>
                    <w:pBdr>
                      <w:top w:val="nil"/>
                      <w:left w:val="nil"/>
                      <w:bottom w:val="nil"/>
                      <w:right w:val="nil"/>
                      <w:between w:val="nil"/>
                    </w:pBdr>
                    <w:spacing w:line="276" w:lineRule="auto"/>
                    <w:rPr>
                      <w:i/>
                      <w:iCs/>
                      <w:color w:val="000000"/>
                      <w:sz w:val="22"/>
                      <w:szCs w:val="22"/>
                    </w:rPr>
                  </w:pPr>
                </w:p>
              </w:tc>
              <w:tc>
                <w:tcPr>
                  <w:tcW w:w="808" w:type="dxa"/>
                  <w:tcBorders>
                    <w:top w:val="single" w:sz="6" w:space="0" w:color="000000"/>
                    <w:left w:val="single" w:sz="6" w:space="0" w:color="000000"/>
                    <w:bottom w:val="single" w:sz="6" w:space="0" w:color="000000"/>
                    <w:right w:val="single" w:sz="6" w:space="0" w:color="000000"/>
                  </w:tcBorders>
                </w:tcPr>
                <w:p w14:paraId="30DF4FB6" w14:textId="77777777" w:rsidR="002F36A6" w:rsidRDefault="00000000">
                  <w:pPr>
                    <w:ind w:firstLine="49"/>
                    <w:rPr>
                      <w:i/>
                      <w:iCs/>
                      <w:color w:val="000000"/>
                      <w:sz w:val="22"/>
                      <w:szCs w:val="22"/>
                    </w:rPr>
                  </w:pPr>
                  <w:r>
                    <w:rPr>
                      <w:i/>
                      <w:iCs/>
                      <w:color w:val="000000"/>
                      <w:sz w:val="22"/>
                      <w:szCs w:val="22"/>
                    </w:rPr>
                    <w:t>Materiale plastice</w:t>
                  </w:r>
                </w:p>
              </w:tc>
              <w:tc>
                <w:tcPr>
                  <w:tcW w:w="896" w:type="dxa"/>
                  <w:tcBorders>
                    <w:top w:val="single" w:sz="6" w:space="0" w:color="000000"/>
                    <w:left w:val="single" w:sz="6" w:space="0" w:color="000000"/>
                    <w:bottom w:val="single" w:sz="6" w:space="0" w:color="000000"/>
                    <w:right w:val="single" w:sz="6" w:space="0" w:color="000000"/>
                  </w:tcBorders>
                </w:tcPr>
                <w:p w14:paraId="0201B73D" w14:textId="77777777" w:rsidR="002F36A6" w:rsidRDefault="00000000">
                  <w:pPr>
                    <w:ind w:firstLine="49"/>
                    <w:rPr>
                      <w:i/>
                      <w:iCs/>
                      <w:color w:val="000000"/>
                      <w:sz w:val="22"/>
                      <w:szCs w:val="22"/>
                    </w:rPr>
                  </w:pPr>
                  <w:r>
                    <w:rPr>
                      <w:i/>
                      <w:iCs/>
                      <w:color w:val="000000"/>
                      <w:sz w:val="22"/>
                      <w:szCs w:val="22"/>
                    </w:rPr>
                    <w:t>Pentru utilizare ca monomer sau ca materie primă la fabricarea ansamblurilor de membrane de filtrare din polisulfonă</w:t>
                  </w:r>
                </w:p>
              </w:tc>
              <w:tc>
                <w:tcPr>
                  <w:tcW w:w="1008" w:type="dxa"/>
                  <w:tcBorders>
                    <w:top w:val="single" w:sz="6" w:space="0" w:color="000000"/>
                    <w:left w:val="single" w:sz="6" w:space="0" w:color="000000"/>
                    <w:bottom w:val="single" w:sz="6" w:space="0" w:color="000000"/>
                    <w:right w:val="single" w:sz="6" w:space="0" w:color="000000"/>
                  </w:tcBorders>
                </w:tcPr>
                <w:p w14:paraId="16DF4287" w14:textId="77777777" w:rsidR="002F36A6" w:rsidRDefault="00000000">
                  <w:pPr>
                    <w:ind w:firstLine="49"/>
                    <w:rPr>
                      <w:i/>
                      <w:iCs/>
                      <w:color w:val="000000"/>
                      <w:sz w:val="22"/>
                      <w:szCs w:val="22"/>
                    </w:rPr>
                  </w:pPr>
                  <w:r>
                    <w:rPr>
                      <w:i/>
                      <w:iCs/>
                      <w:color w:val="000000"/>
                      <w:sz w:val="22"/>
                      <w:szCs w:val="22"/>
                    </w:rPr>
                    <w:t xml:space="preserve">Migrarea în </w:t>
                  </w:r>
                  <w:r>
                    <w:rPr>
                      <w:color w:val="000000"/>
                      <w:sz w:val="22"/>
                      <w:szCs w:val="22"/>
                    </w:rPr>
                    <w:t>produsele alimentare</w:t>
                  </w:r>
                  <w:r>
                    <w:rPr>
                      <w:i/>
                      <w:iCs/>
                      <w:color w:val="000000"/>
                      <w:sz w:val="22"/>
                      <w:szCs w:val="22"/>
                    </w:rPr>
                    <w:t xml:space="preserve"> nu trebuie să fie detectabilă.</w:t>
                  </w:r>
                </w:p>
                <w:p w14:paraId="0E0804B3" w14:textId="77777777" w:rsidR="002F36A6" w:rsidRDefault="00000000">
                  <w:pPr>
                    <w:ind w:firstLine="49"/>
                    <w:rPr>
                      <w:i/>
                      <w:iCs/>
                      <w:color w:val="000000"/>
                      <w:sz w:val="22"/>
                      <w:szCs w:val="22"/>
                    </w:rPr>
                  </w:pPr>
                  <w:r>
                    <w:rPr>
                      <w:i/>
                      <w:iCs/>
                      <w:color w:val="000000"/>
                      <w:sz w:val="22"/>
                      <w:szCs w:val="22"/>
                    </w:rPr>
                    <w:t xml:space="preserve">Articolele finite destinate să vină în contact cu </w:t>
                  </w:r>
                  <w:r>
                    <w:rPr>
                      <w:color w:val="000000"/>
                      <w:sz w:val="22"/>
                      <w:szCs w:val="22"/>
                    </w:rPr>
                    <w:t>produsele alimentare</w:t>
                  </w:r>
                  <w:r>
                    <w:rPr>
                      <w:i/>
                      <w:iCs/>
                      <w:color w:val="000000"/>
                      <w:sz w:val="22"/>
                      <w:szCs w:val="22"/>
                    </w:rPr>
                    <w:t xml:space="preserve"> se curăță și se clătesc înainte de a veni în contact cu </w:t>
                  </w:r>
                  <w:r>
                    <w:rPr>
                      <w:color w:val="000000"/>
                      <w:sz w:val="22"/>
                      <w:szCs w:val="22"/>
                    </w:rPr>
                    <w:t>produsele alimentare</w:t>
                  </w:r>
                </w:p>
              </w:tc>
            </w:tr>
          </w:tbl>
          <w:p w14:paraId="3FCD4D7C" w14:textId="77777777" w:rsidR="002F36A6" w:rsidRDefault="002F36A6">
            <w:pPr>
              <w:widowControl w:val="0"/>
              <w:pBdr>
                <w:top w:val="nil"/>
                <w:left w:val="nil"/>
                <w:bottom w:val="nil"/>
                <w:right w:val="nil"/>
                <w:between w:val="nil"/>
              </w:pBdr>
              <w:tabs>
                <w:tab w:val="left" w:pos="426"/>
              </w:tabs>
              <w:ind w:right="30"/>
              <w:jc w:val="both"/>
              <w:rPr>
                <w:rFonts w:ascii="Times New Roman" w:eastAsia="Times New Roman" w:hAnsi="Times New Roman" w:cs="Times New Roman"/>
                <w:color w:val="000000"/>
                <w:sz w:val="22"/>
                <w:szCs w:val="22"/>
              </w:rPr>
            </w:pPr>
          </w:p>
        </w:tc>
        <w:tc>
          <w:tcPr>
            <w:tcW w:w="1559" w:type="dxa"/>
          </w:tcPr>
          <w:p w14:paraId="422276DF"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lastRenderedPageBreak/>
              <w:t>C</w:t>
            </w:r>
            <w:r>
              <w:rPr>
                <w:rFonts w:ascii="Times New Roman" w:eastAsia="Times New Roman" w:hAnsi="Times New Roman" w:cs="Times New Roman"/>
                <w:b/>
                <w:bCs/>
                <w:color w:val="000000"/>
                <w:sz w:val="22"/>
                <w:szCs w:val="22"/>
              </w:rPr>
              <w:t>ompatibil</w:t>
            </w:r>
          </w:p>
        </w:tc>
        <w:tc>
          <w:tcPr>
            <w:tcW w:w="2589" w:type="dxa"/>
          </w:tcPr>
          <w:p w14:paraId="3F372746" w14:textId="77777777" w:rsidR="002F36A6" w:rsidRDefault="002F36A6">
            <w:pPr>
              <w:jc w:val="both"/>
              <w:rPr>
                <w:rFonts w:ascii="Times New Roman" w:eastAsia="Times New Roman" w:hAnsi="Times New Roman" w:cs="Times New Roman"/>
                <w:b/>
                <w:bCs/>
                <w:color w:val="000000"/>
                <w:sz w:val="22"/>
                <w:szCs w:val="22"/>
              </w:rPr>
            </w:pPr>
          </w:p>
        </w:tc>
      </w:tr>
      <w:tr w:rsidR="002F36A6" w14:paraId="525D15B5" w14:textId="77777777">
        <w:tc>
          <w:tcPr>
            <w:tcW w:w="6957" w:type="dxa"/>
          </w:tcPr>
          <w:p w14:paraId="59BA4396" w14:textId="77777777" w:rsidR="002F36A6" w:rsidRDefault="002F36A6">
            <w:pPr>
              <w:ind w:firstLine="708"/>
              <w:rPr>
                <w:rFonts w:ascii="Times New Roman" w:eastAsia="Times New Roman" w:hAnsi="Times New Roman" w:cs="Times New Roman"/>
                <w:i/>
                <w:iCs/>
                <w:color w:val="000000"/>
                <w:sz w:val="22"/>
                <w:szCs w:val="22"/>
              </w:rPr>
            </w:pPr>
          </w:p>
          <w:p w14:paraId="59BFB5D2" w14:textId="77777777" w:rsidR="002F36A6" w:rsidRDefault="00000000">
            <w:pPr>
              <w:ind w:firstLine="708"/>
              <w:rPr>
                <w:rFonts w:ascii="Times New Roman" w:eastAsia="Times New Roman" w:hAnsi="Times New Roman" w:cs="Times New Roman"/>
                <w:b/>
                <w:bCs/>
                <w:i/>
                <w:iCs/>
                <w:color w:val="000000"/>
                <w:sz w:val="22"/>
                <w:szCs w:val="22"/>
              </w:rPr>
            </w:pPr>
            <w:r>
              <w:rPr>
                <w:rFonts w:ascii="Times New Roman" w:eastAsia="Times New Roman" w:hAnsi="Times New Roman" w:cs="Times New Roman"/>
                <w:b/>
                <w:bCs/>
                <w:i/>
                <w:iCs/>
                <w:color w:val="000000"/>
                <w:sz w:val="22"/>
                <w:szCs w:val="22"/>
              </w:rPr>
              <w:t>ANEXA III</w:t>
            </w:r>
          </w:p>
          <w:p w14:paraId="2AAF1B72" w14:textId="77777777" w:rsidR="002F36A6" w:rsidRDefault="002F36A6">
            <w:pPr>
              <w:rPr>
                <w:rFonts w:ascii="Times New Roman" w:eastAsia="Times New Roman" w:hAnsi="Times New Roman" w:cs="Times New Roman"/>
                <w:i/>
                <w:iCs/>
                <w:color w:val="000000"/>
                <w:sz w:val="22"/>
                <w:szCs w:val="22"/>
              </w:rPr>
            </w:pPr>
          </w:p>
          <w:p w14:paraId="1ABCBC4F" w14:textId="77777777" w:rsidR="002F36A6" w:rsidRDefault="00000000">
            <w:pPr>
              <w:ind w:firstLine="708"/>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Declarația de conformitate menționată la articolul 8 conține următoarele informații:</w:t>
            </w:r>
          </w:p>
          <w:tbl>
            <w:tblPr>
              <w:tblStyle w:val="af4"/>
              <w:tblW w:w="6741" w:type="dxa"/>
              <w:tblInd w:w="0" w:type="dxa"/>
              <w:tblLayout w:type="fixed"/>
              <w:tblLook w:val="0400" w:firstRow="0" w:lastRow="0" w:firstColumn="0" w:lastColumn="0" w:noHBand="0" w:noVBand="1"/>
            </w:tblPr>
            <w:tblGrid>
              <w:gridCol w:w="137"/>
              <w:gridCol w:w="6604"/>
            </w:tblGrid>
            <w:tr w:rsidR="002F36A6" w14:paraId="56529599" w14:textId="77777777">
              <w:tc>
                <w:tcPr>
                  <w:tcW w:w="137" w:type="dxa"/>
                </w:tcPr>
                <w:p w14:paraId="5590D8A6" w14:textId="77777777" w:rsidR="002F36A6" w:rsidRDefault="00000000">
                  <w:pPr>
                    <w:ind w:firstLine="708"/>
                    <w:rPr>
                      <w:i/>
                      <w:iCs/>
                      <w:color w:val="000000"/>
                      <w:sz w:val="22"/>
                      <w:szCs w:val="22"/>
                    </w:rPr>
                  </w:pPr>
                  <w:r>
                    <w:rPr>
                      <w:i/>
                      <w:iCs/>
                      <w:color w:val="000000"/>
                      <w:sz w:val="22"/>
                      <w:szCs w:val="22"/>
                    </w:rPr>
                    <w:t>1.</w:t>
                  </w:r>
                </w:p>
              </w:tc>
              <w:tc>
                <w:tcPr>
                  <w:tcW w:w="6604" w:type="dxa"/>
                </w:tcPr>
                <w:p w14:paraId="30D429C1" w14:textId="77777777" w:rsidR="002F36A6" w:rsidRDefault="00000000">
                  <w:pPr>
                    <w:numPr>
                      <w:ilvl w:val="0"/>
                      <w:numId w:val="1"/>
                    </w:numPr>
                    <w:rPr>
                      <w:i/>
                      <w:iCs/>
                      <w:color w:val="000000"/>
                      <w:sz w:val="22"/>
                      <w:szCs w:val="22"/>
                    </w:rPr>
                  </w:pPr>
                  <w:r>
                    <w:rPr>
                      <w:i/>
                      <w:iCs/>
                      <w:color w:val="000000"/>
                      <w:sz w:val="22"/>
                      <w:szCs w:val="22"/>
                    </w:rPr>
                    <w:t>identitatea și adresa, precum și datele de contact, inclusiv un număr de telefon actual sau o adresă de e-mail actuală a operatorului economic care emite declarația de conformitate;</w:t>
                  </w:r>
                </w:p>
              </w:tc>
            </w:tr>
          </w:tbl>
          <w:p w14:paraId="3941E92C"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i/>
                <w:iCs/>
                <w:color w:val="000000"/>
                <w:sz w:val="22"/>
                <w:szCs w:val="22"/>
              </w:rPr>
            </w:pPr>
          </w:p>
          <w:tbl>
            <w:tblPr>
              <w:tblStyle w:val="af5"/>
              <w:tblW w:w="6741" w:type="dxa"/>
              <w:tblInd w:w="0" w:type="dxa"/>
              <w:tblLayout w:type="fixed"/>
              <w:tblLook w:val="0400" w:firstRow="0" w:lastRow="0" w:firstColumn="0" w:lastColumn="0" w:noHBand="0" w:noVBand="1"/>
            </w:tblPr>
            <w:tblGrid>
              <w:gridCol w:w="137"/>
              <w:gridCol w:w="6604"/>
            </w:tblGrid>
            <w:tr w:rsidR="002F36A6" w14:paraId="340A47BD" w14:textId="77777777">
              <w:trPr>
                <w:trHeight w:val="1026"/>
              </w:trPr>
              <w:tc>
                <w:tcPr>
                  <w:tcW w:w="137" w:type="dxa"/>
                </w:tcPr>
                <w:p w14:paraId="309B079D" w14:textId="77777777" w:rsidR="002F36A6" w:rsidRDefault="00000000">
                  <w:pPr>
                    <w:ind w:firstLine="708"/>
                    <w:rPr>
                      <w:i/>
                      <w:iCs/>
                      <w:color w:val="000000"/>
                      <w:sz w:val="22"/>
                      <w:szCs w:val="22"/>
                    </w:rPr>
                  </w:pPr>
                  <w:r>
                    <w:rPr>
                      <w:i/>
                      <w:iCs/>
                      <w:color w:val="000000"/>
                      <w:sz w:val="22"/>
                      <w:szCs w:val="22"/>
                    </w:rPr>
                    <w:t>2.</w:t>
                  </w:r>
                </w:p>
              </w:tc>
              <w:tc>
                <w:tcPr>
                  <w:tcW w:w="6604" w:type="dxa"/>
                </w:tcPr>
                <w:p w14:paraId="467FE894" w14:textId="77777777" w:rsidR="002F36A6" w:rsidRDefault="00000000">
                  <w:pPr>
                    <w:numPr>
                      <w:ilvl w:val="0"/>
                      <w:numId w:val="1"/>
                    </w:numPr>
                    <w:rPr>
                      <w:i/>
                      <w:iCs/>
                      <w:color w:val="000000"/>
                      <w:sz w:val="22"/>
                      <w:szCs w:val="22"/>
                    </w:rPr>
                  </w:pPr>
                  <w:r>
                    <w:rPr>
                      <w:i/>
                      <w:iCs/>
                      <w:color w:val="000000"/>
                      <w:sz w:val="22"/>
                      <w:szCs w:val="22"/>
                    </w:rPr>
                    <w:t>identitatea și adresa, precum și datele de contact, inclusiv un număr de telefon actual sau o adresă de e-mail actuală a operatorului economic care produce sau importă materialul sau articolul destinat să vină în contact cu alimentele;</w:t>
                  </w:r>
                </w:p>
              </w:tc>
            </w:tr>
          </w:tbl>
          <w:p w14:paraId="096EEC90"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i/>
                <w:iCs/>
                <w:color w:val="000000"/>
                <w:sz w:val="22"/>
                <w:szCs w:val="22"/>
              </w:rPr>
            </w:pPr>
          </w:p>
          <w:tbl>
            <w:tblPr>
              <w:tblStyle w:val="af6"/>
              <w:tblW w:w="6741" w:type="dxa"/>
              <w:tblInd w:w="0" w:type="dxa"/>
              <w:tblLayout w:type="fixed"/>
              <w:tblLook w:val="0400" w:firstRow="0" w:lastRow="0" w:firstColumn="0" w:lastColumn="0" w:noHBand="0" w:noVBand="1"/>
            </w:tblPr>
            <w:tblGrid>
              <w:gridCol w:w="137"/>
              <w:gridCol w:w="6604"/>
            </w:tblGrid>
            <w:tr w:rsidR="002F36A6" w14:paraId="53AE5392" w14:textId="77777777">
              <w:tc>
                <w:tcPr>
                  <w:tcW w:w="137" w:type="dxa"/>
                </w:tcPr>
                <w:p w14:paraId="7F760E0D" w14:textId="77777777" w:rsidR="002F36A6" w:rsidRDefault="00000000">
                  <w:pPr>
                    <w:ind w:firstLine="708"/>
                    <w:rPr>
                      <w:i/>
                      <w:iCs/>
                      <w:color w:val="000000"/>
                      <w:sz w:val="22"/>
                      <w:szCs w:val="22"/>
                    </w:rPr>
                  </w:pPr>
                  <w:r>
                    <w:rPr>
                      <w:i/>
                      <w:iCs/>
                      <w:color w:val="000000"/>
                      <w:sz w:val="22"/>
                      <w:szCs w:val="22"/>
                    </w:rPr>
                    <w:lastRenderedPageBreak/>
                    <w:t>3.</w:t>
                  </w:r>
                </w:p>
              </w:tc>
              <w:tc>
                <w:tcPr>
                  <w:tcW w:w="6604" w:type="dxa"/>
                </w:tcPr>
                <w:p w14:paraId="6F05FC56" w14:textId="77777777" w:rsidR="002F36A6" w:rsidRDefault="00000000">
                  <w:pPr>
                    <w:numPr>
                      <w:ilvl w:val="0"/>
                      <w:numId w:val="1"/>
                    </w:numPr>
                    <w:rPr>
                      <w:i/>
                      <w:iCs/>
                      <w:color w:val="000000"/>
                      <w:sz w:val="22"/>
                      <w:szCs w:val="22"/>
                    </w:rPr>
                  </w:pPr>
                  <w:r>
                    <w:rPr>
                      <w:i/>
                      <w:iCs/>
                      <w:sz w:val="22"/>
                      <w:szCs w:val="22"/>
                    </w:rPr>
                    <w:t xml:space="preserve"> </w:t>
                  </w:r>
                  <w:r>
                    <w:rPr>
                      <w:i/>
                      <w:iCs/>
                      <w:color w:val="000000"/>
                      <w:sz w:val="22"/>
                      <w:szCs w:val="22"/>
                    </w:rPr>
                    <w:t xml:space="preserve">identitatea  materialelor  intermediare destinate să vină în contact cu alimentele, </w:t>
                  </w:r>
                  <w:r>
                    <w:rPr>
                      <w:i/>
                      <w:iCs/>
                      <w:sz w:val="22"/>
                      <w:szCs w:val="22"/>
                    </w:rPr>
                    <w:t xml:space="preserve"> sau</w:t>
                  </w:r>
                  <w:r>
                    <w:rPr>
                      <w:i/>
                      <w:iCs/>
                      <w:color w:val="000000"/>
                      <w:sz w:val="22"/>
                      <w:szCs w:val="22"/>
                    </w:rPr>
                    <w:t xml:space="preserve"> articolele finite destinate să vină în contact cu alimentele;</w:t>
                  </w:r>
                </w:p>
              </w:tc>
            </w:tr>
          </w:tbl>
          <w:p w14:paraId="61C8EA45"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i/>
                <w:iCs/>
                <w:color w:val="000000"/>
                <w:sz w:val="22"/>
                <w:szCs w:val="22"/>
              </w:rPr>
            </w:pPr>
          </w:p>
          <w:tbl>
            <w:tblPr>
              <w:tblStyle w:val="af7"/>
              <w:tblW w:w="6741" w:type="dxa"/>
              <w:tblInd w:w="0" w:type="dxa"/>
              <w:tblLayout w:type="fixed"/>
              <w:tblLook w:val="0400" w:firstRow="0" w:lastRow="0" w:firstColumn="0" w:lastColumn="0" w:noHBand="0" w:noVBand="1"/>
            </w:tblPr>
            <w:tblGrid>
              <w:gridCol w:w="676"/>
              <w:gridCol w:w="6065"/>
            </w:tblGrid>
            <w:tr w:rsidR="002F36A6" w14:paraId="596783C7" w14:textId="77777777">
              <w:tc>
                <w:tcPr>
                  <w:tcW w:w="676" w:type="dxa"/>
                </w:tcPr>
                <w:p w14:paraId="73D037EC" w14:textId="77777777" w:rsidR="002F36A6" w:rsidRDefault="00000000">
                  <w:pPr>
                    <w:ind w:firstLine="708"/>
                    <w:rPr>
                      <w:i/>
                      <w:iCs/>
                      <w:color w:val="000000"/>
                      <w:sz w:val="22"/>
                      <w:szCs w:val="22"/>
                    </w:rPr>
                  </w:pPr>
                  <w:r>
                    <w:rPr>
                      <w:i/>
                      <w:iCs/>
                      <w:color w:val="000000"/>
                      <w:sz w:val="22"/>
                      <w:szCs w:val="22"/>
                    </w:rPr>
                    <w:t>4.</w:t>
                  </w:r>
                </w:p>
              </w:tc>
              <w:tc>
                <w:tcPr>
                  <w:tcW w:w="6065" w:type="dxa"/>
                </w:tcPr>
                <w:p w14:paraId="15FE574B" w14:textId="77777777" w:rsidR="002F36A6" w:rsidRDefault="00000000">
                  <w:pPr>
                    <w:numPr>
                      <w:ilvl w:val="0"/>
                      <w:numId w:val="1"/>
                    </w:numPr>
                    <w:rPr>
                      <w:i/>
                      <w:iCs/>
                      <w:color w:val="000000"/>
                      <w:sz w:val="22"/>
                      <w:szCs w:val="22"/>
                    </w:rPr>
                  </w:pPr>
                  <w:r>
                    <w:rPr>
                      <w:i/>
                      <w:iCs/>
                      <w:color w:val="000000"/>
                      <w:sz w:val="22"/>
                      <w:szCs w:val="22"/>
                    </w:rPr>
                    <w:t>data declarației;</w:t>
                  </w:r>
                </w:p>
              </w:tc>
            </w:tr>
          </w:tbl>
          <w:p w14:paraId="73375796"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i/>
                <w:iCs/>
                <w:color w:val="000000"/>
                <w:sz w:val="22"/>
                <w:szCs w:val="22"/>
              </w:rPr>
            </w:pPr>
          </w:p>
          <w:tbl>
            <w:tblPr>
              <w:tblStyle w:val="af8"/>
              <w:tblW w:w="6741" w:type="dxa"/>
              <w:tblInd w:w="0" w:type="dxa"/>
              <w:tblLayout w:type="fixed"/>
              <w:tblLook w:val="0400" w:firstRow="0" w:lastRow="0" w:firstColumn="0" w:lastColumn="0" w:noHBand="0" w:noVBand="1"/>
            </w:tblPr>
            <w:tblGrid>
              <w:gridCol w:w="137"/>
              <w:gridCol w:w="6604"/>
            </w:tblGrid>
            <w:tr w:rsidR="002F36A6" w14:paraId="341E827E" w14:textId="77777777">
              <w:tc>
                <w:tcPr>
                  <w:tcW w:w="137" w:type="dxa"/>
                </w:tcPr>
                <w:p w14:paraId="2D27FDB8" w14:textId="77777777" w:rsidR="002F36A6" w:rsidRDefault="00000000">
                  <w:pPr>
                    <w:ind w:firstLine="708"/>
                    <w:rPr>
                      <w:i/>
                      <w:iCs/>
                      <w:color w:val="000000"/>
                      <w:sz w:val="22"/>
                      <w:szCs w:val="22"/>
                    </w:rPr>
                  </w:pPr>
                  <w:r>
                    <w:rPr>
                      <w:i/>
                      <w:iCs/>
                      <w:color w:val="000000"/>
                      <w:sz w:val="22"/>
                      <w:szCs w:val="22"/>
                    </w:rPr>
                    <w:t>5.</w:t>
                  </w:r>
                </w:p>
              </w:tc>
              <w:tc>
                <w:tcPr>
                  <w:tcW w:w="6604" w:type="dxa"/>
                </w:tcPr>
                <w:p w14:paraId="723D48CB" w14:textId="77777777" w:rsidR="002F36A6" w:rsidRDefault="00000000">
                  <w:pPr>
                    <w:numPr>
                      <w:ilvl w:val="0"/>
                      <w:numId w:val="1"/>
                    </w:numPr>
                    <w:rPr>
                      <w:i/>
                      <w:iCs/>
                      <w:color w:val="000000"/>
                      <w:sz w:val="22"/>
                      <w:szCs w:val="22"/>
                    </w:rPr>
                  </w:pPr>
                  <w:r>
                    <w:rPr>
                      <w:i/>
                      <w:iCs/>
                      <w:color w:val="000000"/>
                      <w:sz w:val="22"/>
                      <w:szCs w:val="22"/>
                    </w:rPr>
                    <w:t>o listă a oricăror bisfenoli sau derivați ai bisfenolului utilizați la fabricarea materialului sau a articolului destinat să vină în contact cu alimentele;</w:t>
                  </w:r>
                </w:p>
              </w:tc>
            </w:tr>
          </w:tbl>
          <w:p w14:paraId="1180E13C" w14:textId="77777777" w:rsidR="002F36A6" w:rsidRDefault="002F36A6">
            <w:pPr>
              <w:widowControl w:val="0"/>
              <w:pBdr>
                <w:top w:val="nil"/>
                <w:left w:val="nil"/>
                <w:bottom w:val="nil"/>
                <w:right w:val="nil"/>
                <w:between w:val="nil"/>
              </w:pBdr>
              <w:spacing w:line="276" w:lineRule="auto"/>
              <w:rPr>
                <w:rFonts w:ascii="Times New Roman" w:eastAsia="Times New Roman" w:hAnsi="Times New Roman" w:cs="Times New Roman"/>
                <w:i/>
                <w:iCs/>
                <w:color w:val="000000"/>
                <w:sz w:val="22"/>
                <w:szCs w:val="22"/>
              </w:rPr>
            </w:pPr>
          </w:p>
          <w:tbl>
            <w:tblPr>
              <w:tblStyle w:val="af9"/>
              <w:tblW w:w="6741" w:type="dxa"/>
              <w:tblInd w:w="0" w:type="dxa"/>
              <w:tblLayout w:type="fixed"/>
              <w:tblLook w:val="0400" w:firstRow="0" w:lastRow="0" w:firstColumn="0" w:lastColumn="0" w:noHBand="0" w:noVBand="1"/>
            </w:tblPr>
            <w:tblGrid>
              <w:gridCol w:w="137"/>
              <w:gridCol w:w="6604"/>
            </w:tblGrid>
            <w:tr w:rsidR="002F36A6" w14:paraId="38E67884" w14:textId="77777777">
              <w:tc>
                <w:tcPr>
                  <w:tcW w:w="137" w:type="dxa"/>
                </w:tcPr>
                <w:p w14:paraId="184D7CE3" w14:textId="77777777" w:rsidR="002F36A6" w:rsidRDefault="00000000">
                  <w:pPr>
                    <w:ind w:firstLine="708"/>
                    <w:rPr>
                      <w:i/>
                      <w:iCs/>
                      <w:color w:val="000000"/>
                      <w:sz w:val="22"/>
                      <w:szCs w:val="22"/>
                    </w:rPr>
                  </w:pPr>
                  <w:r>
                    <w:rPr>
                      <w:i/>
                      <w:iCs/>
                      <w:color w:val="000000"/>
                      <w:sz w:val="22"/>
                      <w:szCs w:val="22"/>
                    </w:rPr>
                    <w:t>6.</w:t>
                  </w:r>
                </w:p>
              </w:tc>
              <w:tc>
                <w:tcPr>
                  <w:tcW w:w="6604" w:type="dxa"/>
                </w:tcPr>
                <w:p w14:paraId="6FBCCBE1" w14:textId="77777777" w:rsidR="002F36A6" w:rsidRDefault="00000000">
                  <w:pPr>
                    <w:numPr>
                      <w:ilvl w:val="0"/>
                      <w:numId w:val="1"/>
                    </w:numPr>
                    <w:rPr>
                      <w:i/>
                      <w:iCs/>
                      <w:color w:val="000000"/>
                      <w:sz w:val="22"/>
                      <w:szCs w:val="22"/>
                    </w:rPr>
                  </w:pPr>
                  <w:r>
                    <w:rPr>
                      <w:i/>
                      <w:iCs/>
                      <w:color w:val="000000"/>
                      <w:sz w:val="22"/>
                      <w:szCs w:val="22"/>
                    </w:rPr>
                    <w:t>o declarație din care să reiasă că materialul intermediar destinat să vină în contact cu alimentele sau articolul finit destinat să vină în contact cu alimentele respectă prezentul regulament și cerințele prevăzute la articolele 3, 15 și 17 din Regulamentul (CE) nr. 1935/2004.</w:t>
                  </w:r>
                </w:p>
              </w:tc>
            </w:tr>
          </w:tbl>
          <w:p w14:paraId="7CAA2A81" w14:textId="77777777" w:rsidR="002F36A6" w:rsidRDefault="002F36A6">
            <w:pPr>
              <w:ind w:firstLine="708"/>
              <w:rPr>
                <w:rFonts w:ascii="Times New Roman" w:eastAsia="Times New Roman" w:hAnsi="Times New Roman" w:cs="Times New Roman"/>
                <w:i/>
                <w:iCs/>
                <w:color w:val="000000"/>
                <w:sz w:val="22"/>
                <w:szCs w:val="22"/>
              </w:rPr>
            </w:pPr>
          </w:p>
        </w:tc>
        <w:tc>
          <w:tcPr>
            <w:tcW w:w="4877" w:type="dxa"/>
          </w:tcPr>
          <w:p w14:paraId="272D8CCD" w14:textId="77777777" w:rsidR="002F36A6" w:rsidRDefault="00000000">
            <w:pPr>
              <w:widowControl w:val="0"/>
              <w:pBdr>
                <w:top w:val="nil"/>
                <w:left w:val="nil"/>
                <w:bottom w:val="nil"/>
                <w:right w:val="nil"/>
                <w:between w:val="nil"/>
              </w:pBdr>
              <w:tabs>
                <w:tab w:val="left" w:pos="426"/>
              </w:tabs>
              <w:ind w:right="-90"/>
              <w:jc w:val="right"/>
              <w:rPr>
                <w:rFonts w:ascii="Times New Roman" w:eastAsia="Times New Roman" w:hAnsi="Times New Roman" w:cs="Times New Roman"/>
                <w:b/>
                <w:bCs/>
                <w:color w:val="000000"/>
                <w:sz w:val="22"/>
                <w:szCs w:val="22"/>
              </w:rPr>
            </w:pPr>
            <w:bookmarkStart w:id="10" w:name="_heading=h.aztrhkgq9ywd" w:colFirst="0" w:colLast="0"/>
            <w:bookmarkEnd w:id="10"/>
            <w:r>
              <w:rPr>
                <w:rFonts w:ascii="Times New Roman" w:eastAsia="Times New Roman" w:hAnsi="Times New Roman" w:cs="Times New Roman"/>
                <w:b/>
                <w:bCs/>
                <w:color w:val="000000"/>
                <w:sz w:val="22"/>
                <w:szCs w:val="22"/>
              </w:rPr>
              <w:lastRenderedPageBreak/>
              <w:t xml:space="preserve">Anexa nr.3 </w:t>
            </w:r>
          </w:p>
          <w:p w14:paraId="197F6AB8" w14:textId="77777777" w:rsidR="002F36A6" w:rsidRDefault="00000000">
            <w:pPr>
              <w:widowControl w:val="0"/>
              <w:pBdr>
                <w:top w:val="nil"/>
                <w:left w:val="nil"/>
                <w:bottom w:val="nil"/>
                <w:right w:val="nil"/>
                <w:between w:val="nil"/>
              </w:pBdr>
              <w:tabs>
                <w:tab w:val="left" w:pos="426"/>
              </w:tabs>
              <w:ind w:right="-90"/>
              <w:jc w:val="right"/>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 xml:space="preserve">la Regulamentul </w:t>
            </w:r>
            <w:r>
              <w:rPr>
                <w:rFonts w:ascii="Times New Roman" w:eastAsia="Times New Roman" w:hAnsi="Times New Roman" w:cs="Times New Roman"/>
                <w:b/>
                <w:bCs/>
                <w:sz w:val="22"/>
                <w:szCs w:val="22"/>
              </w:rPr>
              <w:t>sanitar</w:t>
            </w:r>
            <w:r>
              <w:rPr>
                <w:rFonts w:ascii="Times New Roman" w:eastAsia="Times New Roman" w:hAnsi="Times New Roman" w:cs="Times New Roman"/>
                <w:b/>
                <w:bCs/>
                <w:color w:val="000000"/>
                <w:sz w:val="22"/>
                <w:szCs w:val="22"/>
              </w:rPr>
              <w:t xml:space="preserve"> privind utilizarea bisfenolului A (BPA) și a altor bisfenoli și derivați ai bisfenolului cu clasificare armonizată pentru proprietăți periculoase specifice în anumite materiale și articole destinate să vină în contact cu produsele alimentare</w:t>
            </w:r>
          </w:p>
          <w:p w14:paraId="482DCAF1" w14:textId="77777777" w:rsidR="002F36A6" w:rsidRDefault="002F36A6">
            <w:pPr>
              <w:ind w:right="-90"/>
              <w:jc w:val="both"/>
              <w:rPr>
                <w:rFonts w:ascii="Times New Roman" w:eastAsia="Times New Roman" w:hAnsi="Times New Roman" w:cs="Times New Roman"/>
                <w:color w:val="000000"/>
                <w:sz w:val="22"/>
                <w:szCs w:val="22"/>
              </w:rPr>
            </w:pPr>
          </w:p>
          <w:p w14:paraId="1FCF5EF0" w14:textId="3688A374" w:rsidR="002F36A6" w:rsidRDefault="00000000">
            <w:pPr>
              <w:ind w:right="-9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Declarația de conformitate menționată la </w:t>
            </w:r>
            <w:r w:rsidR="00D77747">
              <w:rPr>
                <w:rFonts w:ascii="Times New Roman" w:eastAsia="Times New Roman" w:hAnsi="Times New Roman" w:cs="Times New Roman"/>
                <w:sz w:val="22"/>
                <w:szCs w:val="22"/>
              </w:rPr>
              <w:t>punctele 11-13</w:t>
            </w:r>
            <w:r>
              <w:rPr>
                <w:rFonts w:ascii="Times New Roman" w:eastAsia="Times New Roman" w:hAnsi="Times New Roman" w:cs="Times New Roman"/>
                <w:color w:val="000000"/>
                <w:sz w:val="22"/>
                <w:szCs w:val="22"/>
              </w:rPr>
              <w:t xml:space="preserve"> conține următoarele informații:</w:t>
            </w:r>
          </w:p>
          <w:p w14:paraId="7179D96D" w14:textId="77777777" w:rsidR="002F36A6" w:rsidRDefault="00000000">
            <w:pPr>
              <w:numPr>
                <w:ilvl w:val="0"/>
                <w:numId w:val="2"/>
              </w:numPr>
              <w:ind w:right="-9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identitatea și adresa, precum și datele de contact, inclusiv un număr de telefon actual sau o adresă de e-mail actuală a operatorului economic care emite declarația de conformitate;</w:t>
            </w:r>
          </w:p>
          <w:p w14:paraId="6A972C4C" w14:textId="77777777" w:rsidR="002F36A6" w:rsidRDefault="00000000">
            <w:pPr>
              <w:numPr>
                <w:ilvl w:val="0"/>
                <w:numId w:val="2"/>
              </w:numPr>
              <w:ind w:right="-9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identitatea și adresa, precum și datele de contact, inclusiv un număr de telefon actual sau o adresă de e-mail actuală a operatorului economic care produce sau importă materialul sau articolul destinat să vină în contact cu produsele alimentare;</w:t>
            </w:r>
          </w:p>
          <w:p w14:paraId="448B49A2" w14:textId="77777777" w:rsidR="002F36A6" w:rsidRDefault="00000000">
            <w:pPr>
              <w:numPr>
                <w:ilvl w:val="0"/>
                <w:numId w:val="2"/>
              </w:numPr>
              <w:ind w:right="-9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identitatea materialelor intermediare destinate să vină în contact cu produsele alimentare sau  articolele finite destinate să vină în contact cu produsele alimentare;</w:t>
            </w:r>
          </w:p>
          <w:p w14:paraId="2E94A684" w14:textId="77777777" w:rsidR="002F36A6" w:rsidRDefault="00000000">
            <w:pPr>
              <w:numPr>
                <w:ilvl w:val="0"/>
                <w:numId w:val="2"/>
              </w:numPr>
              <w:ind w:right="-9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data declarației;</w:t>
            </w:r>
          </w:p>
          <w:p w14:paraId="17C4E78E" w14:textId="77777777" w:rsidR="002F36A6" w:rsidRDefault="00000000">
            <w:pPr>
              <w:numPr>
                <w:ilvl w:val="0"/>
                <w:numId w:val="2"/>
              </w:numPr>
              <w:ind w:right="-9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 listă a oricăror bisfenoli sau derivați ai bisfenolului utilizați la fabricarea materialului sau a articolului destinat să vină în contact cu produsele alimentare;</w:t>
            </w:r>
          </w:p>
          <w:p w14:paraId="77F3DEA4" w14:textId="77777777" w:rsidR="002F36A6" w:rsidRDefault="00000000">
            <w:pPr>
              <w:numPr>
                <w:ilvl w:val="0"/>
                <w:numId w:val="2"/>
              </w:numPr>
              <w:ind w:right="-9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 declarație din care să reiasă că materialul intermediar destinat să vină în contact cu produsele alimentare sau articolul finit destinat să vină în contact cu produsele alimentare respectă prezentul regulament și cerințele prevăzute la punctele 5, 11 și 21 din Regulamentul sanitar aprobat prin Hotărârea Guvernului nr. 308/2011.</w:t>
            </w:r>
          </w:p>
        </w:tc>
        <w:tc>
          <w:tcPr>
            <w:tcW w:w="1559" w:type="dxa"/>
          </w:tcPr>
          <w:p w14:paraId="61B13249" w14:textId="77777777" w:rsidR="002F36A6" w:rsidRDefault="00000000">
            <w:pP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sz w:val="22"/>
                <w:szCs w:val="22"/>
              </w:rPr>
              <w:lastRenderedPageBreak/>
              <w:t>C</w:t>
            </w:r>
            <w:r>
              <w:rPr>
                <w:rFonts w:ascii="Times New Roman" w:eastAsia="Times New Roman" w:hAnsi="Times New Roman" w:cs="Times New Roman"/>
                <w:b/>
                <w:bCs/>
                <w:color w:val="000000"/>
                <w:sz w:val="22"/>
                <w:szCs w:val="22"/>
              </w:rPr>
              <w:t>ompatibil</w:t>
            </w:r>
          </w:p>
        </w:tc>
        <w:tc>
          <w:tcPr>
            <w:tcW w:w="2589" w:type="dxa"/>
          </w:tcPr>
          <w:p w14:paraId="65E30C55" w14:textId="77777777" w:rsidR="002F36A6" w:rsidRDefault="002F36A6">
            <w:pPr>
              <w:jc w:val="both"/>
              <w:rPr>
                <w:rFonts w:ascii="Times New Roman" w:eastAsia="Times New Roman" w:hAnsi="Times New Roman" w:cs="Times New Roman"/>
                <w:b/>
                <w:bCs/>
                <w:color w:val="000000"/>
                <w:sz w:val="22"/>
                <w:szCs w:val="22"/>
              </w:rPr>
            </w:pPr>
          </w:p>
        </w:tc>
      </w:tr>
    </w:tbl>
    <w:p w14:paraId="5816B21F" w14:textId="77777777" w:rsidR="002F36A6" w:rsidRDefault="002F36A6">
      <w:pPr>
        <w:jc w:val="both"/>
        <w:rPr>
          <w:b/>
          <w:bCs/>
          <w:color w:val="000000"/>
          <w:sz w:val="22"/>
          <w:szCs w:val="22"/>
        </w:rPr>
      </w:pPr>
    </w:p>
    <w:sectPr w:rsidR="002F36A6">
      <w:footerReference w:type="default" r:id="rId17"/>
      <w:pgSz w:w="16838" w:h="11906" w:orient="landscape"/>
      <w:pgMar w:top="720" w:right="720" w:bottom="720" w:left="720" w:header="708" w:footer="39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9F791" w14:textId="77777777" w:rsidR="00E37FDF" w:rsidRDefault="00E37FDF">
      <w:r>
        <w:separator/>
      </w:r>
    </w:p>
  </w:endnote>
  <w:endnote w:type="continuationSeparator" w:id="0">
    <w:p w14:paraId="2B1B17F0" w14:textId="77777777" w:rsidR="00E37FDF" w:rsidRDefault="00E3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F8CF331-59C9-466B-A3A4-61AD7A62BD37}"/>
    <w:embedItalic r:id="rId2" w:fontKey="{6DADC86E-F618-4823-B287-C16CDD5D932B}"/>
  </w:font>
  <w:font w:name="Georgia">
    <w:panose1 w:val="02040502050405020303"/>
    <w:charset w:val="00"/>
    <w:family w:val="roman"/>
    <w:pitch w:val="variable"/>
    <w:sig w:usb0="00000287" w:usb1="00000000" w:usb2="00000000" w:usb3="00000000" w:csb0="0000009F" w:csb1="00000000"/>
    <w:embedBold r:id="rId3" w:fontKey="{9EADF02B-CB7A-43FC-A192-7D5F9EC840EF}"/>
  </w:font>
  <w:font w:name="Cambria">
    <w:panose1 w:val="02040503050406030204"/>
    <w:charset w:val="00"/>
    <w:family w:val="roman"/>
    <w:pitch w:val="variable"/>
    <w:sig w:usb0="E00006FF" w:usb1="420024FF" w:usb2="02000000" w:usb3="00000000" w:csb0="0000019F" w:csb1="00000000"/>
    <w:embedRegular r:id="rId4" w:fontKey="{CC496A33-BF08-4B24-ABB5-61E8780A67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63E6" w14:textId="77777777" w:rsidR="002F36A6" w:rsidRDefault="0000000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66477F">
      <w:rPr>
        <w:noProof/>
        <w:color w:val="000000"/>
      </w:rPr>
      <w:t>1</w:t>
    </w:r>
    <w:r>
      <w:rPr>
        <w:color w:val="000000"/>
      </w:rPr>
      <w:fldChar w:fldCharType="end"/>
    </w:r>
  </w:p>
  <w:p w14:paraId="5AF97C9E" w14:textId="77777777" w:rsidR="002F36A6" w:rsidRDefault="002F36A6">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9E807" w14:textId="77777777" w:rsidR="00E37FDF" w:rsidRDefault="00E37FDF">
      <w:r>
        <w:separator/>
      </w:r>
    </w:p>
  </w:footnote>
  <w:footnote w:type="continuationSeparator" w:id="0">
    <w:p w14:paraId="2434B4B0" w14:textId="77777777" w:rsidR="00E37FDF" w:rsidRDefault="00E37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A3D11"/>
    <w:multiLevelType w:val="multilevel"/>
    <w:tmpl w:val="95A6A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3A6AA6"/>
    <w:multiLevelType w:val="multilevel"/>
    <w:tmpl w:val="72E88764"/>
    <w:lvl w:ilvl="0">
      <w:start w:val="1"/>
      <w:numFmt w:val="decimal"/>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683CCF"/>
    <w:multiLevelType w:val="multilevel"/>
    <w:tmpl w:val="2FC4D072"/>
    <w:lvl w:ilvl="0">
      <w:start w:val="1"/>
      <w:numFmt w:val="decimal"/>
      <w:lvlText w:val="%1."/>
      <w:lvlJc w:val="left"/>
      <w:pPr>
        <w:ind w:left="42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BF021FA"/>
    <w:multiLevelType w:val="multilevel"/>
    <w:tmpl w:val="482EA020"/>
    <w:lvl w:ilvl="0">
      <w:start w:val="1"/>
      <w:numFmt w:val="upperRoman"/>
      <w:lvlText w:val="%1."/>
      <w:lvlJc w:val="right"/>
      <w:pPr>
        <w:ind w:left="720" w:hanging="360"/>
      </w:pPr>
      <w:rPr>
        <w:strike w:val="0"/>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DBF762A"/>
    <w:multiLevelType w:val="multilevel"/>
    <w:tmpl w:val="1158C24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7B414397"/>
    <w:multiLevelType w:val="multilevel"/>
    <w:tmpl w:val="72CEC2FA"/>
    <w:lvl w:ilvl="0">
      <w:start w:val="1"/>
      <w:numFmt w:val="decimal"/>
      <w:lvlText w:val="%1."/>
      <w:lvlJc w:val="left"/>
      <w:pPr>
        <w:ind w:left="720" w:hanging="360"/>
      </w:pPr>
      <w:rPr>
        <w:b w:val="0"/>
        <w:bCs w:val="0"/>
      </w:rPr>
    </w:lvl>
    <w:lvl w:ilvl="1">
      <w:start w:val="1"/>
      <w:numFmt w:val="decimal"/>
      <w:lvlText w:val="%1.%2."/>
      <w:lvlJc w:val="left"/>
      <w:pPr>
        <w:ind w:left="1305" w:hanging="765"/>
      </w:pPr>
    </w:lvl>
    <w:lvl w:ilvl="2">
      <w:start w:val="1"/>
      <w:numFmt w:val="decimal"/>
      <w:lvlText w:val="%1.%2.%3."/>
      <w:lvlJc w:val="left"/>
      <w:pPr>
        <w:ind w:left="1125" w:hanging="765"/>
      </w:pPr>
    </w:lvl>
    <w:lvl w:ilvl="3">
      <w:start w:val="1"/>
      <w:numFmt w:val="decimal"/>
      <w:lvlText w:val="%1.%2.%3.%4."/>
      <w:lvlJc w:val="left"/>
      <w:pPr>
        <w:ind w:left="1125" w:hanging="765"/>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791284255">
    <w:abstractNumId w:val="0"/>
  </w:num>
  <w:num w:numId="2" w16cid:durableId="878519399">
    <w:abstractNumId w:val="2"/>
  </w:num>
  <w:num w:numId="3" w16cid:durableId="1660230192">
    <w:abstractNumId w:val="1"/>
  </w:num>
  <w:num w:numId="4" w16cid:durableId="451290999">
    <w:abstractNumId w:val="4"/>
  </w:num>
  <w:num w:numId="5" w16cid:durableId="881987191">
    <w:abstractNumId w:val="5"/>
  </w:num>
  <w:num w:numId="6" w16cid:durableId="139004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6A6"/>
    <w:rsid w:val="002F36A6"/>
    <w:rsid w:val="005970D8"/>
    <w:rsid w:val="0066477F"/>
    <w:rsid w:val="00964DB8"/>
    <w:rsid w:val="0098301E"/>
    <w:rsid w:val="00D77747"/>
    <w:rsid w:val="00E37FDF"/>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36C58"/>
  <w15:docId w15:val="{729CE6B5-9680-44A8-A35E-36FB28B0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MD" w:eastAsia="ro-M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sz w:val="28"/>
      <w:szCs w:val="28"/>
    </w:rPr>
  </w:style>
  <w:style w:type="paragraph" w:styleId="Heading2">
    <w:name w:val="heading 2"/>
    <w:basedOn w:val="Normal"/>
    <w:next w:val="Normal"/>
    <w:uiPriority w:val="9"/>
    <w:unhideWhenUsed/>
    <w:qFormat/>
    <w:pPr>
      <w:keepNext/>
      <w:jc w:val="both"/>
      <w:outlineLvl w:val="1"/>
    </w:pPr>
    <w:rPr>
      <w:i/>
      <w:iCs/>
      <w:sz w:val="28"/>
      <w:szCs w:val="28"/>
    </w:rPr>
  </w:style>
  <w:style w:type="paragraph" w:styleId="Heading3">
    <w:name w:val="heading 3"/>
    <w:basedOn w:val="Normal"/>
    <w:next w:val="Normal"/>
    <w:uiPriority w:val="9"/>
    <w:unhideWhenUsed/>
    <w:qFormat/>
    <w:pPr>
      <w:keepNext/>
      <w:jc w:val="center"/>
      <w:outlineLvl w:val="2"/>
    </w:pPr>
    <w:rPr>
      <w:smallCaps/>
      <w:sz w:val="28"/>
      <w:szCs w:val="28"/>
    </w:rPr>
  </w:style>
  <w:style w:type="paragraph" w:styleId="Heading4">
    <w:name w:val="heading 4"/>
    <w:basedOn w:val="Normal"/>
    <w:next w:val="Normal"/>
    <w:uiPriority w:val="9"/>
    <w:semiHidden/>
    <w:unhideWhenUsed/>
    <w:qFormat/>
    <w:pPr>
      <w:keepNext/>
      <w:ind w:firstLine="708"/>
      <w:jc w:val="center"/>
      <w:outlineLvl w:val="3"/>
    </w:pPr>
    <w:rPr>
      <w:sz w:val="28"/>
      <w:szCs w:val="28"/>
    </w:rPr>
  </w:style>
  <w:style w:type="paragraph" w:styleId="Heading5">
    <w:name w:val="heading 5"/>
    <w:basedOn w:val="Normal"/>
    <w:next w:val="Normal"/>
    <w:uiPriority w:val="9"/>
    <w:semiHidden/>
    <w:unhideWhenUsed/>
    <w:qFormat/>
    <w:pPr>
      <w:keepNext/>
      <w:jc w:val="center"/>
      <w:outlineLvl w:val="4"/>
    </w:pPr>
    <w:rPr>
      <w:sz w:val="28"/>
      <w:szCs w:val="28"/>
    </w:rPr>
  </w:style>
  <w:style w:type="paragraph" w:styleId="Heading6">
    <w:name w:val="heading 6"/>
    <w:basedOn w:val="Normal"/>
    <w:next w:val="Normal"/>
    <w:uiPriority w:val="9"/>
    <w:semiHidden/>
    <w:unhideWhenUsed/>
    <w:qFormat/>
    <w:pPr>
      <w:keepNext/>
      <w:jc w:val="center"/>
      <w:outlineLvl w:val="5"/>
    </w:pPr>
    <w:rPr>
      <w:small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spacing w:before="240" w:after="120"/>
    </w:pPr>
    <w:rPr>
      <w:rFonts w:ascii="Arial" w:eastAsia="Arial" w:hAnsi="Arial" w:cs="Arial"/>
      <w:sz w:val="28"/>
      <w:szCs w:val="28"/>
    </w:rPr>
  </w:style>
  <w:style w:type="paragraph" w:styleId="Subtitle">
    <w:name w:val="Subtitle"/>
    <w:basedOn w:val="Normal"/>
    <w:next w:val="Normal"/>
    <w:uiPriority w:val="11"/>
    <w:qFormat/>
    <w:pPr>
      <w:keepNext/>
      <w:spacing w:before="240" w:after="120"/>
      <w:jc w:val="center"/>
    </w:pPr>
    <w:rPr>
      <w:rFonts w:ascii="Arial" w:eastAsia="Arial" w:hAnsi="Arial" w:cs="Arial"/>
      <w:i/>
      <w:iCs/>
      <w:sz w:val="28"/>
      <w:szCs w:val="28"/>
    </w:rPr>
  </w:style>
  <w:style w:type="table" w:customStyle="1" w:styleId="a">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0"/>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0" w:type="dxa"/>
        <w:bottom w:w="0" w:type="dxa"/>
        <w:right w:w="0" w:type="dxa"/>
      </w:tblCellMar>
    </w:tblPr>
  </w:style>
  <w:style w:type="table" w:customStyle="1" w:styleId="a6">
    <w:basedOn w:val="TableNormal0"/>
    <w:tblPr>
      <w:tblStyleRowBandSize w:val="1"/>
      <w:tblStyleColBandSize w:val="1"/>
      <w:tblCellMar>
        <w:top w:w="0" w:type="dxa"/>
        <w:left w:w="0" w:type="dxa"/>
        <w:bottom w:w="0" w:type="dxa"/>
        <w:right w:w="0" w:type="dxa"/>
      </w:tblCellMar>
    </w:tbl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tblPr>
      <w:tblStyleRowBandSize w:val="1"/>
      <w:tblStyleColBandSize w:val="1"/>
      <w:tblCellMar>
        <w:top w:w="0" w:type="dxa"/>
        <w:left w:w="0" w:type="dxa"/>
        <w:bottom w:w="0" w:type="dxa"/>
        <w:right w:w="0" w:type="dxa"/>
      </w:tblCellMar>
    </w:tblPr>
  </w:style>
  <w:style w:type="table" w:customStyle="1" w:styleId="af">
    <w:basedOn w:val="TableNormal0"/>
    <w:tblPr>
      <w:tblStyleRowBandSize w:val="1"/>
      <w:tblStyleColBandSize w:val="1"/>
      <w:tblCellMar>
        <w:top w:w="0" w:type="dxa"/>
        <w:left w:w="0" w:type="dxa"/>
        <w:bottom w:w="0" w:type="dxa"/>
        <w:right w:w="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table" w:customStyle="1" w:styleId="af1">
    <w:basedOn w:val="TableNormal0"/>
    <w:tblPr>
      <w:tblStyleRowBandSize w:val="1"/>
      <w:tblStyleColBandSize w:val="1"/>
      <w:tblCellMar>
        <w:top w:w="0" w:type="dxa"/>
        <w:left w:w="0" w:type="dxa"/>
        <w:bottom w:w="0" w:type="dxa"/>
        <w:right w:w="0" w:type="dxa"/>
      </w:tblCellMar>
    </w:tblPr>
  </w:style>
  <w:style w:type="table" w:customStyle="1" w:styleId="af2">
    <w:basedOn w:val="TableNormal0"/>
    <w:tblPr>
      <w:tblStyleRowBandSize w:val="1"/>
      <w:tblStyleColBandSize w:val="1"/>
      <w:tblCellMar>
        <w:top w:w="0" w:type="dxa"/>
        <w:left w:w="0" w:type="dxa"/>
        <w:bottom w:w="0" w:type="dxa"/>
        <w:right w:w="0"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 w:type="table" w:customStyle="1" w:styleId="af4">
    <w:basedOn w:val="TableNormal0"/>
    <w:tblPr>
      <w:tblStyleRowBandSize w:val="1"/>
      <w:tblStyleColBandSize w:val="1"/>
      <w:tblCellMar>
        <w:top w:w="0" w:type="dxa"/>
        <w:left w:w="0" w:type="dxa"/>
        <w:bottom w:w="0" w:type="dxa"/>
        <w:right w:w="0" w:type="dxa"/>
      </w:tblCellMar>
    </w:tblPr>
  </w:style>
  <w:style w:type="table" w:customStyle="1" w:styleId="af5">
    <w:basedOn w:val="TableNormal0"/>
    <w:tblPr>
      <w:tblStyleRowBandSize w:val="1"/>
      <w:tblStyleColBandSize w:val="1"/>
      <w:tblCellMar>
        <w:top w:w="0" w:type="dxa"/>
        <w:left w:w="0" w:type="dxa"/>
        <w:bottom w:w="0" w:type="dxa"/>
        <w:right w:w="0" w:type="dxa"/>
      </w:tblCellMar>
    </w:tblPr>
  </w:style>
  <w:style w:type="table" w:customStyle="1" w:styleId="af6">
    <w:basedOn w:val="TableNormal0"/>
    <w:tblPr>
      <w:tblStyleRowBandSize w:val="1"/>
      <w:tblStyleColBandSize w:val="1"/>
      <w:tblCellMar>
        <w:top w:w="0" w:type="dxa"/>
        <w:left w:w="0" w:type="dxa"/>
        <w:bottom w:w="0" w:type="dxa"/>
        <w:right w:w="0" w:type="dxa"/>
      </w:tblCellMar>
    </w:tblPr>
  </w:style>
  <w:style w:type="table" w:customStyle="1" w:styleId="af7">
    <w:basedOn w:val="TableNormal0"/>
    <w:tblPr>
      <w:tblStyleRowBandSize w:val="1"/>
      <w:tblStyleColBandSize w:val="1"/>
      <w:tblCellMar>
        <w:top w:w="0" w:type="dxa"/>
        <w:left w:w="0" w:type="dxa"/>
        <w:bottom w:w="0" w:type="dxa"/>
        <w:right w:w="0" w:type="dxa"/>
      </w:tblCellMar>
    </w:tblPr>
  </w:style>
  <w:style w:type="table" w:customStyle="1" w:styleId="af8">
    <w:basedOn w:val="TableNormal0"/>
    <w:tblPr>
      <w:tblStyleRowBandSize w:val="1"/>
      <w:tblStyleColBandSize w:val="1"/>
      <w:tblCellMar>
        <w:top w:w="0" w:type="dxa"/>
        <w:left w:w="0" w:type="dxa"/>
        <w:bottom w:w="0" w:type="dxa"/>
        <w:right w:w="0" w:type="dxa"/>
      </w:tblCellMar>
    </w:tblPr>
  </w:style>
  <w:style w:type="table" w:customStyle="1" w:styleId="af9">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efan.constantinovici@ansp.gov.md" TargetMode="External"/><Relationship Id="rId13" Type="http://schemas.openxmlformats.org/officeDocument/2006/relationships/hyperlink" Target="https://eur-lex.europa.eu/legal-content/RO/TXT/HTML/?uri=OJ:L_2024031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319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RO/TXT/HTML/?uri=OJ:L_202403190" TargetMode="External"/><Relationship Id="rId5" Type="http://schemas.openxmlformats.org/officeDocument/2006/relationships/webSettings" Target="webSettings.xml"/><Relationship Id="rId15" Type="http://schemas.openxmlformats.org/officeDocument/2006/relationships/image" Target="media/image1.jpg"/><Relationship Id="rId10" Type="http://schemas.openxmlformats.org/officeDocument/2006/relationships/hyperlink" Target="https://eur-lex.europa.eu/legal-content/RO/TXT/HTML/?uri=OJ:L_20240319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RO/TXT/HTML/?uri=OJ:L_202403190" TargetMode="External"/><Relationship Id="rId14" Type="http://schemas.openxmlformats.org/officeDocument/2006/relationships/hyperlink" Target="https://eur-lex.europa.eu/legal-content/RO/TXT/HTML/?uri=OJ:L_20240319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yusWG5HtOTY3L7/8xDnWsnzFXQ==">CgMxLjAyDmguYnJidWpwcjJrdmVvMg5oLnhhbTJnY280OG5waDIOaC5tcGJhNGprczZwejUyDmgubW55bmxzcWkwMGVtMg5oLmYxZzUyZTJ4NHlzYTIOaC5lYnVmNXoxejY5OTAyDmgucjE0cW94a3U2cjdyMg1oLnY1NXJ4aHRkMnBiMg5oLmg1NmtxNTYxZzFxNTINaC42ZGthemJjZjhjdDIOaC5iODd1Nndya3JpNXIyDmguYXp0cmhrZ3E5eXdkOAByITFoZEpiVE5sMlg2RUZ2VFRSSFJManJRM1J6d2FJSVBn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7457</Words>
  <Characters>43255</Characters>
  <Application>Microsoft Office Word</Application>
  <DocSecurity>0</DocSecurity>
  <Lines>360</Lines>
  <Paragraphs>101</Paragraphs>
  <ScaleCrop>false</ScaleCrop>
  <Company/>
  <LinksUpToDate>false</LinksUpToDate>
  <CharactersWithSpaces>50611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Direcția Politici în Domeniul Sănătății Publice și Urgențe în Sănătate Publică</cp:lastModifiedBy>
  <cp:revision>3</cp:revision>
  <dcterms:created xsi:type="dcterms:W3CDTF">2026-04-10T07:52:00Z</dcterms:created>
  <dcterms:modified xsi:type="dcterms:W3CDTF">2026-04-10T08:00:00Z</dcterms:modified>
</cp:coreProperties>
</file>