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5B7A" w14:textId="31712BB0" w:rsidR="008B4BE6" w:rsidRPr="007D40FD" w:rsidRDefault="006933C3" w:rsidP="005A45E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D40FD">
        <w:rPr>
          <w:b/>
          <w:sz w:val="24"/>
          <w:szCs w:val="24"/>
          <w:lang w:val="ro-RO"/>
        </w:rPr>
        <w:t>SINTEZA</w:t>
      </w:r>
    </w:p>
    <w:p w14:paraId="62B3197B" w14:textId="639AC423" w:rsidR="008B4BE6" w:rsidRPr="007D40FD" w:rsidRDefault="006933C3" w:rsidP="005A45E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7D40FD">
        <w:rPr>
          <w:b/>
          <w:sz w:val="24"/>
          <w:szCs w:val="24"/>
          <w:lang w:val="ro-RO"/>
        </w:rPr>
        <w:t>la</w:t>
      </w:r>
      <w:r w:rsidR="00032B46" w:rsidRPr="007D40FD">
        <w:rPr>
          <w:b/>
          <w:sz w:val="24"/>
          <w:szCs w:val="24"/>
          <w:lang w:val="ro-RO"/>
        </w:rPr>
        <w:t xml:space="preserve"> </w:t>
      </w:r>
      <w:r w:rsidRPr="007D40FD">
        <w:rPr>
          <w:b/>
          <w:sz w:val="24"/>
          <w:szCs w:val="24"/>
          <w:lang w:val="ro-RO"/>
        </w:rPr>
        <w:t>proiectul</w:t>
      </w:r>
      <w:r w:rsidR="00813E0B" w:rsidRPr="007D40FD">
        <w:rPr>
          <w:b/>
          <w:sz w:val="24"/>
          <w:szCs w:val="24"/>
          <w:lang w:val="ro-RO"/>
        </w:rPr>
        <w:t xml:space="preserve"> hotăr</w:t>
      </w:r>
      <w:r w:rsidR="00BE37D9" w:rsidRPr="007D40FD">
        <w:rPr>
          <w:b/>
          <w:sz w:val="24"/>
          <w:szCs w:val="24"/>
          <w:lang w:val="ro-RO"/>
        </w:rPr>
        <w:t>â</w:t>
      </w:r>
      <w:r w:rsidR="00813E0B" w:rsidRPr="007D40FD">
        <w:rPr>
          <w:b/>
          <w:sz w:val="24"/>
          <w:szCs w:val="24"/>
          <w:lang w:val="ro-RO"/>
        </w:rPr>
        <w:t>rii Guvernului</w:t>
      </w:r>
    </w:p>
    <w:p w14:paraId="7B7DC114" w14:textId="06965C02" w:rsidR="008B4BE6" w:rsidRPr="007D40FD" w:rsidRDefault="0060042A" w:rsidP="00E158C9">
      <w:pPr>
        <w:pBdr>
          <w:left w:val="none" w:sz="4" w:space="0" w:color="000000"/>
          <w:bottom w:val="none" w:sz="4" w:space="0" w:color="000000"/>
          <w:right w:val="none" w:sz="4" w:space="0" w:color="000000"/>
        </w:pBdr>
        <w:tabs>
          <w:tab w:val="left" w:pos="884"/>
          <w:tab w:val="left" w:pos="1196"/>
        </w:tabs>
        <w:rPr>
          <w:sz w:val="24"/>
          <w:szCs w:val="24"/>
          <w:lang w:val="ro-RO"/>
        </w:rPr>
      </w:pPr>
      <w:r w:rsidRPr="007D40FD">
        <w:rPr>
          <w:b/>
          <w:bCs/>
          <w:i/>
          <w:sz w:val="24"/>
          <w:szCs w:val="24"/>
          <w:u w:val="single"/>
          <w:lang w:val="ro-RO"/>
        </w:rPr>
        <w:t>cu privire la aprobarea Mecanismului național de gestionare unitară și coerentă a situației în cazul unui aflux sporit de străini</w:t>
      </w:r>
    </w:p>
    <w:p w14:paraId="2265058B" w14:textId="7FDE63ED" w:rsidR="008B4BE6" w:rsidRPr="007D40FD" w:rsidRDefault="00032B46" w:rsidP="00E158C9">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7D40FD">
        <w:rPr>
          <w:b/>
          <w:sz w:val="24"/>
          <w:szCs w:val="24"/>
          <w:lang w:val="ro-RO"/>
        </w:rPr>
        <w:t xml:space="preserve"> </w:t>
      </w:r>
    </w:p>
    <w:tbl>
      <w:tblPr>
        <w:tblStyle w:val="afa"/>
        <w:tblW w:w="1545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3"/>
        <w:gridCol w:w="531"/>
        <w:gridCol w:w="9072"/>
        <w:gridCol w:w="3685"/>
      </w:tblGrid>
      <w:tr w:rsidR="006D3EB7" w:rsidRPr="007D40FD" w14:paraId="165C98F0" w14:textId="77777777" w:rsidTr="0006422A">
        <w:tc>
          <w:tcPr>
            <w:tcW w:w="2163" w:type="dxa"/>
            <w:tcMar>
              <w:top w:w="0" w:type="dxa"/>
              <w:left w:w="108" w:type="dxa"/>
              <w:bottom w:w="0" w:type="dxa"/>
              <w:right w:w="108" w:type="dxa"/>
            </w:tcMar>
            <w:vAlign w:val="center"/>
          </w:tcPr>
          <w:p w14:paraId="189260EB" w14:textId="76935528" w:rsidR="008B4BE6" w:rsidRPr="007D40FD" w:rsidRDefault="006933C3" w:rsidP="0060042A">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7D40FD">
              <w:rPr>
                <w:rFonts w:ascii="Times New Roman" w:hAnsi="Times New Roman"/>
                <w:b/>
                <w:lang w:val="ro-RO"/>
              </w:rPr>
              <w:t>Participantul</w:t>
            </w:r>
            <w:r w:rsidR="00032B46" w:rsidRPr="007D40FD">
              <w:rPr>
                <w:rFonts w:ascii="Times New Roman" w:hAnsi="Times New Roman"/>
                <w:b/>
                <w:lang w:val="ro-RO"/>
              </w:rPr>
              <w:t xml:space="preserve"> </w:t>
            </w:r>
            <w:r w:rsidRPr="007D40FD">
              <w:rPr>
                <w:rFonts w:ascii="Times New Roman" w:hAnsi="Times New Roman"/>
                <w:b/>
                <w:lang w:val="ro-RO"/>
              </w:rPr>
              <w:t>la</w:t>
            </w:r>
            <w:r w:rsidR="00032B46" w:rsidRPr="007D40FD">
              <w:rPr>
                <w:rFonts w:ascii="Times New Roman" w:hAnsi="Times New Roman"/>
                <w:b/>
                <w:lang w:val="ro-RO"/>
              </w:rPr>
              <w:t xml:space="preserve"> </w:t>
            </w:r>
            <w:r w:rsidRPr="007D40FD">
              <w:rPr>
                <w:rFonts w:ascii="Times New Roman" w:hAnsi="Times New Roman"/>
                <w:b/>
                <w:lang w:val="ro-RO"/>
              </w:rPr>
              <w:t>avizare,</w:t>
            </w:r>
            <w:r w:rsidR="00032B46" w:rsidRPr="007D40FD">
              <w:rPr>
                <w:rFonts w:ascii="Times New Roman" w:hAnsi="Times New Roman"/>
                <w:b/>
                <w:lang w:val="ro-RO"/>
              </w:rPr>
              <w:t xml:space="preserve"> </w:t>
            </w:r>
            <w:r w:rsidRPr="007D40FD">
              <w:rPr>
                <w:rFonts w:ascii="Times New Roman" w:hAnsi="Times New Roman"/>
                <w:b/>
                <w:lang w:val="ro-RO"/>
              </w:rPr>
              <w:t>consultare</w:t>
            </w:r>
            <w:r w:rsidR="00032B46" w:rsidRPr="007D40FD">
              <w:rPr>
                <w:rFonts w:ascii="Times New Roman" w:hAnsi="Times New Roman"/>
                <w:b/>
                <w:lang w:val="ro-RO"/>
              </w:rPr>
              <w:t xml:space="preserve"> </w:t>
            </w:r>
            <w:r w:rsidRPr="007D40FD">
              <w:rPr>
                <w:rFonts w:ascii="Times New Roman" w:hAnsi="Times New Roman"/>
                <w:b/>
                <w:lang w:val="ro-RO"/>
              </w:rPr>
              <w:t>publică,</w:t>
            </w:r>
            <w:r w:rsidR="00032B46" w:rsidRPr="007D40FD">
              <w:rPr>
                <w:rFonts w:ascii="Times New Roman" w:hAnsi="Times New Roman"/>
                <w:b/>
                <w:lang w:val="ro-RO"/>
              </w:rPr>
              <w:t xml:space="preserve"> </w:t>
            </w:r>
            <w:r w:rsidRPr="007D40FD">
              <w:rPr>
                <w:rFonts w:ascii="Times New Roman" w:hAnsi="Times New Roman"/>
                <w:b/>
                <w:lang w:val="ro-RO"/>
              </w:rPr>
              <w:t>expertizare</w:t>
            </w:r>
          </w:p>
        </w:tc>
        <w:tc>
          <w:tcPr>
            <w:tcW w:w="531" w:type="dxa"/>
            <w:tcMar>
              <w:top w:w="0" w:type="dxa"/>
              <w:left w:w="108" w:type="dxa"/>
              <w:bottom w:w="0" w:type="dxa"/>
              <w:right w:w="108" w:type="dxa"/>
            </w:tcMar>
            <w:vAlign w:val="center"/>
          </w:tcPr>
          <w:p w14:paraId="429CCC6C" w14:textId="0ADC1BF2" w:rsidR="008B4BE6" w:rsidRPr="007D40FD" w:rsidRDefault="006933C3" w:rsidP="0060042A">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7D40FD">
              <w:rPr>
                <w:rFonts w:ascii="Times New Roman" w:hAnsi="Times New Roman"/>
                <w:b/>
                <w:lang w:val="ro-RO"/>
              </w:rPr>
              <w:t>Nr.</w:t>
            </w:r>
            <w:r w:rsidR="00032B46" w:rsidRPr="007D40FD">
              <w:rPr>
                <w:rFonts w:ascii="Times New Roman" w:hAnsi="Times New Roman"/>
                <w:b/>
                <w:lang w:val="ro-RO"/>
              </w:rPr>
              <w:t xml:space="preserve"> </w:t>
            </w:r>
            <w:r w:rsidR="00BA5B5B" w:rsidRPr="007D40FD">
              <w:rPr>
                <w:rFonts w:ascii="Times New Roman" w:hAnsi="Times New Roman"/>
                <w:b/>
                <w:lang w:val="ro-RO"/>
              </w:rPr>
              <w:t>crt.</w:t>
            </w:r>
          </w:p>
        </w:tc>
        <w:tc>
          <w:tcPr>
            <w:tcW w:w="9072" w:type="dxa"/>
            <w:tcMar>
              <w:top w:w="0" w:type="dxa"/>
              <w:left w:w="108" w:type="dxa"/>
              <w:bottom w:w="0" w:type="dxa"/>
              <w:right w:w="108" w:type="dxa"/>
            </w:tcMar>
            <w:vAlign w:val="center"/>
          </w:tcPr>
          <w:p w14:paraId="055FB5F6" w14:textId="57BEC7B7" w:rsidR="008B4BE6" w:rsidRPr="007D40FD" w:rsidRDefault="006933C3" w:rsidP="0060042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lang w:val="ro-RO"/>
              </w:rPr>
            </w:pPr>
            <w:r w:rsidRPr="007D40FD">
              <w:rPr>
                <w:rFonts w:ascii="Times New Roman" w:hAnsi="Times New Roman"/>
                <w:b/>
                <w:lang w:val="ro-RO"/>
              </w:rPr>
              <w:t>Con</w:t>
            </w:r>
            <w:r w:rsidR="00863417" w:rsidRPr="007D40FD">
              <w:rPr>
                <w:rFonts w:ascii="Times New Roman" w:hAnsi="Times New Roman"/>
                <w:b/>
                <w:lang w:val="ro-RO"/>
              </w:rPr>
              <w:t>ț</w:t>
            </w:r>
            <w:r w:rsidRPr="007D40FD">
              <w:rPr>
                <w:rFonts w:ascii="Times New Roman" w:hAnsi="Times New Roman"/>
                <w:b/>
                <w:lang w:val="ro-RO"/>
              </w:rPr>
              <w:t>inutul</w:t>
            </w:r>
            <w:r w:rsidR="00032B46" w:rsidRPr="007D40FD">
              <w:rPr>
                <w:rFonts w:ascii="Times New Roman" w:hAnsi="Times New Roman"/>
                <w:b/>
                <w:lang w:val="ro-RO"/>
              </w:rPr>
              <w:t xml:space="preserve"> </w:t>
            </w:r>
            <w:r w:rsidRPr="007D40FD">
              <w:rPr>
                <w:rFonts w:ascii="Times New Roman" w:hAnsi="Times New Roman"/>
                <w:b/>
                <w:lang w:val="ro-RO"/>
              </w:rPr>
              <w:t>obiec</w:t>
            </w:r>
            <w:r w:rsidR="00863417" w:rsidRPr="007D40FD">
              <w:rPr>
                <w:rFonts w:ascii="Times New Roman" w:hAnsi="Times New Roman"/>
                <w:b/>
                <w:lang w:val="ro-RO"/>
              </w:rPr>
              <w:t>ț</w:t>
            </w:r>
            <w:r w:rsidRPr="007D40FD">
              <w:rPr>
                <w:rFonts w:ascii="Times New Roman" w:hAnsi="Times New Roman"/>
                <w:b/>
                <w:lang w:val="ro-RO"/>
              </w:rPr>
              <w:t>iei,</w:t>
            </w:r>
            <w:r w:rsidR="00762F1D" w:rsidRPr="007D40FD">
              <w:rPr>
                <w:rFonts w:ascii="Times New Roman" w:hAnsi="Times New Roman"/>
                <w:b/>
                <w:lang w:val="ro-RO"/>
              </w:rPr>
              <w:t xml:space="preserve"> </w:t>
            </w:r>
            <w:r w:rsidRPr="007D40FD">
              <w:rPr>
                <w:rFonts w:ascii="Times New Roman" w:hAnsi="Times New Roman"/>
                <w:b/>
                <w:lang w:val="ro-RO"/>
              </w:rPr>
              <w:t>propunerii,</w:t>
            </w:r>
            <w:r w:rsidR="00032B46" w:rsidRPr="007D40FD">
              <w:rPr>
                <w:rFonts w:ascii="Times New Roman" w:hAnsi="Times New Roman"/>
                <w:b/>
                <w:lang w:val="ro-RO"/>
              </w:rPr>
              <w:t xml:space="preserve"> </w:t>
            </w:r>
            <w:r w:rsidRPr="007D40FD">
              <w:rPr>
                <w:rFonts w:ascii="Times New Roman" w:hAnsi="Times New Roman"/>
                <w:b/>
                <w:lang w:val="ro-RO"/>
              </w:rPr>
              <w:t>recomandării,</w:t>
            </w:r>
            <w:r w:rsidR="00032B46" w:rsidRPr="007D40FD">
              <w:rPr>
                <w:rFonts w:ascii="Times New Roman" w:hAnsi="Times New Roman"/>
                <w:b/>
                <w:lang w:val="ro-RO"/>
              </w:rPr>
              <w:t xml:space="preserve"> </w:t>
            </w:r>
            <w:r w:rsidRPr="007D40FD">
              <w:rPr>
                <w:rFonts w:ascii="Times New Roman" w:hAnsi="Times New Roman"/>
                <w:b/>
                <w:lang w:val="ro-RO"/>
              </w:rPr>
              <w:t>concluziei</w:t>
            </w:r>
          </w:p>
        </w:tc>
        <w:tc>
          <w:tcPr>
            <w:tcW w:w="3685" w:type="dxa"/>
            <w:tcMar>
              <w:top w:w="0" w:type="dxa"/>
              <w:left w:w="108" w:type="dxa"/>
              <w:bottom w:w="0" w:type="dxa"/>
              <w:right w:w="108" w:type="dxa"/>
            </w:tcMar>
            <w:vAlign w:val="center"/>
          </w:tcPr>
          <w:p w14:paraId="43D44E19" w14:textId="04D0A080" w:rsidR="008B4BE6" w:rsidRPr="007D40FD" w:rsidRDefault="006933C3" w:rsidP="0060042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lang w:val="ro-RO"/>
              </w:rPr>
            </w:pPr>
            <w:r w:rsidRPr="007D40FD">
              <w:rPr>
                <w:rFonts w:ascii="Times New Roman" w:hAnsi="Times New Roman"/>
                <w:b/>
                <w:lang w:val="ro-RO"/>
              </w:rPr>
              <w:t>Argumentarea</w:t>
            </w:r>
          </w:p>
          <w:p w14:paraId="42C4E39B" w14:textId="729BF662" w:rsidR="008B4BE6" w:rsidRPr="007D40FD" w:rsidRDefault="006933C3" w:rsidP="0060042A">
            <w:pPr>
              <w:pBdr>
                <w:top w:val="none" w:sz="4" w:space="0" w:color="000000"/>
                <w:left w:val="none" w:sz="4" w:space="0" w:color="000000"/>
                <w:bottom w:val="none" w:sz="4" w:space="0" w:color="000000"/>
                <w:right w:val="none" w:sz="4" w:space="0" w:color="000000"/>
              </w:pBdr>
              <w:ind w:firstLine="0"/>
              <w:jc w:val="center"/>
              <w:rPr>
                <w:rFonts w:ascii="Times New Roman" w:hAnsi="Times New Roman"/>
                <w:lang w:val="ro-RO"/>
              </w:rPr>
            </w:pPr>
            <w:r w:rsidRPr="007D40FD">
              <w:rPr>
                <w:rFonts w:ascii="Times New Roman" w:hAnsi="Times New Roman"/>
                <w:b/>
                <w:lang w:val="ro-RO"/>
              </w:rPr>
              <w:t>autorului</w:t>
            </w:r>
            <w:r w:rsidR="00032B46" w:rsidRPr="007D40FD">
              <w:rPr>
                <w:rFonts w:ascii="Times New Roman" w:hAnsi="Times New Roman"/>
                <w:b/>
                <w:lang w:val="ro-RO"/>
              </w:rPr>
              <w:t xml:space="preserve"> </w:t>
            </w:r>
            <w:r w:rsidRPr="007D40FD">
              <w:rPr>
                <w:rFonts w:ascii="Times New Roman" w:hAnsi="Times New Roman"/>
                <w:b/>
                <w:lang w:val="ro-RO"/>
              </w:rPr>
              <w:t>proiectului</w:t>
            </w:r>
          </w:p>
        </w:tc>
      </w:tr>
      <w:tr w:rsidR="006D3EB7" w:rsidRPr="007D40FD" w14:paraId="092EF798" w14:textId="77777777" w:rsidTr="0006422A">
        <w:tc>
          <w:tcPr>
            <w:tcW w:w="15451" w:type="dxa"/>
            <w:gridSpan w:val="4"/>
            <w:tcMar>
              <w:top w:w="0" w:type="dxa"/>
              <w:left w:w="108" w:type="dxa"/>
              <w:bottom w:w="0" w:type="dxa"/>
              <w:right w:w="108" w:type="dxa"/>
            </w:tcMar>
          </w:tcPr>
          <w:p w14:paraId="7963EAAD" w14:textId="3FFD1402" w:rsidR="008B4BE6" w:rsidRPr="007D40FD" w:rsidRDefault="006933C3" w:rsidP="00107595">
            <w:pPr>
              <w:pBdr>
                <w:top w:val="none" w:sz="4" w:space="0" w:color="000000"/>
                <w:left w:val="none" w:sz="4" w:space="0" w:color="000000"/>
                <w:bottom w:val="none" w:sz="4" w:space="0" w:color="000000"/>
                <w:right w:val="none" w:sz="4" w:space="0" w:color="000000"/>
              </w:pBdr>
              <w:shd w:val="clear" w:color="auto" w:fill="D9D9D9" w:themeFill="background1" w:themeFillShade="D9"/>
              <w:ind w:firstLine="0"/>
              <w:jc w:val="center"/>
              <w:rPr>
                <w:rFonts w:ascii="Times New Roman" w:hAnsi="Times New Roman"/>
                <w:b/>
                <w:bCs/>
                <w:sz w:val="24"/>
                <w:szCs w:val="24"/>
                <w:lang w:val="ro-RO"/>
              </w:rPr>
            </w:pPr>
            <w:r w:rsidRPr="007D40FD">
              <w:rPr>
                <w:rFonts w:ascii="Times New Roman" w:eastAsia="Times New Roman" w:hAnsi="Times New Roman"/>
                <w:b/>
                <w:bCs/>
                <w:sz w:val="24"/>
                <w:szCs w:val="24"/>
                <w:lang w:val="ro-RO"/>
              </w:rPr>
              <w:t>Avizare</w:t>
            </w:r>
            <w:r w:rsidR="00032B46" w:rsidRPr="007D40FD">
              <w:rPr>
                <w:rFonts w:ascii="Times New Roman" w:eastAsia="Times New Roman" w:hAnsi="Times New Roman"/>
                <w:b/>
                <w:bCs/>
                <w:sz w:val="24"/>
                <w:szCs w:val="24"/>
                <w:lang w:val="ro-RO"/>
              </w:rPr>
              <w:t xml:space="preserve"> </w:t>
            </w:r>
            <w:r w:rsidR="00863417" w:rsidRPr="007D40FD">
              <w:rPr>
                <w:rFonts w:ascii="Times New Roman" w:hAnsi="Times New Roman"/>
                <w:b/>
                <w:bCs/>
                <w:sz w:val="24"/>
                <w:szCs w:val="24"/>
                <w:lang w:val="ro-RO"/>
              </w:rPr>
              <w:t>ș</w:t>
            </w:r>
            <w:r w:rsidRPr="007D40FD">
              <w:rPr>
                <w:rFonts w:ascii="Times New Roman" w:hAnsi="Times New Roman"/>
                <w:b/>
                <w:bCs/>
                <w:sz w:val="24"/>
                <w:szCs w:val="24"/>
                <w:lang w:val="ro-RO"/>
              </w:rPr>
              <w:t>i</w:t>
            </w:r>
            <w:r w:rsidR="00032B46" w:rsidRPr="007D40FD">
              <w:rPr>
                <w:rFonts w:ascii="Times New Roman" w:hAnsi="Times New Roman"/>
                <w:b/>
                <w:bCs/>
                <w:sz w:val="24"/>
                <w:szCs w:val="24"/>
                <w:lang w:val="ro-RO"/>
              </w:rPr>
              <w:t xml:space="preserve"> </w:t>
            </w:r>
            <w:r w:rsidRPr="007D40FD">
              <w:rPr>
                <w:rFonts w:ascii="Times New Roman" w:hAnsi="Times New Roman"/>
                <w:b/>
                <w:bCs/>
                <w:sz w:val="24"/>
                <w:szCs w:val="24"/>
                <w:lang w:val="ro-RO"/>
              </w:rPr>
              <w:t>consultare</w:t>
            </w:r>
            <w:r w:rsidR="00032B46" w:rsidRPr="007D40FD">
              <w:rPr>
                <w:rFonts w:ascii="Times New Roman" w:hAnsi="Times New Roman"/>
                <w:b/>
                <w:bCs/>
                <w:sz w:val="24"/>
                <w:szCs w:val="24"/>
                <w:lang w:val="ro-RO"/>
              </w:rPr>
              <w:t xml:space="preserve"> </w:t>
            </w:r>
            <w:r w:rsidRPr="007D40FD">
              <w:rPr>
                <w:rFonts w:ascii="Times New Roman" w:hAnsi="Times New Roman"/>
                <w:b/>
                <w:bCs/>
                <w:sz w:val="24"/>
                <w:szCs w:val="24"/>
                <w:lang w:val="ro-RO"/>
              </w:rPr>
              <w:t>publică</w:t>
            </w:r>
          </w:p>
        </w:tc>
      </w:tr>
      <w:tr w:rsidR="00DE2C48" w:rsidRPr="007D40FD" w14:paraId="2FA2350E" w14:textId="0B92803A" w:rsidTr="0006422A">
        <w:trPr>
          <w:trHeight w:val="1440"/>
        </w:trPr>
        <w:tc>
          <w:tcPr>
            <w:tcW w:w="2163" w:type="dxa"/>
            <w:tcMar>
              <w:top w:w="0" w:type="dxa"/>
              <w:left w:w="108" w:type="dxa"/>
              <w:bottom w:w="0" w:type="dxa"/>
              <w:right w:w="108" w:type="dxa"/>
            </w:tcMar>
          </w:tcPr>
          <w:p w14:paraId="4285E668" w14:textId="77777777" w:rsidR="00AF08AC" w:rsidRPr="007D40FD" w:rsidRDefault="00AF08AC" w:rsidP="00AF08AC">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 xml:space="preserve">Ministerul Afacerilor Externe al Republicii Moldova </w:t>
            </w:r>
          </w:p>
          <w:p w14:paraId="751A43D5" w14:textId="25E4EB0A" w:rsidR="00DE2C48" w:rsidRPr="007D40FD" w:rsidRDefault="00AF08AC" w:rsidP="00AF08AC">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color w:val="000000" w:themeColor="text1"/>
                <w:sz w:val="24"/>
                <w:szCs w:val="24"/>
                <w:lang w:val="ro-RO"/>
              </w:rPr>
              <w:t>(aviz nr. DI/3/041-2321 din 27 februarie 2026)</w:t>
            </w:r>
          </w:p>
        </w:tc>
        <w:tc>
          <w:tcPr>
            <w:tcW w:w="531" w:type="dxa"/>
            <w:tcMar>
              <w:top w:w="0" w:type="dxa"/>
              <w:left w:w="108" w:type="dxa"/>
              <w:bottom w:w="0" w:type="dxa"/>
              <w:right w:w="108" w:type="dxa"/>
            </w:tcMar>
          </w:tcPr>
          <w:p w14:paraId="37FE3E20" w14:textId="24DDE668" w:rsidR="00DE2C48" w:rsidRPr="007D40FD" w:rsidRDefault="00DE2C48"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1</w:t>
            </w:r>
          </w:p>
        </w:tc>
        <w:tc>
          <w:tcPr>
            <w:tcW w:w="9072" w:type="dxa"/>
          </w:tcPr>
          <w:p w14:paraId="7BE76952" w14:textId="210E5C73" w:rsidR="00DE2C48" w:rsidRPr="007D40FD" w:rsidRDefault="00DE2C48" w:rsidP="00E158C9">
            <w:pPr>
              <w:pBdr>
                <w:top w:val="none" w:sz="4" w:space="0" w:color="000000"/>
                <w:left w:val="none" w:sz="4" w:space="0" w:color="000000"/>
                <w:bottom w:val="none" w:sz="4" w:space="0" w:color="000000"/>
                <w:right w:val="none" w:sz="4" w:space="0" w:color="000000"/>
              </w:pBdr>
              <w:ind w:firstLine="0"/>
              <w:rPr>
                <w:sz w:val="24"/>
                <w:szCs w:val="24"/>
                <w:lang w:val="ro-RO"/>
              </w:rPr>
            </w:pPr>
            <w:r w:rsidRPr="007D40FD">
              <w:rPr>
                <w:rFonts w:ascii="Times New Roman" w:hAnsi="Times New Roman"/>
                <w:sz w:val="24"/>
                <w:szCs w:val="24"/>
                <w:lang w:val="ro-RO"/>
              </w:rPr>
              <w:t>Acțiunea nr. 9.1.2 din proiectul planului de contingență al acțiunilor de răspuns pe sectoare de intervenție, privind triajul și transferul persoanelor străine, în funcție de indicațiile medicale, către spitale de peste hotare (România), precum și acțiunea nr. 9.4.3 ce prevede transferul pacienților către spitalele din România, se consideră oportună excluderea Ministerului Afacerilor Externe din rubrica „Instituție principală” și includerea acestuia la rubrica „Instituție de sprijin”, întrucât aceste acțiuni excedează competențele funcționale ale MAE.</w:t>
            </w:r>
          </w:p>
        </w:tc>
        <w:tc>
          <w:tcPr>
            <w:tcW w:w="3685" w:type="dxa"/>
          </w:tcPr>
          <w:p w14:paraId="0E4DF3E9" w14:textId="40A71CA7" w:rsidR="00DE2C48" w:rsidRPr="007D40FD" w:rsidRDefault="00DE2C48" w:rsidP="00C65F57">
            <w:pPr>
              <w:pBdr>
                <w:top w:val="none" w:sz="4" w:space="0" w:color="000000"/>
                <w:left w:val="none" w:sz="4" w:space="0" w:color="000000"/>
                <w:bottom w:val="none" w:sz="4" w:space="0" w:color="000000"/>
                <w:right w:val="none" w:sz="4" w:space="0" w:color="000000"/>
              </w:pBdr>
              <w:ind w:firstLine="0"/>
              <w:rPr>
                <w:sz w:val="24"/>
                <w:szCs w:val="24"/>
                <w:lang w:val="ro-RO"/>
              </w:rPr>
            </w:pPr>
            <w:r w:rsidRPr="007D40FD">
              <w:rPr>
                <w:rFonts w:ascii="Times New Roman" w:hAnsi="Times New Roman"/>
                <w:b/>
                <w:bCs/>
                <w:sz w:val="24"/>
                <w:szCs w:val="24"/>
                <w:lang w:val="ro-RO"/>
              </w:rPr>
              <w:t>Se acceptă</w:t>
            </w:r>
            <w:r w:rsidR="00C65F57" w:rsidRPr="007D40FD">
              <w:rPr>
                <w:rFonts w:ascii="Times New Roman" w:hAnsi="Times New Roman"/>
                <w:b/>
                <w:bCs/>
                <w:sz w:val="24"/>
                <w:szCs w:val="24"/>
                <w:lang w:val="ro-RO"/>
              </w:rPr>
              <w:t>.</w:t>
            </w:r>
            <w:r w:rsidR="00C65F57" w:rsidRPr="007D40FD">
              <w:rPr>
                <w:rFonts w:ascii="Times New Roman" w:hAnsi="Times New Roman"/>
                <w:sz w:val="24"/>
                <w:szCs w:val="24"/>
                <w:lang w:val="ro-RO"/>
              </w:rPr>
              <w:t xml:space="preserve"> </w:t>
            </w:r>
            <w:r w:rsidR="00C65F57" w:rsidRPr="007D40FD">
              <w:rPr>
                <w:rFonts w:ascii="Times New Roman" w:hAnsi="Times New Roman"/>
                <w:color w:val="000000" w:themeColor="text1"/>
                <w:sz w:val="24"/>
                <w:szCs w:val="24"/>
                <w:lang w:val="ro-RO"/>
              </w:rPr>
              <w:t>Modificările au fost operate.</w:t>
            </w:r>
          </w:p>
        </w:tc>
      </w:tr>
      <w:tr w:rsidR="008F5BA1" w:rsidRPr="007D40FD" w14:paraId="5460B070" w14:textId="77777777" w:rsidTr="0006422A">
        <w:trPr>
          <w:trHeight w:val="1440"/>
        </w:trPr>
        <w:tc>
          <w:tcPr>
            <w:tcW w:w="2163" w:type="dxa"/>
            <w:vMerge w:val="restart"/>
            <w:tcMar>
              <w:top w:w="0" w:type="dxa"/>
              <w:left w:w="108" w:type="dxa"/>
              <w:bottom w:w="0" w:type="dxa"/>
              <w:right w:w="108" w:type="dxa"/>
            </w:tcMar>
          </w:tcPr>
          <w:p w14:paraId="6B84D00C" w14:textId="23A62BF9"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 xml:space="preserve">Centrul pentru Comunicare Strategică și Contracarare a Dezinformării </w:t>
            </w:r>
            <w:r w:rsidRPr="007D40FD">
              <w:rPr>
                <w:rFonts w:ascii="Times New Roman" w:hAnsi="Times New Roman"/>
                <w:b/>
                <w:color w:val="000000" w:themeColor="text1"/>
                <w:sz w:val="24"/>
                <w:szCs w:val="24"/>
                <w:lang w:val="ro-RO"/>
              </w:rPr>
              <w:t>(aviz nr. 61/26 din 25 februarie 2026)</w:t>
            </w:r>
          </w:p>
        </w:tc>
        <w:tc>
          <w:tcPr>
            <w:tcW w:w="531" w:type="dxa"/>
            <w:vMerge w:val="restart"/>
            <w:tcMar>
              <w:top w:w="0" w:type="dxa"/>
              <w:left w:w="108" w:type="dxa"/>
              <w:bottom w:w="0" w:type="dxa"/>
              <w:right w:w="108" w:type="dxa"/>
            </w:tcMar>
          </w:tcPr>
          <w:p w14:paraId="612E4D0D" w14:textId="13D133C3"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2</w:t>
            </w:r>
          </w:p>
        </w:tc>
        <w:tc>
          <w:tcPr>
            <w:tcW w:w="9072" w:type="dxa"/>
          </w:tcPr>
          <w:p w14:paraId="484ECCC1" w14:textId="6937ADF6" w:rsidR="008F5BA1" w:rsidRPr="007D40FD" w:rsidRDefault="008F5BA1" w:rsidP="00E158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La pct. 8 din Mecanismul național se propune expunerea principiului în următoarea redacție: „principiul comunicării publice și strategice coordonate, inclusiv prevenirea și contracararea dezinformării și a acțiunilor de manipulare a informațiilor și ingerințe străine – aplicarea unitară, planificată, țintită și coordonată a comunicării publice la nivelul autorităților publice, astfel încât informațiile de interes public să fie transmise coerent, consecvent, oportun și transparent, iar răspunsul instituțional la dezinformare și la acțiunile de manipulare a informațiilor și ingerințele străine să fie bazat pe analiză și evaluarea riscurilor, coordonat interinstituțional și orientat spre protejarea intereselor naționale și a obiectivelor naționale de securitate, cu respectarea legalității și a drepturilor fundamentale.”</w:t>
            </w:r>
          </w:p>
        </w:tc>
        <w:tc>
          <w:tcPr>
            <w:tcW w:w="3685" w:type="dxa"/>
          </w:tcPr>
          <w:p w14:paraId="1211EA92" w14:textId="1EA768A6" w:rsidR="008F5BA1" w:rsidRPr="007D40FD" w:rsidRDefault="008F5BA1" w:rsidP="00C93EA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b/>
                <w:bCs/>
                <w:color w:val="000000" w:themeColor="text1"/>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6A846C47" w14:textId="77777777" w:rsidTr="0006422A">
        <w:trPr>
          <w:trHeight w:val="1128"/>
        </w:trPr>
        <w:tc>
          <w:tcPr>
            <w:tcW w:w="2163" w:type="dxa"/>
            <w:vMerge/>
            <w:tcMar>
              <w:top w:w="0" w:type="dxa"/>
              <w:left w:w="108" w:type="dxa"/>
              <w:bottom w:w="0" w:type="dxa"/>
              <w:right w:w="108" w:type="dxa"/>
            </w:tcMar>
          </w:tcPr>
          <w:p w14:paraId="416C39FA"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p>
        </w:tc>
        <w:tc>
          <w:tcPr>
            <w:tcW w:w="531" w:type="dxa"/>
            <w:vMerge/>
            <w:tcMar>
              <w:top w:w="0" w:type="dxa"/>
              <w:left w:w="108" w:type="dxa"/>
              <w:bottom w:w="0" w:type="dxa"/>
              <w:right w:w="108" w:type="dxa"/>
            </w:tcMar>
          </w:tcPr>
          <w:p w14:paraId="6FF905BC" w14:textId="542F57EB"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3F5DECF1" w14:textId="6B2B097E" w:rsidR="008F5BA1" w:rsidRPr="007D40FD" w:rsidRDefault="008F5BA1" w:rsidP="002C40C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La pct. 9 din proiectul Mecanismului, după cuvintele „contracararea dezinformării”, să se introducă sintagma: „sau a acțiunilor de manipulare a informațiilor și ingerințelor străine”.</w:t>
            </w:r>
          </w:p>
        </w:tc>
        <w:tc>
          <w:tcPr>
            <w:tcW w:w="3685" w:type="dxa"/>
          </w:tcPr>
          <w:p w14:paraId="1157A5E8" w14:textId="4D23BA2C" w:rsidR="008F5BA1" w:rsidRPr="007D40FD" w:rsidRDefault="008F5BA1" w:rsidP="00C93EA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b/>
                <w:bCs/>
                <w:color w:val="000000" w:themeColor="text1"/>
                <w:sz w:val="24"/>
                <w:szCs w:val="24"/>
                <w:lang w:val="ro-RO"/>
              </w:rPr>
              <w:t>Se acceptă</w:t>
            </w:r>
            <w:r w:rsidRPr="007D40FD">
              <w:rPr>
                <w:rFonts w:ascii="Times New Roman" w:hAnsi="Times New Roman"/>
                <w:color w:val="000000" w:themeColor="text1"/>
                <w:sz w:val="24"/>
                <w:szCs w:val="24"/>
                <w:lang w:val="ro-RO"/>
              </w:rPr>
              <w:t xml:space="preserve">. Pct. 9 va avea următorul conținut: „Comunicarea publică și strategică constituie un element esențial al gestionării crizei, având rolul de a asigura informarea corectă, corespunzătoare a populației, prevenirea panicii și contracararea dezinformării, sau a acțiunilor de manipulare a informațiilor și ingerințelor străine, precum și menținerea încrederii </w:t>
            </w:r>
            <w:r w:rsidRPr="007D40FD">
              <w:rPr>
                <w:rFonts w:ascii="Times New Roman" w:hAnsi="Times New Roman"/>
                <w:color w:val="000000" w:themeColor="text1"/>
                <w:sz w:val="24"/>
                <w:szCs w:val="24"/>
                <w:lang w:val="ro-RO"/>
              </w:rPr>
              <w:lastRenderedPageBreak/>
              <w:t>publice în acțiunile autorităților și instituțiilor publice.”.</w:t>
            </w:r>
          </w:p>
        </w:tc>
      </w:tr>
      <w:tr w:rsidR="008F5BA1" w:rsidRPr="007D40FD" w14:paraId="1755CE46" w14:textId="77777777" w:rsidTr="0006422A">
        <w:trPr>
          <w:trHeight w:val="1150"/>
        </w:trPr>
        <w:tc>
          <w:tcPr>
            <w:tcW w:w="2163" w:type="dxa"/>
            <w:vMerge/>
            <w:tcMar>
              <w:top w:w="0" w:type="dxa"/>
              <w:left w:w="108" w:type="dxa"/>
              <w:bottom w:w="0" w:type="dxa"/>
              <w:right w:w="108" w:type="dxa"/>
            </w:tcMar>
          </w:tcPr>
          <w:p w14:paraId="46F9EE0A"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7D2DCE92"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sz w:val="24"/>
                <w:szCs w:val="24"/>
                <w:lang w:val="ro-RO"/>
              </w:rPr>
            </w:pPr>
          </w:p>
        </w:tc>
        <w:tc>
          <w:tcPr>
            <w:tcW w:w="9072" w:type="dxa"/>
          </w:tcPr>
          <w:p w14:paraId="615AA82E" w14:textId="72E0B482" w:rsidR="008F5BA1" w:rsidRPr="007D40FD" w:rsidRDefault="008F5BA1" w:rsidP="00C93EA1">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7D40FD">
              <w:rPr>
                <w:rFonts w:ascii="Times New Roman" w:hAnsi="Times New Roman"/>
                <w:color w:val="000000" w:themeColor="text1"/>
                <w:sz w:val="24"/>
                <w:szCs w:val="24"/>
                <w:lang w:val="ro-RO"/>
              </w:rPr>
              <w:t>Pentru coerență internă, aplicabilitate unitară și evitarea interpretărilor restrictive, se recomandă ca, în tot cuprinsul proiectului, sintagma „combaterea dezinformării” (și/sau formulările echivalente) să fie substituită cu formula: „contracararea dezinformării sau a acțiunilor de manipulare a informațiilor și ingerințelor străine”.</w:t>
            </w:r>
          </w:p>
        </w:tc>
        <w:tc>
          <w:tcPr>
            <w:tcW w:w="3685" w:type="dxa"/>
          </w:tcPr>
          <w:p w14:paraId="6DF2D156" w14:textId="3B91EB49" w:rsidR="008F5BA1" w:rsidRPr="007D40FD" w:rsidRDefault="008F5BA1" w:rsidP="00C93EA1">
            <w:pPr>
              <w:pBdr>
                <w:top w:val="none" w:sz="4" w:space="0" w:color="000000"/>
                <w:left w:val="none" w:sz="4" w:space="0" w:color="000000"/>
                <w:bottom w:val="none" w:sz="4" w:space="0" w:color="000000"/>
                <w:right w:val="none" w:sz="4" w:space="0" w:color="000000"/>
              </w:pBdr>
              <w:ind w:firstLine="0"/>
              <w:rPr>
                <w:b/>
                <w:bCs/>
                <w:color w:val="000000" w:themeColor="text1"/>
                <w:sz w:val="24"/>
                <w:szCs w:val="24"/>
                <w:lang w:val="ro-RO"/>
              </w:rPr>
            </w:pPr>
            <w:r w:rsidRPr="007D40FD">
              <w:rPr>
                <w:rFonts w:ascii="Times New Roman" w:hAnsi="Times New Roman"/>
                <w:b/>
                <w:bCs/>
                <w:color w:val="000000" w:themeColor="text1"/>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2EE14E2D" w14:textId="77777777" w:rsidTr="0006422A">
        <w:trPr>
          <w:trHeight w:val="1440"/>
        </w:trPr>
        <w:tc>
          <w:tcPr>
            <w:tcW w:w="2163" w:type="dxa"/>
            <w:vMerge/>
            <w:tcMar>
              <w:top w:w="0" w:type="dxa"/>
              <w:left w:w="108" w:type="dxa"/>
              <w:bottom w:w="0" w:type="dxa"/>
              <w:right w:w="108" w:type="dxa"/>
            </w:tcMar>
          </w:tcPr>
          <w:p w14:paraId="5FDE6235"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p>
        </w:tc>
        <w:tc>
          <w:tcPr>
            <w:tcW w:w="531" w:type="dxa"/>
            <w:vMerge/>
            <w:tcMar>
              <w:top w:w="0" w:type="dxa"/>
              <w:left w:w="108" w:type="dxa"/>
              <w:bottom w:w="0" w:type="dxa"/>
              <w:right w:w="108" w:type="dxa"/>
            </w:tcMar>
          </w:tcPr>
          <w:p w14:paraId="716A628B" w14:textId="374CB953"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19535FCA" w14:textId="6753FF22"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În Plan de contingență la compartimentul Sectorul de intervenție 10 „Informare”, „Scopul principal” se propune completarea textului prin inserarea unui alineat nou, în redacția: „Componenta de informare se implementează și ca măsură de integritate informațională și reziliență societală, orientată spre reducerea incertitudinii, prevenirea panicii, limitarea zvonurilor și diminuarea riscurilor de polarizare, xenofobie și neîncredere în instituțiile statului în contextul afluxului sporit de străini.”</w:t>
            </w:r>
          </w:p>
        </w:tc>
        <w:tc>
          <w:tcPr>
            <w:tcW w:w="3685" w:type="dxa"/>
          </w:tcPr>
          <w:p w14:paraId="2E8E9470" w14:textId="6CF961C3" w:rsidR="008F5BA1" w:rsidRPr="007D40FD" w:rsidRDefault="008F5BA1" w:rsidP="00197621">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b/>
                <w:bCs/>
                <w:color w:val="000000" w:themeColor="text1"/>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364F7910" w14:textId="77777777" w:rsidTr="0006422A">
        <w:trPr>
          <w:trHeight w:val="1440"/>
        </w:trPr>
        <w:tc>
          <w:tcPr>
            <w:tcW w:w="2163" w:type="dxa"/>
            <w:vMerge/>
            <w:tcMar>
              <w:top w:w="0" w:type="dxa"/>
              <w:left w:w="108" w:type="dxa"/>
              <w:bottom w:w="0" w:type="dxa"/>
              <w:right w:w="108" w:type="dxa"/>
            </w:tcMar>
          </w:tcPr>
          <w:p w14:paraId="04845DAE"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650A9B26" w14:textId="156E6EA9"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62EEF0D2" w14:textId="010D0B52" w:rsidR="008F5BA1" w:rsidRPr="007D40FD" w:rsidRDefault="008F5BA1" w:rsidP="005C5D78">
            <w:pPr>
              <w:pBdr>
                <w:top w:val="none" w:sz="4" w:space="0" w:color="000000"/>
                <w:left w:val="none" w:sz="4" w:space="0" w:color="000000"/>
                <w:bottom w:val="none" w:sz="4" w:space="0" w:color="000000"/>
                <w:right w:val="none" w:sz="4" w:space="0" w:color="000000"/>
              </w:pBdr>
              <w:ind w:firstLine="0"/>
              <w:rPr>
                <w:sz w:val="24"/>
                <w:szCs w:val="24"/>
                <w:lang w:val="ro-RO"/>
              </w:rPr>
            </w:pPr>
            <w:r w:rsidRPr="007D40FD">
              <w:rPr>
                <w:rFonts w:ascii="Times New Roman" w:hAnsi="Times New Roman"/>
                <w:sz w:val="24"/>
                <w:szCs w:val="24"/>
                <w:lang w:val="ro-RO"/>
              </w:rPr>
              <w:t>În Plan de contingență la compartimentul Sectorul de intervenție 10 „Informare”, „Concepția acțiunilor de răspuns” se propune completarea cu o frază de închidere a paragrafului despre campanii și transparență: „Acțiunile de informare vor include comunicare preventivă pentru subiecte sensibile și clarificări rapide pentru zvonuri cu impact major, prin mesaje unitare și actualizări periodice de tip întrebări–răspuns.”</w:t>
            </w:r>
          </w:p>
        </w:tc>
        <w:tc>
          <w:tcPr>
            <w:tcW w:w="3685" w:type="dxa"/>
          </w:tcPr>
          <w:p w14:paraId="03999756" w14:textId="48EC39AD" w:rsidR="008F5BA1" w:rsidRPr="007D40FD" w:rsidRDefault="008F5BA1" w:rsidP="00197621">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7D40FD">
              <w:rPr>
                <w:rFonts w:ascii="Times New Roman" w:hAnsi="Times New Roman"/>
                <w:b/>
                <w:bCs/>
                <w:color w:val="000000" w:themeColor="text1"/>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51427A67" w14:textId="77777777" w:rsidTr="0006422A">
        <w:trPr>
          <w:trHeight w:val="1440"/>
        </w:trPr>
        <w:tc>
          <w:tcPr>
            <w:tcW w:w="2163" w:type="dxa"/>
            <w:vMerge/>
            <w:tcMar>
              <w:top w:w="0" w:type="dxa"/>
              <w:left w:w="108" w:type="dxa"/>
              <w:bottom w:w="0" w:type="dxa"/>
              <w:right w:w="108" w:type="dxa"/>
            </w:tcMar>
          </w:tcPr>
          <w:p w14:paraId="356D45C4"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3C1A3417" w14:textId="48980423"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544D1F8F" w14:textId="26040935"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 xml:space="preserve">În Plan de contingență la compartimentul Sectorul de intervenție 10 „Informare”, „Concepția acțiunilor de răspuns”, la lit. a), formularea „combaterea propagandei și </w:t>
            </w:r>
            <w:proofErr w:type="spellStart"/>
            <w:r w:rsidRPr="007D40FD">
              <w:rPr>
                <w:rFonts w:ascii="Times New Roman" w:hAnsi="Times New Roman"/>
                <w:sz w:val="24"/>
                <w:szCs w:val="24"/>
                <w:lang w:val="ro-RO"/>
              </w:rPr>
              <w:t>fake</w:t>
            </w:r>
            <w:proofErr w:type="spellEnd"/>
            <w:r w:rsidRPr="007D40FD">
              <w:rPr>
                <w:rFonts w:ascii="Times New Roman" w:hAnsi="Times New Roman"/>
                <w:sz w:val="24"/>
                <w:szCs w:val="24"/>
                <w:lang w:val="ro-RO"/>
              </w:rPr>
              <w:t>-</w:t>
            </w:r>
            <w:proofErr w:type="spellStart"/>
            <w:r w:rsidRPr="007D40FD">
              <w:rPr>
                <w:rFonts w:ascii="Times New Roman" w:hAnsi="Times New Roman"/>
                <w:sz w:val="24"/>
                <w:szCs w:val="24"/>
                <w:lang w:val="ro-RO"/>
              </w:rPr>
              <w:t>news</w:t>
            </w:r>
            <w:proofErr w:type="spellEnd"/>
            <w:r w:rsidRPr="007D40FD">
              <w:rPr>
                <w:rFonts w:ascii="Times New Roman" w:hAnsi="Times New Roman"/>
                <w:sz w:val="24"/>
                <w:szCs w:val="24"/>
                <w:lang w:val="ro-RO"/>
              </w:rPr>
              <w:t>-urilor” se propune a fi substituită cu sintagma: „prevenirea și contracararea dezinformării și a conținutului manipulator, inclusiv clarificarea rapidă a zvonurilor cu impact major și expunerea tacticilor de manipulare (fals-context, amplificare coordonată), care pot afecta ordinea publică, coeziunea socială și încrederea în instituții”.</w:t>
            </w:r>
          </w:p>
        </w:tc>
        <w:tc>
          <w:tcPr>
            <w:tcW w:w="3685" w:type="dxa"/>
          </w:tcPr>
          <w:p w14:paraId="2DC09C8C" w14:textId="79993716" w:rsidR="008F5BA1" w:rsidRPr="007D40FD" w:rsidRDefault="008F5BA1" w:rsidP="00197621">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7D40FD">
              <w:rPr>
                <w:rFonts w:ascii="Times New Roman" w:hAnsi="Times New Roman"/>
                <w:b/>
                <w:bCs/>
                <w:color w:val="000000" w:themeColor="text1"/>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0CAD8391" w14:textId="77777777" w:rsidTr="0006422A">
        <w:trPr>
          <w:trHeight w:val="177"/>
        </w:trPr>
        <w:tc>
          <w:tcPr>
            <w:tcW w:w="2163" w:type="dxa"/>
            <w:vMerge w:val="restart"/>
            <w:tcMar>
              <w:top w:w="0" w:type="dxa"/>
              <w:left w:w="108" w:type="dxa"/>
              <w:bottom w:w="0" w:type="dxa"/>
              <w:right w:w="108" w:type="dxa"/>
            </w:tcMar>
          </w:tcPr>
          <w:p w14:paraId="68162F7F" w14:textId="2BAF0636"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r w:rsidRPr="007D40FD">
              <w:rPr>
                <w:rFonts w:ascii="Times New Roman" w:hAnsi="Times New Roman"/>
                <w:b/>
                <w:sz w:val="24"/>
                <w:szCs w:val="24"/>
                <w:lang w:val="ro-RO"/>
              </w:rPr>
              <w:t>Centrul Național de Management al Crizelor (aviz nr. 29 din 2 martie 2026)</w:t>
            </w:r>
          </w:p>
        </w:tc>
        <w:tc>
          <w:tcPr>
            <w:tcW w:w="531" w:type="dxa"/>
            <w:vMerge w:val="restart"/>
            <w:tcMar>
              <w:top w:w="0" w:type="dxa"/>
              <w:left w:w="108" w:type="dxa"/>
              <w:bottom w:w="0" w:type="dxa"/>
              <w:right w:w="108" w:type="dxa"/>
            </w:tcMar>
          </w:tcPr>
          <w:p w14:paraId="36291233" w14:textId="1E6AC7A0"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3</w:t>
            </w:r>
          </w:p>
        </w:tc>
        <w:tc>
          <w:tcPr>
            <w:tcW w:w="9072" w:type="dxa"/>
          </w:tcPr>
          <w:p w14:paraId="1A810E06" w14:textId="77777777" w:rsidR="008F5BA1" w:rsidRPr="007D40FD" w:rsidRDefault="008F5BA1" w:rsidP="00D44C12">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Prin prezenta, Centrul Național de Management al Crizelor (CNMC) informează că a examinat proiectul de Hotărâre de Guvern cu privire la aprobarea Mecanismului național de gestionare unitară și coerentă a situației în cazul unui aflux sporit de străini (număr unic 110/MAI/2026), – autor Ministerul Afacerilor Interne și comunică următoarele.</w:t>
            </w:r>
          </w:p>
          <w:p w14:paraId="6403B1D4" w14:textId="77777777" w:rsidR="008F5BA1" w:rsidRPr="007D40FD" w:rsidRDefault="008F5BA1" w:rsidP="00D44C12">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CNMC, în calitatea sa de autoritate administrativă centrală care coordonează la nivel național ansamblul activităților de management al crizelor, a analizat proiectul de act normativ menționat din perspectiva conformității cu Legea nr. 248/2025 privind managementul situațiilor de criză, precum și din perspectiva coerenței arhitecturii instituționale stabilite prin legea organică.</w:t>
            </w:r>
          </w:p>
          <w:p w14:paraId="7CC9EDF3" w14:textId="77777777" w:rsidR="008F5BA1" w:rsidRPr="007D40FD" w:rsidRDefault="008F5BA1" w:rsidP="00D44C12">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lastRenderedPageBreak/>
              <w:t>În urma evaluării de specialitate, considerăm necesară ajustarea documentului pentru a asigura o delimitare clară a competențelor, evitarea paralelismelor instituționale și o deplină rigoare terminologică în raport cu cadrul normativ primar.</w:t>
            </w:r>
          </w:p>
          <w:p w14:paraId="60ABFA0E" w14:textId="3297FFEA" w:rsidR="008F5BA1" w:rsidRPr="007D40FD" w:rsidRDefault="008F5BA1" w:rsidP="00D44C12">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7D40FD">
              <w:rPr>
                <w:rFonts w:ascii="Times New Roman" w:hAnsi="Times New Roman"/>
                <w:color w:val="000000" w:themeColor="text1"/>
                <w:sz w:val="24"/>
                <w:szCs w:val="24"/>
                <w:lang w:val="ro-RO"/>
              </w:rPr>
              <w:t>O primă observație vizează Necesitatea adaptării limbajului utilizat la normele legale în vigoare, prin înlocuirea sintagmei generale de „situație de criză” cu termenii de „criză” sau „criză majoră”, conform pragurilor de intensitate și impact prevăzute de Legea nr. 248/2025.</w:t>
            </w:r>
          </w:p>
        </w:tc>
        <w:tc>
          <w:tcPr>
            <w:tcW w:w="3685" w:type="dxa"/>
          </w:tcPr>
          <w:p w14:paraId="40A4C886" w14:textId="2C2B2869" w:rsidR="008F5BA1" w:rsidRPr="007D40FD" w:rsidRDefault="008F5BA1" w:rsidP="008E19C5">
            <w:pPr>
              <w:pBdr>
                <w:top w:val="none" w:sz="4" w:space="0" w:color="000000"/>
                <w:left w:val="none" w:sz="4" w:space="0" w:color="000000"/>
                <w:bottom w:val="none" w:sz="4" w:space="0" w:color="000000"/>
                <w:right w:val="none" w:sz="4" w:space="0" w:color="000000"/>
              </w:pBdr>
              <w:ind w:firstLine="0"/>
              <w:rPr>
                <w:sz w:val="24"/>
                <w:szCs w:val="24"/>
                <w:lang w:val="ro-RO"/>
              </w:rPr>
            </w:pPr>
            <w:r w:rsidRPr="007D40FD">
              <w:rPr>
                <w:rFonts w:ascii="Times New Roman" w:hAnsi="Times New Roman"/>
                <w:b/>
                <w:bCs/>
                <w:color w:val="000000" w:themeColor="text1"/>
                <w:sz w:val="24"/>
                <w:szCs w:val="24"/>
                <w:lang w:val="ro-RO"/>
              </w:rPr>
              <w:lastRenderedPageBreak/>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236ECF53" w14:textId="77777777" w:rsidTr="0006422A">
        <w:trPr>
          <w:trHeight w:val="459"/>
        </w:trPr>
        <w:tc>
          <w:tcPr>
            <w:tcW w:w="2163" w:type="dxa"/>
            <w:vMerge/>
            <w:tcMar>
              <w:top w:w="0" w:type="dxa"/>
              <w:left w:w="108" w:type="dxa"/>
              <w:bottom w:w="0" w:type="dxa"/>
              <w:right w:w="108" w:type="dxa"/>
            </w:tcMar>
          </w:tcPr>
          <w:p w14:paraId="653316B8"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73FB84C1" w14:textId="0AE39C24"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1320E03E" w14:textId="68483D76"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O primă observație vizează necesitatea adaptării limbajului utilizat la normele legale în vigoare, prin înlocuirea sintagmei generale de „situație de criză” cu termenii de „criză” sau „criză majoră”, conform pragurilor de intensitate și impact prevăzute de Legea nr. 248/2025. Totodată, Utilizarea alternativă a termenilor „aflux sporit de străini”, „criza persoanelor strămutate (refugiate)” și „situație de criză în cazul unui aflux sporit de străini” necesită uniformizare, pentru a evita interpretări divergente în aplicare, inclusiv în raport cu Legislația aplicabilă regimului străinilor și sistemului de azil.</w:t>
            </w:r>
          </w:p>
        </w:tc>
        <w:tc>
          <w:tcPr>
            <w:tcW w:w="3685" w:type="dxa"/>
          </w:tcPr>
          <w:p w14:paraId="6F477560" w14:textId="17AE139A"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7F9D49DF" w14:textId="77777777" w:rsidTr="0006422A">
        <w:trPr>
          <w:trHeight w:val="1440"/>
        </w:trPr>
        <w:tc>
          <w:tcPr>
            <w:tcW w:w="2163" w:type="dxa"/>
            <w:vMerge/>
            <w:tcMar>
              <w:top w:w="0" w:type="dxa"/>
              <w:left w:w="108" w:type="dxa"/>
              <w:bottom w:w="0" w:type="dxa"/>
              <w:right w:w="108" w:type="dxa"/>
            </w:tcMar>
          </w:tcPr>
          <w:p w14:paraId="31CEC89C"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64F2E030" w14:textId="0179148E"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548F7145" w14:textId="29A76002"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Se impune clarificarea naturii juridice a documentului, care cumulează elemente specifice unui plan de management al crizei, ale unui plan de contingență și ale unor instrumente de continuitate instituțională. Recomandăm delimitarea clară a acestor instrumente sau structurarea lor explicită sub formă de scenarii de răspuns, pentru a evita confuziile de aplicabilitate la nivel tactic și operațional.</w:t>
            </w:r>
          </w:p>
        </w:tc>
        <w:tc>
          <w:tcPr>
            <w:tcW w:w="3685" w:type="dxa"/>
          </w:tcPr>
          <w:p w14:paraId="1DF94A1F" w14:textId="0F6FC5F1"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S-a luat act.</w:t>
            </w:r>
            <w:r w:rsidRPr="007D40FD">
              <w:rPr>
                <w:rFonts w:ascii="Times New Roman" w:hAnsi="Times New Roman"/>
                <w:color w:val="000000" w:themeColor="text1"/>
                <w:sz w:val="24"/>
                <w:szCs w:val="24"/>
                <w:lang w:val="ro-RO"/>
              </w:rPr>
              <w:t xml:space="preserve"> Modificările au fost operate.</w:t>
            </w:r>
          </w:p>
        </w:tc>
      </w:tr>
      <w:tr w:rsidR="008F5BA1" w:rsidRPr="007D40FD" w14:paraId="3DD77018" w14:textId="77777777" w:rsidTr="0006422A">
        <w:trPr>
          <w:trHeight w:val="1440"/>
        </w:trPr>
        <w:tc>
          <w:tcPr>
            <w:tcW w:w="2163" w:type="dxa"/>
            <w:vMerge/>
            <w:tcMar>
              <w:top w:w="0" w:type="dxa"/>
              <w:left w:w="108" w:type="dxa"/>
              <w:bottom w:w="0" w:type="dxa"/>
              <w:right w:w="108" w:type="dxa"/>
            </w:tcMar>
          </w:tcPr>
          <w:p w14:paraId="2F6D3DA3"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CE265CB" w14:textId="76D7B901"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6467CC79" w14:textId="27F1D83A"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Potrivit statutului său de entitate de coordonare aflată în subordinea Guvernului, CNMC nu deține atribuții de comandă operativă asupra forțelor și mijloacelor altor instituții. În acest sens, prevederea de la punctul 15 din proiect, care atribuie CNMC decizia de declanșare a mecanismului, este neconformă cu Articolul 47 lit. i) din Legea nr. 248/2025, care stabilește în mod expres că doar Prim-ministrul poate decide constatarea unei situații de criză.</w:t>
            </w:r>
          </w:p>
        </w:tc>
        <w:tc>
          <w:tcPr>
            <w:tcW w:w="3685" w:type="dxa"/>
          </w:tcPr>
          <w:p w14:paraId="7D1C32D7" w14:textId="572F5D3B"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0A6B2AEA" w14:textId="77777777" w:rsidTr="0006422A">
        <w:trPr>
          <w:trHeight w:val="669"/>
        </w:trPr>
        <w:tc>
          <w:tcPr>
            <w:tcW w:w="2163" w:type="dxa"/>
            <w:vMerge/>
            <w:tcMar>
              <w:top w:w="0" w:type="dxa"/>
              <w:left w:w="108" w:type="dxa"/>
              <w:bottom w:w="0" w:type="dxa"/>
              <w:right w:w="108" w:type="dxa"/>
            </w:tcMar>
          </w:tcPr>
          <w:p w14:paraId="3CA43B78"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38A2D36" w14:textId="4CE14DBE"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66F51016" w14:textId="594673A1"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Mecanismul să prevadă măsuri de activare treptată, astfel încât instituțiile să inițieze măsuri de pregătire și răspuns inclusiv anterior momentului la care afluxul de refugiați devine o criză cu impact național și este nevoie de activarea unor mecanisme de nivel superior, în baza deciziei Prim-Ministrului.</w:t>
            </w:r>
          </w:p>
        </w:tc>
        <w:tc>
          <w:tcPr>
            <w:tcW w:w="3685" w:type="dxa"/>
          </w:tcPr>
          <w:p w14:paraId="627700EB" w14:textId="78C444D9"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S-a luat act.</w:t>
            </w:r>
            <w:r w:rsidRPr="007D40FD">
              <w:rPr>
                <w:rFonts w:ascii="Times New Roman" w:hAnsi="Times New Roman"/>
                <w:color w:val="000000" w:themeColor="text1"/>
                <w:sz w:val="24"/>
                <w:szCs w:val="24"/>
                <w:lang w:val="ro-RO"/>
              </w:rPr>
              <w:t xml:space="preserve"> Modificările au fost operate.</w:t>
            </w:r>
          </w:p>
        </w:tc>
      </w:tr>
      <w:tr w:rsidR="008F5BA1" w:rsidRPr="007D40FD" w14:paraId="1E4BD109" w14:textId="77777777" w:rsidTr="0006422A">
        <w:trPr>
          <w:trHeight w:val="774"/>
        </w:trPr>
        <w:tc>
          <w:tcPr>
            <w:tcW w:w="2163" w:type="dxa"/>
            <w:vMerge/>
            <w:tcMar>
              <w:top w:w="0" w:type="dxa"/>
              <w:left w:w="108" w:type="dxa"/>
              <w:bottom w:w="0" w:type="dxa"/>
              <w:right w:w="108" w:type="dxa"/>
            </w:tcMar>
          </w:tcPr>
          <w:p w14:paraId="59AF5D89"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37A424D7" w14:textId="7A704351"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2F261E4E" w14:textId="30E74B47"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Rolul CNMC, conform Art. 46 lit. b) și Art. 47 lit. e), este limitat la monitorizare, analiză și propunere către Prim-ministru privind constatarea crizei și activarea Platformei Naționale de Răspuns la Crize. În consecință, textul trebuie reformulat astfel încât fluxul decizional să reflecte cadrul legal: CNMC monitorizează și propune, iar Prim-ministrul decide.</w:t>
            </w:r>
          </w:p>
        </w:tc>
        <w:tc>
          <w:tcPr>
            <w:tcW w:w="3685" w:type="dxa"/>
          </w:tcPr>
          <w:p w14:paraId="646553C6" w14:textId="313B3917"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68E4F1EE" w14:textId="77777777" w:rsidTr="00D971A4">
        <w:trPr>
          <w:trHeight w:val="85"/>
        </w:trPr>
        <w:tc>
          <w:tcPr>
            <w:tcW w:w="2163" w:type="dxa"/>
            <w:vMerge/>
            <w:tcMar>
              <w:top w:w="0" w:type="dxa"/>
              <w:left w:w="108" w:type="dxa"/>
              <w:bottom w:w="0" w:type="dxa"/>
              <w:right w:w="108" w:type="dxa"/>
            </w:tcMar>
          </w:tcPr>
          <w:p w14:paraId="61A4F215"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FE8099E" w14:textId="3FD37DB3"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53C59AC9" w14:textId="5C057F0D"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 xml:space="preserve">Proiectul omite nominalizarea expresă a Instituției Principale, aspect obligatoriu conform Art. 45 lit. l), care prevede că Platforma Națională facilitează conducerea operațiilor la nivel </w:t>
            </w:r>
            <w:r w:rsidRPr="007D40FD">
              <w:rPr>
                <w:rFonts w:ascii="Times New Roman" w:hAnsi="Times New Roman"/>
                <w:color w:val="000000" w:themeColor="text1"/>
                <w:sz w:val="24"/>
                <w:szCs w:val="24"/>
                <w:lang w:val="ro-RO"/>
              </w:rPr>
              <w:lastRenderedPageBreak/>
              <w:t>național de către instituția principală. În lipsa acestei desemnări, responsabilitatea operativă rămâne ambiguă.</w:t>
            </w:r>
          </w:p>
        </w:tc>
        <w:tc>
          <w:tcPr>
            <w:tcW w:w="3685" w:type="dxa"/>
          </w:tcPr>
          <w:p w14:paraId="5ECFE72F" w14:textId="3ECEFB86"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lastRenderedPageBreak/>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2A578080" w14:textId="77777777" w:rsidTr="0006422A">
        <w:trPr>
          <w:trHeight w:val="1440"/>
        </w:trPr>
        <w:tc>
          <w:tcPr>
            <w:tcW w:w="2163" w:type="dxa"/>
            <w:vMerge/>
            <w:tcMar>
              <w:top w:w="0" w:type="dxa"/>
              <w:left w:w="108" w:type="dxa"/>
              <w:bottom w:w="0" w:type="dxa"/>
              <w:right w:w="108" w:type="dxa"/>
            </w:tcMar>
          </w:tcPr>
          <w:p w14:paraId="393DA8BD"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D7F39D3" w14:textId="2F8A1EDC"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64D9FAFD" w14:textId="72E408E0"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Structura Mecanismului propus suprapune atribuțiile fazei de prevenire cu cele ale fazei de răspuns, contrar delimitării stabilite de Articolele 45 și 46 din lege. Introducerea unor indicatori de aflux masiv (de exemplu peste 15.000 persoane/zi) în faza de pregătire echivalează, în realitate, cu manifestarea unei crize și atrage faza de răspuns. Se impune reîncadrarea acestor praguri sub forma unor scenarii de răspuns activate în cadrul Platformei Naționale, pentru a păstra coerența juridică.</w:t>
            </w:r>
          </w:p>
        </w:tc>
        <w:tc>
          <w:tcPr>
            <w:tcW w:w="3685" w:type="dxa"/>
          </w:tcPr>
          <w:p w14:paraId="197EA39D" w14:textId="531F6459"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71701E8A" w14:textId="77777777" w:rsidTr="0006422A">
        <w:trPr>
          <w:trHeight w:val="315"/>
        </w:trPr>
        <w:tc>
          <w:tcPr>
            <w:tcW w:w="2163" w:type="dxa"/>
            <w:vMerge/>
            <w:tcMar>
              <w:top w:w="0" w:type="dxa"/>
              <w:left w:w="108" w:type="dxa"/>
              <w:bottom w:w="0" w:type="dxa"/>
              <w:right w:w="108" w:type="dxa"/>
            </w:tcMar>
          </w:tcPr>
          <w:p w14:paraId="046486E4"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1F977C92" w14:textId="60CEA7CD"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1192B92B" w14:textId="358C781A"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Articolul 6 din proiectul Hotărârii, care prevede că „Controlul asupra executării prezentei hotărâri se pune în sarcina Centrului Național de Management al Crizelor”, menționăm că CNMC nu exercită atribuții de control administrativ asupra ministerelor.</w:t>
            </w:r>
          </w:p>
        </w:tc>
        <w:tc>
          <w:tcPr>
            <w:tcW w:w="3685" w:type="dxa"/>
          </w:tcPr>
          <w:p w14:paraId="44D66F14" w14:textId="67101109"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16D69C98" w14:textId="77777777" w:rsidTr="0006422A">
        <w:trPr>
          <w:trHeight w:val="422"/>
        </w:trPr>
        <w:tc>
          <w:tcPr>
            <w:tcW w:w="2163" w:type="dxa"/>
            <w:vMerge/>
            <w:tcMar>
              <w:top w:w="0" w:type="dxa"/>
              <w:left w:w="108" w:type="dxa"/>
              <w:bottom w:w="0" w:type="dxa"/>
              <w:right w:w="108" w:type="dxa"/>
            </w:tcMar>
          </w:tcPr>
          <w:p w14:paraId="2F7AC667"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141A244E" w14:textId="7308410E"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49EF715E" w14:textId="45E2656D"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highlight w:val="yellow"/>
                <w:lang w:val="ro-RO"/>
              </w:rPr>
            </w:pPr>
            <w:r w:rsidRPr="007D40FD">
              <w:rPr>
                <w:rFonts w:ascii="Times New Roman" w:hAnsi="Times New Roman"/>
                <w:sz w:val="24"/>
                <w:szCs w:val="24"/>
                <w:lang w:val="ro-RO"/>
              </w:rPr>
              <w:t>La pct. 49.3.7 din Mecanism se prevede că CNMC „desfășoară procesul de gestionare a situației umanitare”. Această formulare excedează rolul de coordonare strategică prevăzut de Legea nr. 248/2025. Se recomandă reformularea în sensul „coordonează gestionarea” sau „asigură cadrul de coordonare a gestionării situației umanitare”.</w:t>
            </w:r>
          </w:p>
        </w:tc>
        <w:tc>
          <w:tcPr>
            <w:tcW w:w="3685" w:type="dxa"/>
          </w:tcPr>
          <w:p w14:paraId="01DD035C" w14:textId="074E264A"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19F41BF8" w14:textId="77777777" w:rsidTr="0006422A">
        <w:trPr>
          <w:trHeight w:val="1440"/>
        </w:trPr>
        <w:tc>
          <w:tcPr>
            <w:tcW w:w="2163" w:type="dxa"/>
            <w:vMerge/>
            <w:tcMar>
              <w:top w:w="0" w:type="dxa"/>
              <w:left w:w="108" w:type="dxa"/>
              <w:bottom w:w="0" w:type="dxa"/>
              <w:right w:w="108" w:type="dxa"/>
            </w:tcMar>
          </w:tcPr>
          <w:p w14:paraId="4BDE9126"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347331AD" w14:textId="1EB4B145"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42458FA4" w14:textId="2C606134"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Înființarea „Celulei de Coordonare Inter-Agenție” reprezintă un paralelism instituțional față de Platforma Națională de Răspuns la Crize, deja prevăzută de lege. Pentru a asigura unitatea de comandă și control și evitarea fragmentării coordonării, recomandăm integrarea interacțiunii cu organizațiile internaționale și ONG-urile exclusiv prin Platforma Națională, conform mandatului stabilit prin legea organică.</w:t>
            </w:r>
          </w:p>
        </w:tc>
        <w:tc>
          <w:tcPr>
            <w:tcW w:w="3685" w:type="dxa"/>
          </w:tcPr>
          <w:p w14:paraId="01A45F99" w14:textId="4255DC68"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262F8399" w14:textId="77777777" w:rsidTr="0006422A">
        <w:trPr>
          <w:trHeight w:val="1440"/>
        </w:trPr>
        <w:tc>
          <w:tcPr>
            <w:tcW w:w="2163" w:type="dxa"/>
            <w:vMerge/>
            <w:tcMar>
              <w:top w:w="0" w:type="dxa"/>
              <w:left w:w="108" w:type="dxa"/>
              <w:bottom w:w="0" w:type="dxa"/>
              <w:right w:w="108" w:type="dxa"/>
            </w:tcMar>
          </w:tcPr>
          <w:p w14:paraId="240FD2B3"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E12F30C" w14:textId="15016F39"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0802DAEB" w14:textId="63070FEA"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Anexele Mecanismului prevăd acțiuni concrete în sarcina organizațiilor internaționale și a organizațiilor neguvernamentale. Actele normative guvernamentale nu pot institui obligații juridice directe în sarcina entităților externe sistemului administrației publice, în lipsa unui temei contractual sau a unor acorduri internaționale. Se impune precizarea caracterului voluntar și partenerial al implicării acestora.</w:t>
            </w:r>
          </w:p>
        </w:tc>
        <w:tc>
          <w:tcPr>
            <w:tcW w:w="3685" w:type="dxa"/>
          </w:tcPr>
          <w:p w14:paraId="70952EC1" w14:textId="483086CC"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29E03D80" w14:textId="77777777" w:rsidTr="0006422A">
        <w:trPr>
          <w:trHeight w:val="737"/>
        </w:trPr>
        <w:tc>
          <w:tcPr>
            <w:tcW w:w="2163" w:type="dxa"/>
            <w:vMerge/>
            <w:tcMar>
              <w:top w:w="0" w:type="dxa"/>
              <w:left w:w="108" w:type="dxa"/>
              <w:bottom w:w="0" w:type="dxa"/>
              <w:right w:w="108" w:type="dxa"/>
            </w:tcMar>
          </w:tcPr>
          <w:p w14:paraId="32D5DE88"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51C6E883" w14:textId="7314984C"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56D2D303" w14:textId="4B627C74"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Articolul 3 din proiectul Hotărârii instituie obligația autorităților publice de a prezenta CNMC evaluarea capacităților și riscurilor, este necesară corelarea acestei prevederi cu mecanismele deja existente de raportare în cadrul sistemului național de management al crizelor, pentru a evita dublarea procedurilor.</w:t>
            </w:r>
          </w:p>
        </w:tc>
        <w:tc>
          <w:tcPr>
            <w:tcW w:w="3685" w:type="dxa"/>
          </w:tcPr>
          <w:p w14:paraId="5F526F5B" w14:textId="239292AB"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 parțial.</w:t>
            </w:r>
          </w:p>
          <w:p w14:paraId="70F609BB" w14:textId="117448BC" w:rsidR="008F5BA1" w:rsidRPr="007D40FD" w:rsidRDefault="008F5BA1" w:rsidP="008F33A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Se modifica după următorul conținut: „3.</w:t>
            </w:r>
            <w:r w:rsidRPr="007D40FD">
              <w:rPr>
                <w:rFonts w:ascii="Times New Roman" w:hAnsi="Times New Roman"/>
                <w:sz w:val="24"/>
                <w:szCs w:val="24"/>
                <w:lang w:val="ro-RO"/>
              </w:rPr>
              <w:tab/>
              <w:t xml:space="preserve">Fiecare autoritate și instituție publică, conform domeniilor de competență, va evalua în termen de 1 lună de la intrarea în vigoare a prezentei hotărâri, capacitățile de oferire a suportului tehnic, spațiile de cazare, </w:t>
            </w:r>
            <w:r w:rsidRPr="007D40FD">
              <w:rPr>
                <w:rFonts w:ascii="Times New Roman" w:hAnsi="Times New Roman"/>
                <w:sz w:val="24"/>
                <w:szCs w:val="24"/>
                <w:lang w:val="ro-RO"/>
              </w:rPr>
              <w:lastRenderedPageBreak/>
              <w:t>terenurile, produsele alimentare, medicamentele etc. și va prezenta Centrului Național de Management al Crizelor, prin intermediul mecanismelor instituționale existente de raportare în cadrul sistemului național de management al crizelor, informația referitoare la evaluarea capacităților și riscurilor la nivel național în eventualitatea apariției unei crize în cazul unui aflux sporit de străini.”.</w:t>
            </w:r>
          </w:p>
        </w:tc>
      </w:tr>
      <w:tr w:rsidR="008F5BA1" w:rsidRPr="007D40FD" w14:paraId="02860E26" w14:textId="77777777" w:rsidTr="0006422A">
        <w:trPr>
          <w:trHeight w:val="560"/>
        </w:trPr>
        <w:tc>
          <w:tcPr>
            <w:tcW w:w="2163" w:type="dxa"/>
            <w:vMerge/>
            <w:tcMar>
              <w:top w:w="0" w:type="dxa"/>
              <w:left w:w="108" w:type="dxa"/>
              <w:bottom w:w="0" w:type="dxa"/>
              <w:right w:w="108" w:type="dxa"/>
            </w:tcMar>
          </w:tcPr>
          <w:p w14:paraId="55039E71"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6E22BF9" w14:textId="78239D75"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2DBD978C" w14:textId="0C511EA9"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highlight w:val="yellow"/>
                <w:lang w:val="ro-RO"/>
              </w:rPr>
            </w:pPr>
            <w:r w:rsidRPr="007D40FD">
              <w:rPr>
                <w:rFonts w:ascii="Times New Roman" w:hAnsi="Times New Roman"/>
                <w:sz w:val="24"/>
                <w:szCs w:val="24"/>
                <w:lang w:val="ro-RO"/>
              </w:rPr>
              <w:t>Încetarea aplicării Mecanismului, Capitolul VI trebuie corelat cu procedura formală de constatare și încetare a situației de criză prevăzută de Legea nr. 248/2025, pentru a evita instituirea unui mecanism paralel de încetare prin simplă constatare interinstituțională.</w:t>
            </w:r>
          </w:p>
        </w:tc>
        <w:tc>
          <w:tcPr>
            <w:tcW w:w="3685" w:type="dxa"/>
          </w:tcPr>
          <w:p w14:paraId="5D6B9027" w14:textId="6844C0E9"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183A946C" w14:textId="77777777" w:rsidTr="0006422A">
        <w:trPr>
          <w:trHeight w:val="430"/>
        </w:trPr>
        <w:tc>
          <w:tcPr>
            <w:tcW w:w="2163" w:type="dxa"/>
            <w:vMerge/>
            <w:tcMar>
              <w:top w:w="0" w:type="dxa"/>
              <w:left w:w="108" w:type="dxa"/>
              <w:bottom w:w="0" w:type="dxa"/>
              <w:right w:w="108" w:type="dxa"/>
            </w:tcMar>
          </w:tcPr>
          <w:p w14:paraId="2FC84F2B"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3291E117" w14:textId="095C8978"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9072" w:type="dxa"/>
          </w:tcPr>
          <w:p w14:paraId="2174F93D" w14:textId="5064238A"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Având în vedere amploarea scenariilor descrise, inclusiv ipoteza unui aflux de până la 1.500.000 persoane într-un interval de 60–90 zile, se recomandă fundamentarea suplimentară a impactului bugetar și a sustenabilității financiare a măsurilor propuse.</w:t>
            </w:r>
          </w:p>
        </w:tc>
        <w:tc>
          <w:tcPr>
            <w:tcW w:w="3685" w:type="dxa"/>
          </w:tcPr>
          <w:p w14:paraId="1F8A5062" w14:textId="76236E7C"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643A47AB" w14:textId="77777777" w:rsidTr="0006422A">
        <w:trPr>
          <w:trHeight w:val="70"/>
        </w:trPr>
        <w:tc>
          <w:tcPr>
            <w:tcW w:w="2163" w:type="dxa"/>
            <w:vMerge w:val="restart"/>
            <w:tcMar>
              <w:top w:w="0" w:type="dxa"/>
              <w:left w:w="108" w:type="dxa"/>
              <w:bottom w:w="0" w:type="dxa"/>
              <w:right w:w="108" w:type="dxa"/>
            </w:tcMar>
          </w:tcPr>
          <w:p w14:paraId="029A9074" w14:textId="21DD301A"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Cancelaria de Stat (aviz nr. 21/1-69-2326 din 2 martie 2026)</w:t>
            </w:r>
          </w:p>
        </w:tc>
        <w:tc>
          <w:tcPr>
            <w:tcW w:w="531" w:type="dxa"/>
            <w:vMerge w:val="restart"/>
            <w:tcMar>
              <w:top w:w="0" w:type="dxa"/>
              <w:left w:w="108" w:type="dxa"/>
              <w:bottom w:w="0" w:type="dxa"/>
              <w:right w:w="108" w:type="dxa"/>
            </w:tcMar>
          </w:tcPr>
          <w:p w14:paraId="7EA4628A" w14:textId="63E1F4E2"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4</w:t>
            </w:r>
          </w:p>
        </w:tc>
        <w:tc>
          <w:tcPr>
            <w:tcW w:w="9072" w:type="dxa"/>
          </w:tcPr>
          <w:p w14:paraId="395C9292" w14:textId="3BF59AC1" w:rsidR="008F5BA1" w:rsidRPr="007D40FD" w:rsidRDefault="008F5BA1" w:rsidP="008002B3">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 xml:space="preserve">În temeiul prevederilor pct. 221 din Hotărârea Guvernului nr. 610/2018 pentru aprobarea Regulamentului Guvernului, Cancelaria de Stat a examinat proiectul de hotărâre </w:t>
            </w:r>
            <w:r w:rsidRPr="007D40FD">
              <w:rPr>
                <w:rFonts w:ascii="Times New Roman" w:hAnsi="Times New Roman"/>
                <w:i/>
                <w:iCs/>
                <w:color w:val="000000" w:themeColor="text1"/>
                <w:sz w:val="24"/>
                <w:szCs w:val="24"/>
                <w:lang w:val="ro-RO"/>
              </w:rPr>
              <w:t xml:space="preserve">cu privire la aprobarea Mecanismului național de gestionare unitară și coerentă a situației în cazul unui aflux sporit de străini (în continuare – Mecanism), (număr unic 110/MAI/2026) </w:t>
            </w:r>
            <w:r w:rsidRPr="007D40FD">
              <w:rPr>
                <w:rFonts w:ascii="Times New Roman" w:hAnsi="Times New Roman"/>
                <w:color w:val="000000" w:themeColor="text1"/>
                <w:sz w:val="24"/>
                <w:szCs w:val="24"/>
                <w:lang w:val="ro-RO"/>
              </w:rPr>
              <w:t>transmis spre avizare și, în conformitate cu competențele funcționale, comunică susținerea acestuia în condițiile următoarelor obiecții:</w:t>
            </w:r>
          </w:p>
          <w:p w14:paraId="45E5F006" w14:textId="77777777" w:rsidR="008F5BA1" w:rsidRPr="007D40FD" w:rsidRDefault="008F5BA1" w:rsidP="008002B3">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Mecanismul național de gestionare unitară și coerentă a situației în cazul unui aflux sporit de străini reprezintă un instrument operațional esențial pentru răspunsul imediat și coordonat la situații de criză generate de migrație masivă, în conformitate cu Legea nr. 248/2025 privind managementul situațiilor de criză. Acesta acoperă fazele de prevenire, pregătire, răspuns și recuperare, asigurând protecția drepturilor fundamentale și menținerea stabilității naționale.</w:t>
            </w:r>
          </w:p>
          <w:p w14:paraId="2135EED2" w14:textId="77777777" w:rsidR="008F5BA1" w:rsidRPr="007D40FD" w:rsidRDefault="008F5BA1" w:rsidP="008002B3">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 xml:space="preserve">În același timp, Programul național privind integrarea etapizată a străinilor, inclusiv a persoanelor strămutate în Republica Moldova, pentru perioada 2025-2027 (aprobat prin Hotărârea Guvernului nr. 285/2025) oferă cadrul strategic pe termen mediu pentru incluziunea socială, economică, educațională și culturală a străinilor, inclusiv a celor aflați sub protecție temporară. Experiența crizei generate de conflictul din Ucraina demonstrează că un aflux sporit de străini, inițial gestionat ca urgență, evoluează rapid spre nevoi de </w:t>
            </w:r>
            <w:r w:rsidRPr="007D40FD">
              <w:rPr>
                <w:rFonts w:ascii="Times New Roman" w:hAnsi="Times New Roman"/>
                <w:color w:val="000000" w:themeColor="text1"/>
                <w:sz w:val="24"/>
                <w:szCs w:val="24"/>
                <w:lang w:val="ro-RO"/>
              </w:rPr>
              <w:lastRenderedPageBreak/>
              <w:t>integrare sustenabilă pe termen lung, ceea ce face indispensabilă crearea unei punți clare între cele două documente.</w:t>
            </w:r>
          </w:p>
          <w:p w14:paraId="5ED2A010" w14:textId="77777777" w:rsidR="008F5BA1" w:rsidRPr="007D40FD" w:rsidRDefault="008F5BA1" w:rsidP="008002B3">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Fără o legătură explicită și operațională între Mecanismul de criză și Programul de integrare, există riscul discontinuității: măsurile de urgență riscă să nu faciliteze tranziția către incluziune durabilă, generând marginalizare sau ineficiențe instituționale. De aceea, propunerile de completare a Mecanismului național vizează tocmai armonizarea celor două cadre, prin integrarea principiilor și obiectivelor de integrare în fazele cheie ale răspunsului (în special pregătire și recuperare), respectând atât caracterul excepțional și potențial ipotetic al activării Mecanismului, cât și validitatea Programului în perioada 2025-2027 (perioadă de vârf a implementării și tranziție către politici ulterioare, cum ar fi Programul național privind migrația și azilul 2026-2030, aprobat prin Hotărârea Guvernului nr. 666/2025).</w:t>
            </w:r>
          </w:p>
          <w:p w14:paraId="1A8CC6D5" w14:textId="51536F29" w:rsidR="008F5BA1" w:rsidRPr="007D40FD" w:rsidRDefault="008F5BA1" w:rsidP="008002B3">
            <w:pPr>
              <w:pBdr>
                <w:top w:val="none" w:sz="4" w:space="0" w:color="000000"/>
                <w:left w:val="none" w:sz="4" w:space="0" w:color="000000"/>
                <w:bottom w:val="none" w:sz="4" w:space="0" w:color="000000"/>
                <w:right w:val="none" w:sz="4" w:space="0" w:color="000000"/>
              </w:pBdr>
              <w:ind w:firstLine="0"/>
              <w:rPr>
                <w:rFonts w:ascii="Times New Roman" w:hAnsi="Times New Roman"/>
                <w:color w:val="000000" w:themeColor="text1"/>
                <w:sz w:val="24"/>
                <w:szCs w:val="24"/>
                <w:lang w:val="ro-RO"/>
              </w:rPr>
            </w:pPr>
            <w:r w:rsidRPr="007D40FD">
              <w:rPr>
                <w:rFonts w:ascii="Times New Roman" w:hAnsi="Times New Roman"/>
                <w:color w:val="000000" w:themeColor="text1"/>
                <w:sz w:val="24"/>
                <w:szCs w:val="24"/>
                <w:lang w:val="ro-RO"/>
              </w:rPr>
              <w:t>În acest context, se propun următoarele completări:</w:t>
            </w:r>
          </w:p>
          <w:p w14:paraId="6B5FBA3F" w14:textId="0CD54FD0" w:rsidR="008F5BA1" w:rsidRPr="007D40FD" w:rsidRDefault="008F5BA1" w:rsidP="008002B3">
            <w:pPr>
              <w:pBdr>
                <w:top w:val="none" w:sz="4" w:space="0" w:color="000000"/>
                <w:left w:val="none" w:sz="4" w:space="0" w:color="000000"/>
                <w:bottom w:val="none" w:sz="4" w:space="0" w:color="000000"/>
                <w:right w:val="none" w:sz="4" w:space="0" w:color="000000"/>
              </w:pBdr>
              <w:ind w:firstLine="0"/>
              <w:rPr>
                <w:color w:val="000000" w:themeColor="text1"/>
                <w:sz w:val="23"/>
                <w:szCs w:val="23"/>
                <w:lang w:val="ro-RO"/>
              </w:rPr>
            </w:pPr>
            <w:r w:rsidRPr="007D40FD">
              <w:rPr>
                <w:color w:val="000000" w:themeColor="text1"/>
                <w:sz w:val="23"/>
                <w:szCs w:val="23"/>
                <w:lang w:val="ro-RO"/>
              </w:rPr>
              <w:t xml:space="preserve"> </w:t>
            </w:r>
          </w:p>
          <w:p w14:paraId="03655561" w14:textId="2F6FB42C" w:rsidR="008F5BA1" w:rsidRPr="007D40FD" w:rsidRDefault="008F5BA1" w:rsidP="008002B3">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lang w:val="ro-RO"/>
              </w:rPr>
            </w:pPr>
            <w:r w:rsidRPr="007D40FD">
              <w:rPr>
                <w:color w:val="000000" w:themeColor="text1"/>
                <w:sz w:val="23"/>
                <w:szCs w:val="23"/>
                <w:lang w:val="ro-RO"/>
              </w:rPr>
              <w:t xml:space="preserve"> </w:t>
            </w:r>
            <w:r w:rsidRPr="007D40FD">
              <w:rPr>
                <w:rFonts w:ascii="Times New Roman" w:hAnsi="Times New Roman"/>
                <w:bCs/>
                <w:color w:val="000000" w:themeColor="text1"/>
                <w:sz w:val="24"/>
                <w:szCs w:val="24"/>
                <w:lang w:val="ro-RO"/>
              </w:rPr>
              <w:t>La Capitolul I, pct. 3 „Scopul Mecanismului național”, se propune completarea frazei finale cu următoarea formulare: „…și să asigure tranziția către măsurile de integrare sustenabilă prevăzute în Programul național privind integrarea etapizată a străinilor în Republica Moldova pentru perioada 2025-2027, aprobat prin Hotărârea Guvernului nr. 285/2025.”</w:t>
            </w:r>
          </w:p>
        </w:tc>
        <w:tc>
          <w:tcPr>
            <w:tcW w:w="3685" w:type="dxa"/>
          </w:tcPr>
          <w:p w14:paraId="04786231" w14:textId="5EB0FC0C"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color w:val="000000" w:themeColor="text1"/>
                <w:sz w:val="24"/>
                <w:szCs w:val="24"/>
                <w:lang w:val="ro-RO"/>
              </w:rPr>
            </w:pPr>
            <w:r w:rsidRPr="007D40FD">
              <w:rPr>
                <w:rFonts w:ascii="Times New Roman" w:hAnsi="Times New Roman"/>
                <w:b/>
                <w:bCs/>
                <w:color w:val="000000" w:themeColor="text1"/>
                <w:sz w:val="24"/>
                <w:szCs w:val="24"/>
                <w:lang w:val="ro-RO"/>
              </w:rPr>
              <w:lastRenderedPageBreak/>
              <w:t xml:space="preserve">S-a luat act. </w:t>
            </w:r>
          </w:p>
          <w:p w14:paraId="6BC687A0" w14:textId="46C22F6D"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22A244FD" w14:textId="463D4FF6"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39317718" w14:textId="39B2AEAF"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16E436AF" w14:textId="4C129983"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00980A70" w14:textId="63D527FA"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036B91FE" w14:textId="50CC78FE"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4F4A7932" w14:textId="77185398"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7B4BE5A7" w14:textId="29B62630"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4BE3D647" w14:textId="7EA04FA2"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671C04FE" w14:textId="38F869F4"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2D057BC6" w14:textId="466A355E"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738E3A33" w14:textId="028BFFCD"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4FE10B6D" w14:textId="07803809"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5CF256CF" w14:textId="57F91D1D"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0ADEBA2E" w14:textId="1D99259E"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1744ED00" w14:textId="4A44E13B"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4F81722B" w14:textId="3405BE61"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5B655226" w14:textId="590D5D83"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70C93F08" w14:textId="77777777"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043BAD26" w14:textId="006E415B"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20CDFC87" w14:textId="195D90ED"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358D96D3" w14:textId="13DFD9C2"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0DB1B302" w14:textId="752D0ACC"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5C04215A" w14:textId="2580739B"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4BDFC917" w14:textId="633251A4"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1C72FC10" w14:textId="023CB27B"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6D97C2CA" w14:textId="7218C2BB"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3AF380BC" w14:textId="2A9E8F6E"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1FF12E5A" w14:textId="77777777"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color w:val="000000" w:themeColor="text1"/>
                <w:sz w:val="24"/>
                <w:szCs w:val="24"/>
                <w:lang w:val="ro-RO"/>
              </w:rPr>
            </w:pPr>
          </w:p>
          <w:p w14:paraId="61891D6A" w14:textId="735F7E9D"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Cs/>
                <w:color w:val="000000" w:themeColor="text1"/>
                <w:sz w:val="24"/>
                <w:szCs w:val="24"/>
                <w:lang w:val="ro-RO"/>
              </w:rPr>
            </w:pPr>
            <w:r w:rsidRPr="007D40FD">
              <w:rPr>
                <w:rFonts w:ascii="Times New Roman" w:hAnsi="Times New Roman"/>
                <w:b/>
                <w:bCs/>
                <w:color w:val="000000" w:themeColor="text1"/>
                <w:sz w:val="24"/>
                <w:szCs w:val="24"/>
                <w:lang w:val="ro-RO"/>
              </w:rPr>
              <w:t>Se acceptă.</w:t>
            </w:r>
            <w:r w:rsidRPr="007D40FD">
              <w:rPr>
                <w:rFonts w:ascii="Times New Roman" w:hAnsi="Times New Roman"/>
                <w:color w:val="000000" w:themeColor="text1"/>
                <w:sz w:val="24"/>
                <w:szCs w:val="24"/>
                <w:lang w:val="ro-RO"/>
              </w:rPr>
              <w:t xml:space="preserve"> Pct. 3 va avea următorul cuprins: Scopul prezentului Mecanism național este de a reglementa planiﬁcarea, organizarea, coordonarea, monitorizarea și conducerea unitară a modului de acțiune a instituțiilor abilitate în gestionarea crizei generate de aﬂuxul sporit de străini și să asigure tranziția către măsurile de integrare sustenabilă prevăzute în Programul național privind integrarea etapizată a străinilor în Republica Moldova pentru perioada 2025-2027, aprobat prin Hotărârea Guvernului nr. 285/2025.</w:t>
            </w:r>
          </w:p>
        </w:tc>
      </w:tr>
      <w:tr w:rsidR="008F5BA1" w:rsidRPr="007D40FD" w14:paraId="42FF725B" w14:textId="77777777" w:rsidTr="0006422A">
        <w:trPr>
          <w:trHeight w:val="669"/>
        </w:trPr>
        <w:tc>
          <w:tcPr>
            <w:tcW w:w="2163" w:type="dxa"/>
            <w:vMerge/>
            <w:tcMar>
              <w:top w:w="0" w:type="dxa"/>
              <w:left w:w="108" w:type="dxa"/>
              <w:bottom w:w="0" w:type="dxa"/>
              <w:right w:w="108" w:type="dxa"/>
            </w:tcMar>
          </w:tcPr>
          <w:p w14:paraId="7CE4C957"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p>
        </w:tc>
        <w:tc>
          <w:tcPr>
            <w:tcW w:w="531" w:type="dxa"/>
            <w:vMerge/>
            <w:tcMar>
              <w:top w:w="0" w:type="dxa"/>
              <w:left w:w="108" w:type="dxa"/>
              <w:bottom w:w="0" w:type="dxa"/>
              <w:right w:w="108" w:type="dxa"/>
            </w:tcMar>
          </w:tcPr>
          <w:p w14:paraId="700D12DA" w14:textId="6E7C6FB8"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409925F6" w14:textId="531706B0"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La Capitolul I, după pct. 7 „Obiectivele principale”, se propune adăugarea unui nou obiectiv: „7.5. la nivel de integrare – crearea condițiilor pentru trecerea de la protecție temporară de urgență la integrare socială, economică și culturală pe termen mediu și lung, conform Programului național 2025-2027.”</w:t>
            </w:r>
          </w:p>
        </w:tc>
        <w:tc>
          <w:tcPr>
            <w:tcW w:w="3685" w:type="dxa"/>
          </w:tcPr>
          <w:p w14:paraId="4E523671" w14:textId="505188F3" w:rsidR="008F5BA1" w:rsidRPr="007D40FD" w:rsidRDefault="008F5BA1" w:rsidP="0084395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b/>
                <w:bCs/>
                <w:color w:val="000000" w:themeColor="text1"/>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20E3436F" w14:textId="77777777" w:rsidTr="0006422A">
        <w:trPr>
          <w:trHeight w:val="70"/>
        </w:trPr>
        <w:tc>
          <w:tcPr>
            <w:tcW w:w="2163" w:type="dxa"/>
            <w:vMerge/>
            <w:tcMar>
              <w:top w:w="0" w:type="dxa"/>
              <w:left w:w="108" w:type="dxa"/>
              <w:bottom w:w="0" w:type="dxa"/>
              <w:right w:w="108" w:type="dxa"/>
            </w:tcMar>
          </w:tcPr>
          <w:p w14:paraId="1219C50E"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p>
        </w:tc>
        <w:tc>
          <w:tcPr>
            <w:tcW w:w="531" w:type="dxa"/>
            <w:vMerge/>
            <w:tcMar>
              <w:top w:w="0" w:type="dxa"/>
              <w:left w:w="108" w:type="dxa"/>
              <w:bottom w:w="0" w:type="dxa"/>
              <w:right w:w="108" w:type="dxa"/>
            </w:tcMar>
          </w:tcPr>
          <w:p w14:paraId="01A96C8D" w14:textId="36D6DC15"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5BB6151E" w14:textId="7287E6EF"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 xml:space="preserve">La Capitolul I, pct. 8 „Principiile”, se propune adăugarea unui nou principiu (după principiul comunicării publice și strategice): „principiul continuității și sustenabilității – măsurile de </w:t>
            </w:r>
            <w:r w:rsidRPr="007D40FD">
              <w:rPr>
                <w:rFonts w:ascii="Times New Roman" w:hAnsi="Times New Roman"/>
                <w:bCs/>
                <w:sz w:val="24"/>
                <w:szCs w:val="24"/>
                <w:lang w:val="ro-RO"/>
              </w:rPr>
              <w:lastRenderedPageBreak/>
              <w:t>răspuns la criză trebuie să faciliteze integrarea treptată și durabilă a străinilor, evitând marginalizarea și excluziunea socială pe termen lung.”</w:t>
            </w:r>
          </w:p>
        </w:tc>
        <w:tc>
          <w:tcPr>
            <w:tcW w:w="3685" w:type="dxa"/>
          </w:tcPr>
          <w:p w14:paraId="73550D11" w14:textId="2E9AAFE5"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lastRenderedPageBreak/>
              <w:t xml:space="preserve">Se acceptă. </w:t>
            </w:r>
            <w:r w:rsidRPr="007D40FD">
              <w:rPr>
                <w:rFonts w:ascii="Times New Roman" w:hAnsi="Times New Roman"/>
                <w:color w:val="000000" w:themeColor="text1"/>
                <w:sz w:val="24"/>
                <w:szCs w:val="24"/>
                <w:lang w:val="ro-RO"/>
              </w:rPr>
              <w:t>Modificările au fost operate.</w:t>
            </w:r>
          </w:p>
        </w:tc>
      </w:tr>
      <w:tr w:rsidR="008F5BA1" w:rsidRPr="007D40FD" w14:paraId="374EB1D3" w14:textId="77777777" w:rsidTr="0006422A">
        <w:trPr>
          <w:trHeight w:val="70"/>
        </w:trPr>
        <w:tc>
          <w:tcPr>
            <w:tcW w:w="2163" w:type="dxa"/>
            <w:vMerge/>
            <w:tcMar>
              <w:top w:w="0" w:type="dxa"/>
              <w:left w:w="108" w:type="dxa"/>
              <w:bottom w:w="0" w:type="dxa"/>
              <w:right w:w="108" w:type="dxa"/>
            </w:tcMar>
          </w:tcPr>
          <w:p w14:paraId="7BCFC23E"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p>
        </w:tc>
        <w:tc>
          <w:tcPr>
            <w:tcW w:w="531" w:type="dxa"/>
            <w:vMerge/>
            <w:tcMar>
              <w:top w:w="0" w:type="dxa"/>
              <w:left w:w="108" w:type="dxa"/>
              <w:bottom w:w="0" w:type="dxa"/>
              <w:right w:w="108" w:type="dxa"/>
            </w:tcMar>
          </w:tcPr>
          <w:p w14:paraId="6C5BBAAF" w14:textId="6BC5DD61"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1615B6A6" w14:textId="300D1BAC"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La Capitolul II, Secțiunea 2, pct. 16–20 „Modelul de răspuns etapizat”, se recomandă completarea pct. 17 cu următoarea propoziție: „În fazele de răspuns și recuperare se asigură integrarea timpurie a măsurilor prevăzute în Obiectivele specifice nr. 4 (sănătate), nr. 5 (educație) și nr. 7 (locuințe) din Programul național 2025-2027.”</w:t>
            </w:r>
          </w:p>
        </w:tc>
        <w:tc>
          <w:tcPr>
            <w:tcW w:w="3685" w:type="dxa"/>
          </w:tcPr>
          <w:p w14:paraId="5A0CC782" w14:textId="5C07DA70" w:rsidR="008F5BA1" w:rsidRPr="007D40FD" w:rsidRDefault="008F5BA1" w:rsidP="00F0335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b/>
                <w:bCs/>
                <w:color w:val="000000" w:themeColor="text1"/>
                <w:sz w:val="24"/>
                <w:szCs w:val="24"/>
                <w:lang w:val="ro-RO"/>
              </w:rPr>
              <w:t>Se acceptă.</w:t>
            </w:r>
            <w:r w:rsidRPr="007D40FD">
              <w:rPr>
                <w:rFonts w:ascii="Times New Roman" w:hAnsi="Times New Roman"/>
                <w:color w:val="000000" w:themeColor="text1"/>
                <w:sz w:val="24"/>
                <w:szCs w:val="24"/>
                <w:lang w:val="ro-RO"/>
              </w:rPr>
              <w:t xml:space="preserve"> Pct. 17 va avea următorul cuprins: Intervenția autorităților și instituțiilor publice competente se desfășoară gradual, coordonat și proporțional în vederea asigurării unui răspuns eficient, conform Modelului de răspuns etapizat la criză generată de afluxul sporit străini, prevăzut la anexa nr. 2 la prezentul Mecanism național. În fazele de răspuns și recuperare se asigură integrarea timpurie a măsurilor prevăzute în Obiectivele specifice nr. 4 (sănătate), nr. 5 (educație) și nr. 7 (locuințe) din Programul național 2025-2027.</w:t>
            </w:r>
          </w:p>
        </w:tc>
      </w:tr>
      <w:tr w:rsidR="008F5BA1" w:rsidRPr="007D40FD" w14:paraId="393BCAFF" w14:textId="77777777" w:rsidTr="0006422A">
        <w:trPr>
          <w:trHeight w:val="70"/>
        </w:trPr>
        <w:tc>
          <w:tcPr>
            <w:tcW w:w="2163" w:type="dxa"/>
            <w:vMerge/>
            <w:tcMar>
              <w:top w:w="0" w:type="dxa"/>
              <w:left w:w="108" w:type="dxa"/>
              <w:bottom w:w="0" w:type="dxa"/>
              <w:right w:w="108" w:type="dxa"/>
            </w:tcMar>
          </w:tcPr>
          <w:p w14:paraId="140B657A"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p>
        </w:tc>
        <w:tc>
          <w:tcPr>
            <w:tcW w:w="531" w:type="dxa"/>
            <w:vMerge/>
            <w:tcMar>
              <w:top w:w="0" w:type="dxa"/>
              <w:left w:w="108" w:type="dxa"/>
              <w:bottom w:w="0" w:type="dxa"/>
              <w:right w:w="108" w:type="dxa"/>
            </w:tcMar>
          </w:tcPr>
          <w:p w14:paraId="1440B27E" w14:textId="20CAC495"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110C55F5" w14:textId="05BB1694" w:rsidR="008F5BA1" w:rsidRPr="007D40FD" w:rsidRDefault="008F5BA1" w:rsidP="005C5D7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Anexă generală „Plan de contingență” / „Schema de răspuns”, se propune includerea unei referințe obligatorii: „Planul de contingență și Schema de răspuns vor fi armonizate periodic cu acțiunile și bugetul Programului național 2025-2027, pentru asigurarea coerenței dintre faza de criză și cea de integrare post-criză.”</w:t>
            </w:r>
          </w:p>
        </w:tc>
        <w:tc>
          <w:tcPr>
            <w:tcW w:w="3685" w:type="dxa"/>
          </w:tcPr>
          <w:p w14:paraId="214A44BD" w14:textId="2324D772"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0FC3D03B" w14:textId="77777777" w:rsidTr="0006422A">
        <w:trPr>
          <w:trHeight w:val="70"/>
        </w:trPr>
        <w:tc>
          <w:tcPr>
            <w:tcW w:w="2163" w:type="dxa"/>
            <w:vMerge w:val="restart"/>
            <w:tcMar>
              <w:top w:w="0" w:type="dxa"/>
              <w:left w:w="108" w:type="dxa"/>
              <w:bottom w:w="0" w:type="dxa"/>
              <w:right w:w="108" w:type="dxa"/>
            </w:tcMar>
          </w:tcPr>
          <w:p w14:paraId="653BB577" w14:textId="0192E290"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Ministerul Apărării (aviz nr. 11/318 din 2 martie 2026)</w:t>
            </w:r>
          </w:p>
        </w:tc>
        <w:tc>
          <w:tcPr>
            <w:tcW w:w="531" w:type="dxa"/>
            <w:vMerge w:val="restart"/>
            <w:tcMar>
              <w:top w:w="0" w:type="dxa"/>
              <w:left w:w="108" w:type="dxa"/>
              <w:bottom w:w="0" w:type="dxa"/>
              <w:right w:w="108" w:type="dxa"/>
            </w:tcMar>
          </w:tcPr>
          <w:p w14:paraId="3EAD7790" w14:textId="28157E14"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5</w:t>
            </w:r>
          </w:p>
        </w:tc>
        <w:tc>
          <w:tcPr>
            <w:tcW w:w="9072" w:type="dxa"/>
          </w:tcPr>
          <w:p w14:paraId="5E3E6748" w14:textId="78744455" w:rsidR="008F5BA1" w:rsidRPr="007D40FD" w:rsidRDefault="008F5BA1" w:rsidP="008B0110">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lang w:val="ro-RO"/>
              </w:rPr>
            </w:pPr>
            <w:r w:rsidRPr="007D40FD">
              <w:rPr>
                <w:rFonts w:ascii="Times New Roman" w:hAnsi="Times New Roman"/>
                <w:bCs/>
                <w:color w:val="000000" w:themeColor="text1"/>
                <w:sz w:val="24"/>
                <w:szCs w:val="24"/>
                <w:lang w:val="ro-RO"/>
              </w:rPr>
              <w:t>Ministerul Apărării a examinat proiectul de hotărâre de Guvern cu privire la aprobarea Mecanismului național de gestionare unitară și coerentă a situației în cazul unui aflux sporit de străini (număr unic 110/MAI/2026) și, în limita competenței funcționale deținute, comunică despre susținerea acestuia, cu înaintarea următoarelor propuneri.</w:t>
            </w:r>
          </w:p>
          <w:p w14:paraId="26B27347" w14:textId="7A9B189E" w:rsidR="008F5BA1" w:rsidRPr="007D40FD" w:rsidRDefault="008F5BA1" w:rsidP="008B0110">
            <w:pPr>
              <w:pBdr>
                <w:top w:val="none" w:sz="4" w:space="0" w:color="000000"/>
                <w:left w:val="none" w:sz="4" w:space="0" w:color="000000"/>
                <w:bottom w:val="none" w:sz="4" w:space="0" w:color="000000"/>
                <w:right w:val="none" w:sz="4" w:space="0" w:color="000000"/>
              </w:pBdr>
              <w:ind w:firstLine="0"/>
              <w:rPr>
                <w:rFonts w:ascii="Times New Roman" w:hAnsi="Times New Roman"/>
                <w:bCs/>
                <w:color w:val="000000" w:themeColor="text1"/>
                <w:sz w:val="24"/>
                <w:szCs w:val="24"/>
                <w:lang w:val="ro-RO"/>
              </w:rPr>
            </w:pPr>
            <w:r w:rsidRPr="007D40FD">
              <w:rPr>
                <w:rFonts w:ascii="Times New Roman" w:hAnsi="Times New Roman"/>
                <w:bCs/>
                <w:color w:val="000000" w:themeColor="text1"/>
                <w:sz w:val="24"/>
                <w:szCs w:val="24"/>
                <w:lang w:val="ro-RO"/>
              </w:rPr>
              <w:t>Având în vedere că în proiect sunt prevăzute acțiuni de asistență a refugiaților, persoanelor intern deplasate, combatanți ai părților beligerante, etc., care se bucură de protecție, conform Convențiilor de la Geneva privind protecția victimelor conflictelor armate, propunem coordonarea proiectului de hotărâre de Guvern cu Misiunea Comitetului Internațional al Crucii Roșii din Republica Moldova și cu Societatea de Cruce Roșie din Moldova, în vederea coordonării asistenței/sprijinului acordat autorităților responsabile de executarea acțiunilor.</w:t>
            </w:r>
          </w:p>
          <w:p w14:paraId="1FD0A748" w14:textId="4FEE1103" w:rsidR="008F5BA1" w:rsidRPr="007D40FD" w:rsidRDefault="008F5BA1" w:rsidP="008B0110">
            <w:pPr>
              <w:pBdr>
                <w:top w:val="none" w:sz="4" w:space="0" w:color="000000"/>
                <w:left w:val="none" w:sz="4" w:space="0" w:color="000000"/>
                <w:bottom w:val="none" w:sz="4" w:space="0" w:color="000000"/>
                <w:right w:val="none" w:sz="4" w:space="0" w:color="000000"/>
              </w:pBdr>
              <w:ind w:firstLine="0"/>
              <w:rPr>
                <w:rFonts w:ascii="Times New Roman" w:hAnsi="Times New Roman"/>
                <w:bCs/>
                <w:color w:val="FF0000"/>
                <w:sz w:val="24"/>
                <w:szCs w:val="24"/>
                <w:lang w:val="ro-RO"/>
              </w:rPr>
            </w:pPr>
            <w:r w:rsidRPr="007D40FD">
              <w:rPr>
                <w:rFonts w:ascii="Times New Roman" w:hAnsi="Times New Roman"/>
                <w:bCs/>
                <w:color w:val="000000" w:themeColor="text1"/>
                <w:sz w:val="24"/>
                <w:szCs w:val="24"/>
                <w:lang w:val="ro-RO"/>
              </w:rPr>
              <w:t xml:space="preserve">Mandatul și misiunea Comitetului Internațional al Crucii Roșii de asistență a persoanelor protejate sunt stabilite prin Convențiile de la Geneva privind protecția victimelor de război </w:t>
            </w:r>
            <w:r w:rsidRPr="007D40FD">
              <w:rPr>
                <w:rFonts w:ascii="Times New Roman" w:hAnsi="Times New Roman"/>
                <w:bCs/>
                <w:color w:val="000000" w:themeColor="text1"/>
                <w:sz w:val="24"/>
                <w:szCs w:val="24"/>
                <w:lang w:val="ro-RO"/>
              </w:rPr>
              <w:lastRenderedPageBreak/>
              <w:t>(12.08.1949). Misiunea și atribuțiile Societății de Cruce Roșie din Moldova sunt prevăzute de Legea nr. 248/2025 cu Societatea de Cruce Roșie din Moldova (art., 7, 8, 9).</w:t>
            </w:r>
          </w:p>
        </w:tc>
        <w:tc>
          <w:tcPr>
            <w:tcW w:w="3685" w:type="dxa"/>
          </w:tcPr>
          <w:p w14:paraId="22AE3213" w14:textId="7B0F89BC"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lastRenderedPageBreak/>
              <w:t>S-a luat act.</w:t>
            </w:r>
          </w:p>
        </w:tc>
      </w:tr>
      <w:tr w:rsidR="008F5BA1" w:rsidRPr="007D40FD" w14:paraId="56C0BF8A" w14:textId="77777777" w:rsidTr="0006422A">
        <w:trPr>
          <w:trHeight w:val="70"/>
        </w:trPr>
        <w:tc>
          <w:tcPr>
            <w:tcW w:w="2163" w:type="dxa"/>
            <w:vMerge/>
            <w:tcMar>
              <w:top w:w="0" w:type="dxa"/>
              <w:left w:w="108" w:type="dxa"/>
              <w:bottom w:w="0" w:type="dxa"/>
              <w:right w:w="108" w:type="dxa"/>
            </w:tcMar>
          </w:tcPr>
          <w:p w14:paraId="21B4DEE4"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p>
        </w:tc>
        <w:tc>
          <w:tcPr>
            <w:tcW w:w="531" w:type="dxa"/>
            <w:vMerge/>
            <w:tcMar>
              <w:top w:w="0" w:type="dxa"/>
              <w:left w:w="108" w:type="dxa"/>
              <w:bottom w:w="0" w:type="dxa"/>
              <w:right w:w="108" w:type="dxa"/>
            </w:tcMar>
          </w:tcPr>
          <w:p w14:paraId="32D78F8B" w14:textId="58E36E90"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12AAA29D" w14:textId="4843F35E" w:rsidR="008F5BA1" w:rsidRPr="007D40FD" w:rsidRDefault="008F5BA1" w:rsidP="00F3097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În Planul de Contingență al acțiunilor de răspuns pe sectoare de intervenție (Anexa nr. 1 la Mecanismul național de gestionare unitară și coerentă a situației în cazul unui aflux sporit de străini), literalmente textelor tratatelor internaționale privind denumirea domeniului ca, Dreptul Internațional Umanitar (DIU) propunem, corectarea contextelor din Plan, cu denumirea din „dreptul umanitar internațional”, în denumirea de „dreptul internațional umanitar”.</w:t>
            </w:r>
          </w:p>
        </w:tc>
        <w:tc>
          <w:tcPr>
            <w:tcW w:w="3685" w:type="dxa"/>
          </w:tcPr>
          <w:p w14:paraId="372D0FB7" w14:textId="2C0E4DD4"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7BCAD606" w14:textId="77777777" w:rsidTr="0006422A">
        <w:trPr>
          <w:trHeight w:val="70"/>
        </w:trPr>
        <w:tc>
          <w:tcPr>
            <w:tcW w:w="2163" w:type="dxa"/>
            <w:vMerge w:val="restart"/>
            <w:tcMar>
              <w:top w:w="0" w:type="dxa"/>
              <w:left w:w="108" w:type="dxa"/>
              <w:bottom w:w="0" w:type="dxa"/>
              <w:right w:w="108" w:type="dxa"/>
            </w:tcMar>
          </w:tcPr>
          <w:p w14:paraId="626324D4" w14:textId="366EDCA0"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Ministerul Educației și Cercetării (aviz nr. 1/47/26 din 3 martie 2026)</w:t>
            </w:r>
          </w:p>
        </w:tc>
        <w:tc>
          <w:tcPr>
            <w:tcW w:w="531" w:type="dxa"/>
            <w:vMerge w:val="restart"/>
            <w:tcMar>
              <w:top w:w="0" w:type="dxa"/>
              <w:left w:w="108" w:type="dxa"/>
              <w:bottom w:w="0" w:type="dxa"/>
              <w:right w:w="108" w:type="dxa"/>
            </w:tcMar>
          </w:tcPr>
          <w:p w14:paraId="1088D1F4" w14:textId="2A200E85"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6</w:t>
            </w:r>
          </w:p>
        </w:tc>
        <w:tc>
          <w:tcPr>
            <w:tcW w:w="9072" w:type="dxa"/>
          </w:tcPr>
          <w:p w14:paraId="6BEB378F" w14:textId="2BF16999" w:rsidR="008F5BA1" w:rsidRPr="007D40FD" w:rsidRDefault="008F5BA1" w:rsidP="00F3097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La Capitolul II, Secțiunea 2, pct. 16, după cuvântul ,,recuperare”, se propune adăugarea sintagmei ,,acțiunile și măsurile întreprinse în cadrul etapelor fiind”, mai departe după text.</w:t>
            </w:r>
          </w:p>
        </w:tc>
        <w:tc>
          <w:tcPr>
            <w:tcW w:w="3685" w:type="dxa"/>
          </w:tcPr>
          <w:p w14:paraId="39BF5273" w14:textId="52D7FD04"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6AB42FB8" w14:textId="77777777" w:rsidTr="0006422A">
        <w:trPr>
          <w:trHeight w:val="70"/>
        </w:trPr>
        <w:tc>
          <w:tcPr>
            <w:tcW w:w="2163" w:type="dxa"/>
            <w:vMerge/>
            <w:tcMar>
              <w:top w:w="0" w:type="dxa"/>
              <w:left w:w="108" w:type="dxa"/>
              <w:bottom w:w="0" w:type="dxa"/>
              <w:right w:w="108" w:type="dxa"/>
            </w:tcMar>
          </w:tcPr>
          <w:p w14:paraId="031AE5E5"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p>
        </w:tc>
        <w:tc>
          <w:tcPr>
            <w:tcW w:w="531" w:type="dxa"/>
            <w:vMerge/>
            <w:tcMar>
              <w:top w:w="0" w:type="dxa"/>
              <w:left w:w="108" w:type="dxa"/>
              <w:bottom w:w="0" w:type="dxa"/>
              <w:right w:w="108" w:type="dxa"/>
            </w:tcMar>
          </w:tcPr>
          <w:p w14:paraId="39F23285" w14:textId="20D518AB"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1B88F83B" w14:textId="5B15C2B7" w:rsidR="008F5BA1" w:rsidRPr="007D40FD" w:rsidRDefault="008F5BA1" w:rsidP="00F3097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La Anexa 1, la Planul de contingență al acțiunilor de răspuns pe sectoare de intervenție, în Tabel, la sectorul de intervenție: 8. Educație, la Domenii de interes, în coloana a 2-a, textul ,,Incluziune socială; educație preșcolară; învățământ general și universitar; învățământ la zi și la distanță; activități extrașcolare; recrearea (odihna) minorilor refugiați.” să se modifice în textul ,,Incluziune socială; învățământ preșcolar; învățământ secundar (gimnazial și liceal); învățământ profesional tehnic și învățământ superior; organizate cu frecvență sau la distanță; activități extrașcolare, recreative sau de odihnă pentru minorii refugiați.”</w:t>
            </w:r>
          </w:p>
        </w:tc>
        <w:tc>
          <w:tcPr>
            <w:tcW w:w="3685" w:type="dxa"/>
          </w:tcPr>
          <w:p w14:paraId="70A7A6BA" w14:textId="31BF02AE"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7886919D" w14:textId="77777777" w:rsidTr="0006422A">
        <w:trPr>
          <w:trHeight w:val="70"/>
        </w:trPr>
        <w:tc>
          <w:tcPr>
            <w:tcW w:w="2163" w:type="dxa"/>
            <w:vMerge w:val="restart"/>
            <w:tcMar>
              <w:top w:w="0" w:type="dxa"/>
              <w:left w:w="108" w:type="dxa"/>
              <w:bottom w:w="0" w:type="dxa"/>
              <w:right w:w="108" w:type="dxa"/>
            </w:tcMar>
          </w:tcPr>
          <w:p w14:paraId="3505B80A" w14:textId="6F07FDCE"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Ministerul Muncii și Protecției Sociale (aviz nr. 13/1095 din 3 martie 2026)</w:t>
            </w:r>
          </w:p>
        </w:tc>
        <w:tc>
          <w:tcPr>
            <w:tcW w:w="531" w:type="dxa"/>
            <w:vMerge w:val="restart"/>
            <w:tcMar>
              <w:top w:w="0" w:type="dxa"/>
              <w:left w:w="108" w:type="dxa"/>
              <w:bottom w:w="0" w:type="dxa"/>
              <w:right w:w="108" w:type="dxa"/>
            </w:tcMar>
          </w:tcPr>
          <w:p w14:paraId="3772281B" w14:textId="2AD9D936"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7</w:t>
            </w:r>
          </w:p>
        </w:tc>
        <w:tc>
          <w:tcPr>
            <w:tcW w:w="9072" w:type="dxa"/>
          </w:tcPr>
          <w:p w14:paraId="1F77F68A" w14:textId="5839CA66" w:rsidR="008F5BA1" w:rsidRPr="007D40FD" w:rsidRDefault="008F5BA1" w:rsidP="00D008EA">
            <w:pPr>
              <w:pStyle w:val="afb"/>
              <w:numPr>
                <w:ilvl w:val="0"/>
                <w:numId w:val="49"/>
              </w:numPr>
              <w:pBdr>
                <w:top w:val="none" w:sz="4" w:space="0" w:color="000000"/>
                <w:left w:val="none" w:sz="4" w:space="0" w:color="000000"/>
                <w:bottom w:val="none" w:sz="4" w:space="0" w:color="000000"/>
                <w:right w:val="none" w:sz="4" w:space="0" w:color="000000"/>
              </w:pBdr>
              <w:rPr>
                <w:rFonts w:ascii="TimesNewRomanPS-BoldMT" w:hAnsi="TimesNewRomanPS-BoldMT" w:cs="TimesNewRomanPS-BoldMT"/>
                <w:b/>
                <w:bCs/>
                <w:color w:val="000000" w:themeColor="text1"/>
                <w:sz w:val="24"/>
                <w:szCs w:val="24"/>
                <w:lang w:val="ro-RO" w:eastAsia="ru-RU"/>
              </w:rPr>
            </w:pPr>
            <w:r w:rsidRPr="007D40FD">
              <w:rPr>
                <w:rFonts w:ascii="TimesNewRomanPS-BoldMT" w:hAnsi="TimesNewRomanPS-BoldMT" w:cs="TimesNewRomanPS-BoldMT"/>
                <w:b/>
                <w:bCs/>
                <w:color w:val="000000" w:themeColor="text1"/>
                <w:sz w:val="24"/>
                <w:szCs w:val="24"/>
                <w:lang w:val="ro-RO" w:eastAsia="ru-RU"/>
              </w:rPr>
              <w:t>La nivel general:</w:t>
            </w:r>
          </w:p>
          <w:p w14:paraId="317970CC" w14:textId="6DDF6AF5" w:rsidR="008F5BA1" w:rsidRPr="007D40FD" w:rsidRDefault="008F5BA1" w:rsidP="00774898">
            <w:pPr>
              <w:pStyle w:val="afb"/>
              <w:numPr>
                <w:ilvl w:val="1"/>
                <w:numId w:val="49"/>
              </w:numPr>
              <w:pBdr>
                <w:top w:val="none" w:sz="4" w:space="0" w:color="000000"/>
                <w:left w:val="none" w:sz="4" w:space="0" w:color="000000"/>
                <w:bottom w:val="none" w:sz="4" w:space="0" w:color="000000"/>
                <w:right w:val="none" w:sz="4" w:space="0" w:color="000000"/>
              </w:pBdr>
              <w:tabs>
                <w:tab w:val="left" w:pos="459"/>
              </w:tabs>
              <w:ind w:left="0" w:firstLine="34"/>
              <w:rPr>
                <w:rFonts w:ascii="Times New Roman" w:hAnsi="Times New Roman"/>
                <w:bCs/>
                <w:sz w:val="24"/>
                <w:szCs w:val="24"/>
                <w:lang w:val="ro-RO"/>
              </w:rPr>
            </w:pPr>
            <w:r w:rsidRPr="007D40FD">
              <w:rPr>
                <w:rFonts w:ascii="Times New Roman" w:hAnsi="Times New Roman"/>
                <w:bCs/>
                <w:color w:val="000000" w:themeColor="text1"/>
                <w:sz w:val="24"/>
                <w:szCs w:val="24"/>
                <w:lang w:val="ro-RO"/>
              </w:rPr>
              <w:t>La</w:t>
            </w:r>
            <w:r w:rsidRPr="007D40FD">
              <w:rPr>
                <w:rFonts w:ascii="Times New Roman" w:hAnsi="Times New Roman"/>
                <w:bCs/>
                <w:sz w:val="24"/>
                <w:szCs w:val="24"/>
                <w:lang w:val="ro-RO"/>
              </w:rPr>
              <w:t xml:space="preserve"> elaborarea documentului se recomandă includerea prevederilor Ghidului EASO privind planificarea de contingență în contextul primirii, elaborat de către European </w:t>
            </w:r>
            <w:proofErr w:type="spellStart"/>
            <w:r w:rsidRPr="007D40FD">
              <w:rPr>
                <w:rFonts w:ascii="Times New Roman" w:hAnsi="Times New Roman"/>
                <w:bCs/>
                <w:sz w:val="24"/>
                <w:szCs w:val="24"/>
                <w:lang w:val="ro-RO"/>
              </w:rPr>
              <w:t>Asylum</w:t>
            </w:r>
            <w:proofErr w:type="spellEnd"/>
            <w:r w:rsidRPr="007D40FD">
              <w:rPr>
                <w:rFonts w:ascii="Times New Roman" w:hAnsi="Times New Roman"/>
                <w:bCs/>
                <w:sz w:val="24"/>
                <w:szCs w:val="24"/>
                <w:lang w:val="ro-RO"/>
              </w:rPr>
              <w:t xml:space="preserve"> </w:t>
            </w:r>
            <w:proofErr w:type="spellStart"/>
            <w:r w:rsidRPr="007D40FD">
              <w:rPr>
                <w:rFonts w:ascii="Times New Roman" w:hAnsi="Times New Roman"/>
                <w:bCs/>
                <w:sz w:val="24"/>
                <w:szCs w:val="24"/>
                <w:lang w:val="ro-RO"/>
              </w:rPr>
              <w:t>Support</w:t>
            </w:r>
            <w:proofErr w:type="spellEnd"/>
            <w:r w:rsidRPr="007D40FD">
              <w:rPr>
                <w:rFonts w:ascii="Times New Roman" w:hAnsi="Times New Roman"/>
                <w:bCs/>
                <w:sz w:val="24"/>
                <w:szCs w:val="24"/>
                <w:lang w:val="ro-RO"/>
              </w:rPr>
              <w:t xml:space="preserve"> Office conceput pentru a servi ca sprijin în planificarea și gestionarea detaliată a diverselor entități implicate într-o situație de aflux mare de persoane, precum și pentru a facilita acțiunile întreprinse într-un stadiu incipient împotriva unei eventuale situații grave</w:t>
            </w:r>
          </w:p>
        </w:tc>
        <w:tc>
          <w:tcPr>
            <w:tcW w:w="3685" w:type="dxa"/>
          </w:tcPr>
          <w:p w14:paraId="1AE9058C" w14:textId="11FD3A1E"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S-a luat act.</w:t>
            </w:r>
          </w:p>
        </w:tc>
      </w:tr>
      <w:tr w:rsidR="008F5BA1" w:rsidRPr="007D40FD" w14:paraId="5530F6DC" w14:textId="77777777" w:rsidTr="0006422A">
        <w:trPr>
          <w:trHeight w:val="70"/>
        </w:trPr>
        <w:tc>
          <w:tcPr>
            <w:tcW w:w="2163" w:type="dxa"/>
            <w:vMerge/>
            <w:tcMar>
              <w:top w:w="0" w:type="dxa"/>
              <w:left w:w="108" w:type="dxa"/>
              <w:bottom w:w="0" w:type="dxa"/>
              <w:right w:w="108" w:type="dxa"/>
            </w:tcMar>
          </w:tcPr>
          <w:p w14:paraId="22E862D2"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4823D6EC"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21F90443" w14:textId="56C60818" w:rsidR="008F5BA1" w:rsidRPr="007D40FD" w:rsidRDefault="008F5BA1" w:rsidP="00370FB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Hotărârea Guvernului nr. 1146/2017 (care urmează a fi abrogată prin prezentul proiect) reprezintă o prezentare generală a mecanismului de gestionare a unei eventuale situații de aflux de străini. În schimb, mecanismul propus prin prezentul proiect se concentrează pe implementarea măsurilor în contextul unui potențial aflux de refugiați din statul vecin, ceea ce nu corespunde titlului mecanismului, precum și scopului și obiectivului prevăzut la pct. 3 și 4 din proiect, care vizează în mod generic „aflux sporit de străini”, fără a limita aplicabilitatea acestuia la cetățenii veniți din Ucraina.</w:t>
            </w:r>
          </w:p>
        </w:tc>
        <w:tc>
          <w:tcPr>
            <w:tcW w:w="3685" w:type="dxa"/>
          </w:tcPr>
          <w:p w14:paraId="692540B9" w14:textId="3AAB5DB3"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S-a luat act.</w:t>
            </w:r>
          </w:p>
        </w:tc>
      </w:tr>
      <w:tr w:rsidR="008F5BA1" w:rsidRPr="007D40FD" w14:paraId="2E203BAB" w14:textId="77777777" w:rsidTr="0006422A">
        <w:trPr>
          <w:trHeight w:val="70"/>
        </w:trPr>
        <w:tc>
          <w:tcPr>
            <w:tcW w:w="2163" w:type="dxa"/>
            <w:vMerge/>
            <w:tcMar>
              <w:top w:w="0" w:type="dxa"/>
              <w:left w:w="108" w:type="dxa"/>
              <w:bottom w:w="0" w:type="dxa"/>
              <w:right w:w="108" w:type="dxa"/>
            </w:tcMar>
          </w:tcPr>
          <w:p w14:paraId="3F654139"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2A840A8A"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26951A04" w14:textId="768BF5C5" w:rsidR="008F5BA1" w:rsidRPr="007D40FD" w:rsidRDefault="008F5BA1" w:rsidP="00370FB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În vederea respectării prevederilor art. 54 din Legea nr. 100/2017 cu privire la actele normative, autorul urmează să explice abrevierile utilizate la prima folosire a acestora în text (de exemplu: RM; FS; EPU; PTF-urilor; CPTPR; TFU; GBV etc).</w:t>
            </w:r>
          </w:p>
        </w:tc>
        <w:tc>
          <w:tcPr>
            <w:tcW w:w="3685" w:type="dxa"/>
          </w:tcPr>
          <w:p w14:paraId="4113C2AD" w14:textId="3D34CC4C"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7D40FD">
              <w:rPr>
                <w:rFonts w:ascii="Times New Roman" w:hAnsi="Times New Roman"/>
                <w:b/>
                <w:bCs/>
                <w:sz w:val="24"/>
                <w:szCs w:val="24"/>
                <w:lang w:val="ro-RO"/>
              </w:rPr>
              <w:t xml:space="preserve">Nu se acceptă. </w:t>
            </w:r>
            <w:r w:rsidRPr="007D40FD">
              <w:rPr>
                <w:rFonts w:ascii="Times New Roman" w:hAnsi="Times New Roman"/>
                <w:sz w:val="24"/>
                <w:szCs w:val="24"/>
                <w:lang w:val="ro-RO"/>
              </w:rPr>
              <w:t>Abrevierile sunt descrise la sfârșitul anexelor și marcate note în subsolul textului proiectului.</w:t>
            </w:r>
          </w:p>
        </w:tc>
      </w:tr>
      <w:tr w:rsidR="008F5BA1" w:rsidRPr="007D40FD" w14:paraId="6AA81DFD" w14:textId="77777777" w:rsidTr="0006422A">
        <w:trPr>
          <w:trHeight w:val="70"/>
        </w:trPr>
        <w:tc>
          <w:tcPr>
            <w:tcW w:w="2163" w:type="dxa"/>
            <w:vMerge/>
            <w:tcMar>
              <w:top w:w="0" w:type="dxa"/>
              <w:left w:w="108" w:type="dxa"/>
              <w:bottom w:w="0" w:type="dxa"/>
              <w:right w:w="108" w:type="dxa"/>
            </w:tcMar>
          </w:tcPr>
          <w:p w14:paraId="6827616E"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49D19D4A"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098C020B" w14:textId="52E73B96" w:rsidR="008F5BA1" w:rsidRPr="007D40FD" w:rsidRDefault="008F5BA1" w:rsidP="00774898">
            <w:pPr>
              <w:pBdr>
                <w:top w:val="none" w:sz="4" w:space="0" w:color="000000"/>
                <w:left w:val="none" w:sz="4" w:space="0" w:color="000000"/>
                <w:bottom w:val="none" w:sz="4" w:space="0" w:color="000000"/>
                <w:right w:val="none" w:sz="4" w:space="0" w:color="000000"/>
              </w:pBdr>
              <w:ind w:firstLine="0"/>
              <w:rPr>
                <w:rFonts w:ascii="Times New Roman" w:hAnsi="Times New Roman"/>
                <w:bCs/>
                <w:color w:val="FF0000"/>
                <w:sz w:val="24"/>
                <w:szCs w:val="24"/>
                <w:lang w:val="ro-RO"/>
              </w:rPr>
            </w:pPr>
            <w:r w:rsidRPr="007D40FD">
              <w:rPr>
                <w:rFonts w:ascii="Times New Roman" w:hAnsi="Times New Roman"/>
                <w:bCs/>
                <w:sz w:val="24"/>
                <w:szCs w:val="24"/>
                <w:lang w:val="ro-RO"/>
              </w:rPr>
              <w:t xml:space="preserve">Se propune ca mecanismul să includă și opțiunea intrării refugiaților pe cale aeriană, precum și acțiunile necesare pentru gestionarea acestei situații. </w:t>
            </w:r>
            <w:r w:rsidRPr="007D40FD">
              <w:rPr>
                <w:rFonts w:ascii="Times New Roman" w:hAnsi="Times New Roman"/>
                <w:bCs/>
                <w:color w:val="000000" w:themeColor="text1"/>
                <w:sz w:val="24"/>
                <w:szCs w:val="24"/>
                <w:lang w:val="ro-RO"/>
              </w:rPr>
              <w:t>În context, menționăm că în 2024, în Republica Moldova au fost evacuați din Fâșia Gaza mai mulți cetățeni ai Republicii Moldova și ai Ucrainei. Deși numărul persoanelor evacuate pe cale aeriană (îndeosebi în acea situație) nu poate fi comparat cu cel al străinilor care traversează/au traversat frontiera terestră, mecanismul trebuie să prevadă posibilitatea unui aflux masiv de refugiați pe cale aeriană, în ipoteza unei crize majore.</w:t>
            </w:r>
          </w:p>
        </w:tc>
        <w:tc>
          <w:tcPr>
            <w:tcW w:w="3685" w:type="dxa"/>
          </w:tcPr>
          <w:p w14:paraId="5B371186" w14:textId="4A327521"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b/>
                <w:bCs/>
                <w:color w:val="000000" w:themeColor="text1"/>
                <w:sz w:val="24"/>
                <w:szCs w:val="24"/>
                <w:lang w:val="ro-RO"/>
              </w:rPr>
              <w:t xml:space="preserve">Nu se acceptă. </w:t>
            </w:r>
            <w:r w:rsidRPr="007D40FD">
              <w:rPr>
                <w:rFonts w:ascii="Times New Roman" w:hAnsi="Times New Roman"/>
                <w:sz w:val="24"/>
                <w:szCs w:val="24"/>
                <w:lang w:val="ro-RO"/>
              </w:rPr>
              <w:t>Proiectul Mecanismului național reglementează modul de coordonare interinstituțională în cazul unui aflux sporit de persoane strămutate determinat de traversarea frontierei de stat în număr mare, situație care poate genera depășirea capacităților operaționale ale autorităților responsabile de gestionarea frontierei și a fluxurilor migraționale. În practică, un asemenea aflux se manifestă preponderent la frontiera terestră. Situațiile de evacuare sau transfer organizat al persoanelor pe cale aeriană au caracter punctual și sunt gestionate prin mecanisme operative și proceduri instituționale distincte, nefiind specifice situațiilor de aflux masiv reglementate de prezentul mecanism.</w:t>
            </w:r>
          </w:p>
        </w:tc>
      </w:tr>
      <w:tr w:rsidR="008F5BA1" w:rsidRPr="007D40FD" w14:paraId="3CE66557" w14:textId="77777777" w:rsidTr="0006422A">
        <w:trPr>
          <w:trHeight w:val="70"/>
        </w:trPr>
        <w:tc>
          <w:tcPr>
            <w:tcW w:w="2163" w:type="dxa"/>
            <w:vMerge/>
            <w:tcMar>
              <w:top w:w="0" w:type="dxa"/>
              <w:left w:w="108" w:type="dxa"/>
              <w:bottom w:w="0" w:type="dxa"/>
              <w:right w:w="108" w:type="dxa"/>
            </w:tcMar>
          </w:tcPr>
          <w:p w14:paraId="2D746B70"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664A796F"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522177AE" w14:textId="54785085" w:rsidR="008F5BA1" w:rsidRPr="007D40FD" w:rsidRDefault="008F5BA1" w:rsidP="00A80C1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În cuprinsul proiectului sunt utilizate noțiunile „persoane vulnerabile” și „categorii vulnerabile”, însă acestea sunt enunțate într-o manieră generală și ambiguă. Termenii de: persoane vulnerabile și categorii vulnerabile, utilizați pe parcursul proiectului, necesită o definire terminologică și conceptuală clară. Potrivit prevederilor art. 1 al Legii nr. 547/2003 asistenței sociale, persoane vulnerabile/categorii vulnerabile reprezintă persoană și/sau familie defavorizată - aflate în situații care împiedică activitatea normală a acestora din punct de vedere economic, educativ, social etc.</w:t>
            </w:r>
          </w:p>
        </w:tc>
        <w:tc>
          <w:tcPr>
            <w:tcW w:w="3685" w:type="dxa"/>
          </w:tcPr>
          <w:p w14:paraId="68F93EAD" w14:textId="33205573"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highlight w:val="yellow"/>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702895DC" w14:textId="77777777" w:rsidTr="0006422A">
        <w:trPr>
          <w:trHeight w:val="70"/>
        </w:trPr>
        <w:tc>
          <w:tcPr>
            <w:tcW w:w="2163" w:type="dxa"/>
            <w:vMerge/>
            <w:tcMar>
              <w:top w:w="0" w:type="dxa"/>
              <w:left w:w="108" w:type="dxa"/>
              <w:bottom w:w="0" w:type="dxa"/>
              <w:right w:w="108" w:type="dxa"/>
            </w:tcMar>
          </w:tcPr>
          <w:p w14:paraId="2FC532E3"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3B3DF0ED"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5250925B" w14:textId="4CAB193E" w:rsidR="008F5BA1" w:rsidRPr="007D40FD" w:rsidRDefault="008F5BA1" w:rsidP="00A80C1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 xml:space="preserve">Pe tot parcursul textului proiectului de hotărâre, precum și în Nota de fundamentare la proiect, cuvântul „minor” în orice formă gramaticală se va substitui cu cuvântul „copil” la forma gramaticală corespunzătoare, reieșind din prevederile Convenției cu privire la drepturile copilului (Art. I), Legii nr. 370/2023 privind drepturile copilului și altor acte normative naționale și internaționale, care reglementează semnificația noțiunii de copil, precum și reieșind din prevederile Legii nr.140/2013 privind protecția specială a copiilor aflați în </w:t>
            </w:r>
            <w:r w:rsidRPr="007D40FD">
              <w:rPr>
                <w:rFonts w:ascii="Times New Roman" w:hAnsi="Times New Roman"/>
                <w:bCs/>
                <w:sz w:val="24"/>
                <w:szCs w:val="24"/>
                <w:lang w:val="ro-RO"/>
              </w:rPr>
              <w:lastRenderedPageBreak/>
              <w:t>situație de risc și a copiilor separați de părinți, care la art. 8 lit. l), reglementează expres categoria copiilor străini sau apatrizi care au intrat pe teritoriul Republicii Moldova fără a fi însoțiți de o persoană adultă care să fie responsabilă pentru ei prin lege sau au fost lăsați pe teritoriul Republicii Moldova fără un act juridic în calitate de categorie a copiilor aflați în situație de risc.</w:t>
            </w:r>
          </w:p>
        </w:tc>
        <w:tc>
          <w:tcPr>
            <w:tcW w:w="3685" w:type="dxa"/>
          </w:tcPr>
          <w:p w14:paraId="780B9A3A" w14:textId="16C277B3"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highlight w:val="yellow"/>
                <w:lang w:val="ro-RO"/>
              </w:rPr>
            </w:pPr>
            <w:r w:rsidRPr="007D40FD">
              <w:rPr>
                <w:rFonts w:ascii="Times New Roman" w:hAnsi="Times New Roman"/>
                <w:b/>
                <w:bCs/>
                <w:sz w:val="24"/>
                <w:szCs w:val="24"/>
                <w:lang w:val="ro-RO"/>
              </w:rPr>
              <w:lastRenderedPageBreak/>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0296F9B5" w14:textId="77777777" w:rsidTr="0006422A">
        <w:trPr>
          <w:trHeight w:val="70"/>
        </w:trPr>
        <w:tc>
          <w:tcPr>
            <w:tcW w:w="2163" w:type="dxa"/>
            <w:vMerge/>
            <w:tcMar>
              <w:top w:w="0" w:type="dxa"/>
              <w:left w:w="108" w:type="dxa"/>
              <w:bottom w:w="0" w:type="dxa"/>
              <w:right w:w="108" w:type="dxa"/>
            </w:tcMar>
          </w:tcPr>
          <w:p w14:paraId="17F57228"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3E292898"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4FBCAA7F" w14:textId="70B73EF9" w:rsidR="008F5BA1" w:rsidRPr="007D40FD" w:rsidRDefault="008F5BA1" w:rsidP="00B93ECC">
            <w:pPr>
              <w:autoSpaceDE w:val="0"/>
              <w:autoSpaceDN w:val="0"/>
              <w:adjustRightInd w:val="0"/>
              <w:ind w:firstLine="0"/>
              <w:rPr>
                <w:rFonts w:ascii="TimesNewRomanPS-BoldMT" w:hAnsi="TimesNewRomanPS-BoldMT" w:cs="TimesNewRomanPS-BoldMT"/>
                <w:color w:val="000000" w:themeColor="text1"/>
                <w:sz w:val="24"/>
                <w:szCs w:val="24"/>
                <w:lang w:val="ro-RO" w:eastAsia="ru-RU"/>
              </w:rPr>
            </w:pPr>
            <w:r w:rsidRPr="007D40FD">
              <w:rPr>
                <w:rFonts w:ascii="TimesNewRomanPS-BoldMT" w:hAnsi="TimesNewRomanPS-BoldMT" w:cs="TimesNewRomanPS-BoldMT"/>
                <w:color w:val="000000" w:themeColor="text1"/>
                <w:sz w:val="24"/>
                <w:szCs w:val="24"/>
                <w:lang w:val="ro-RO" w:eastAsia="ru-RU"/>
              </w:rPr>
              <w:t>La Mecanismul Național de gestionare unitară și coerentă a situației în cazul unui aflux sporit de străini:</w:t>
            </w:r>
          </w:p>
          <w:p w14:paraId="5BF0B7F0" w14:textId="77777777" w:rsidR="008F5BA1" w:rsidRPr="007D40FD" w:rsidRDefault="008F5BA1" w:rsidP="00B93ECC">
            <w:pPr>
              <w:pBdr>
                <w:top w:val="none" w:sz="4" w:space="0" w:color="000000"/>
                <w:left w:val="none" w:sz="4" w:space="0" w:color="000000"/>
                <w:bottom w:val="none" w:sz="4" w:space="0" w:color="000000"/>
                <w:right w:val="none" w:sz="4" w:space="0" w:color="000000"/>
              </w:pBdr>
              <w:ind w:firstLine="0"/>
              <w:rPr>
                <w:rFonts w:ascii="TimesNewRomanPS-BoldMT" w:hAnsi="TimesNewRomanPS-BoldMT" w:cs="TimesNewRomanPS-BoldMT"/>
                <w:b/>
                <w:bCs/>
                <w:color w:val="000000" w:themeColor="text1"/>
                <w:sz w:val="24"/>
                <w:szCs w:val="24"/>
                <w:lang w:val="ro-RO" w:eastAsia="ru-RU"/>
              </w:rPr>
            </w:pPr>
            <w:r w:rsidRPr="007D40FD">
              <w:rPr>
                <w:rFonts w:ascii="TimesNewRomanPS-BoldMT" w:hAnsi="TimesNewRomanPS-BoldMT" w:cs="TimesNewRomanPS-BoldMT"/>
                <w:color w:val="000000" w:themeColor="text1"/>
                <w:sz w:val="24"/>
                <w:szCs w:val="24"/>
                <w:lang w:val="ro-RO" w:eastAsia="ru-RU"/>
              </w:rPr>
              <w:t xml:space="preserve">2.1. </w:t>
            </w:r>
            <w:r w:rsidRPr="007D40FD">
              <w:rPr>
                <w:rFonts w:ascii="TimesNewRomanPSMT" w:hAnsi="TimesNewRomanPSMT" w:cs="TimesNewRomanPSMT"/>
                <w:color w:val="000000" w:themeColor="text1"/>
                <w:sz w:val="24"/>
                <w:szCs w:val="24"/>
                <w:lang w:val="ro-RO" w:eastAsia="ru-RU"/>
              </w:rPr>
              <w:t xml:space="preserve">La </w:t>
            </w:r>
            <w:r w:rsidRPr="007D40FD">
              <w:rPr>
                <w:rFonts w:ascii="TimesNewRomanPS-BoldMT" w:hAnsi="TimesNewRomanPS-BoldMT" w:cs="TimesNewRomanPS-BoldMT"/>
                <w:color w:val="000000" w:themeColor="text1"/>
                <w:sz w:val="24"/>
                <w:szCs w:val="24"/>
                <w:lang w:val="ro-RO" w:eastAsia="ru-RU"/>
              </w:rPr>
              <w:t>pct. 7 se propune</w:t>
            </w:r>
            <w:r w:rsidRPr="007D40FD">
              <w:rPr>
                <w:rFonts w:ascii="TimesNewRomanPS-BoldMT" w:hAnsi="TimesNewRomanPS-BoldMT" w:cs="TimesNewRomanPS-BoldMT"/>
                <w:b/>
                <w:bCs/>
                <w:color w:val="000000" w:themeColor="text1"/>
                <w:sz w:val="24"/>
                <w:szCs w:val="24"/>
                <w:lang w:val="ro-RO" w:eastAsia="ru-RU"/>
              </w:rPr>
              <w:t xml:space="preserve"> </w:t>
            </w:r>
            <w:r w:rsidRPr="007D40FD">
              <w:rPr>
                <w:rFonts w:ascii="TimesNewRomanPSMT" w:hAnsi="TimesNewRomanPSMT" w:cs="TimesNewRomanPSMT"/>
                <w:color w:val="000000" w:themeColor="text1"/>
                <w:sz w:val="24"/>
                <w:szCs w:val="24"/>
                <w:lang w:val="ro-RO" w:eastAsia="ru-RU"/>
              </w:rPr>
              <w:t xml:space="preserve">completarea cu următoarele </w:t>
            </w:r>
            <w:proofErr w:type="spellStart"/>
            <w:r w:rsidRPr="007D40FD">
              <w:rPr>
                <w:rFonts w:ascii="TimesNewRomanPSMT" w:hAnsi="TimesNewRomanPSMT" w:cs="TimesNewRomanPSMT"/>
                <w:color w:val="000000" w:themeColor="text1"/>
                <w:sz w:val="24"/>
                <w:szCs w:val="24"/>
                <w:lang w:val="ro-RO" w:eastAsia="ru-RU"/>
              </w:rPr>
              <w:t>subpc</w:t>
            </w:r>
            <w:r w:rsidRPr="007D40FD">
              <w:rPr>
                <w:rFonts w:ascii="TimesNewRomanPS-BoldMT" w:hAnsi="TimesNewRomanPS-BoldMT" w:cs="TimesNewRomanPS-BoldMT"/>
                <w:b/>
                <w:bCs/>
                <w:color w:val="000000" w:themeColor="text1"/>
                <w:sz w:val="24"/>
                <w:szCs w:val="24"/>
                <w:lang w:val="ro-RO" w:eastAsia="ru-RU"/>
              </w:rPr>
              <w:t>t</w:t>
            </w:r>
            <w:proofErr w:type="spellEnd"/>
            <w:r w:rsidRPr="007D40FD">
              <w:rPr>
                <w:rFonts w:ascii="TimesNewRomanPS-BoldMT" w:hAnsi="TimesNewRomanPS-BoldMT" w:cs="TimesNewRomanPS-BoldMT"/>
                <w:b/>
                <w:bCs/>
                <w:color w:val="000000" w:themeColor="text1"/>
                <w:sz w:val="24"/>
                <w:szCs w:val="24"/>
                <w:lang w:val="ro-RO" w:eastAsia="ru-RU"/>
              </w:rPr>
              <w:t>:</w:t>
            </w:r>
          </w:p>
          <w:p w14:paraId="2621BE7B" w14:textId="1748B912" w:rsidR="008F5BA1" w:rsidRPr="007D40FD" w:rsidRDefault="008F5BA1" w:rsidP="00B93ECC">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“7.5. la nivel instituțional – coordonarea interinstituțională, planificarea operațiunilor și distribuția resurselor;</w:t>
            </w:r>
          </w:p>
          <w:p w14:paraId="30749B98" w14:textId="7E2B8689" w:rsidR="008F5BA1" w:rsidRPr="007D40FD" w:rsidRDefault="008F5BA1" w:rsidP="0075307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7.6. la nivel de securitate și ordine publică - prevenirea riscurilor de securitate internă, controlul frontierelor, protecția infrastructurilor critice, prevenirea incidentelor și combaterea acțiunilor ilegale;</w:t>
            </w:r>
          </w:p>
          <w:p w14:paraId="4C0734AC" w14:textId="1E3C2F58" w:rsidR="008F5BA1" w:rsidRPr="007D40FD" w:rsidRDefault="008F5BA1" w:rsidP="0075307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7.7. la nivel legislativ - armonizarea cadrului legislativ național, astfel încât deciziile luate să fie sustenabile legal”.</w:t>
            </w:r>
          </w:p>
        </w:tc>
        <w:tc>
          <w:tcPr>
            <w:tcW w:w="3685" w:type="dxa"/>
          </w:tcPr>
          <w:p w14:paraId="4B7C8213" w14:textId="0F4C2AA7"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2F1965F2" w14:textId="77777777" w:rsidTr="0006422A">
        <w:trPr>
          <w:trHeight w:val="70"/>
        </w:trPr>
        <w:tc>
          <w:tcPr>
            <w:tcW w:w="2163" w:type="dxa"/>
            <w:vMerge/>
            <w:tcMar>
              <w:top w:w="0" w:type="dxa"/>
              <w:left w:w="108" w:type="dxa"/>
              <w:bottom w:w="0" w:type="dxa"/>
              <w:right w:w="108" w:type="dxa"/>
            </w:tcMar>
          </w:tcPr>
          <w:p w14:paraId="532064CC"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1CC7B516"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347AD1B4" w14:textId="7D5B9D49" w:rsidR="008F5BA1" w:rsidRPr="007D40FD" w:rsidRDefault="008F5BA1" w:rsidP="00B57840">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La Mecanismul național la pct. 8, se propune expunerea noțiunii în următoarea redacție: „principiul colaborării, proporționalității și eficienței – autoritățile și instituțiile competente au obligația de a coopera în vederea soluționării situațiilor de criză;” deoarece se constată lipsa clarității cu privire la subiecții normei.</w:t>
            </w:r>
          </w:p>
        </w:tc>
        <w:tc>
          <w:tcPr>
            <w:tcW w:w="3685" w:type="dxa"/>
          </w:tcPr>
          <w:p w14:paraId="66CBAF85" w14:textId="24998FF8" w:rsidR="008F5BA1" w:rsidRPr="007D40FD" w:rsidRDefault="008F5BA1" w:rsidP="002C546A">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4842512C" w14:textId="77777777" w:rsidTr="0006422A">
        <w:trPr>
          <w:trHeight w:val="70"/>
        </w:trPr>
        <w:tc>
          <w:tcPr>
            <w:tcW w:w="2163" w:type="dxa"/>
            <w:vMerge/>
            <w:tcMar>
              <w:top w:w="0" w:type="dxa"/>
              <w:left w:w="108" w:type="dxa"/>
              <w:bottom w:w="0" w:type="dxa"/>
              <w:right w:w="108" w:type="dxa"/>
            </w:tcMar>
          </w:tcPr>
          <w:p w14:paraId="31719758"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6DC7E0FC"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280F1178" w14:textId="5D63A438" w:rsidR="008F5BA1" w:rsidRPr="007D40FD" w:rsidRDefault="008F5BA1" w:rsidP="00FB1FD6">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La Mecanismul național la pct.13 a se stabili praguri concrete (număr exact de persoane) pentru a evita o aplicare subiectivă sau întârziată.</w:t>
            </w:r>
          </w:p>
        </w:tc>
        <w:tc>
          <w:tcPr>
            <w:tcW w:w="3685" w:type="dxa"/>
          </w:tcPr>
          <w:p w14:paraId="651DEE0D" w14:textId="342423D5" w:rsidR="008F5BA1" w:rsidRPr="007D40FD" w:rsidRDefault="008F5BA1" w:rsidP="00FB1FD6">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Nu se acceptă. </w:t>
            </w:r>
            <w:r w:rsidRPr="007D40FD">
              <w:rPr>
                <w:rFonts w:ascii="Times New Roman" w:hAnsi="Times New Roman"/>
                <w:sz w:val="24"/>
                <w:szCs w:val="24"/>
                <w:lang w:val="ro-RO"/>
              </w:rPr>
              <w:t xml:space="preserve">Declanșarea Mecanismului național este reglementată în conformitate cu prevederile Legii nr. 248/2025 privind managementul situațiilor de criză și se realizează în baza evaluării riscurilor și a indicatorilor situaționali, precum și a deciziei Prim-ministrului. Stabilirea unor praguri numerice fixe ar limita flexibilitatea decizională și nu ar reflecta complexitatea situațiilor de criză, care depind nu doar de numărul persoanelor, ci și de ritmul sosirilor, capacitatea instituțională de răspuns, impactul asupra </w:t>
            </w:r>
            <w:r w:rsidRPr="007D40FD">
              <w:rPr>
                <w:rFonts w:ascii="Times New Roman" w:hAnsi="Times New Roman"/>
                <w:sz w:val="24"/>
                <w:szCs w:val="24"/>
                <w:lang w:val="ro-RO"/>
              </w:rPr>
              <w:lastRenderedPageBreak/>
              <w:t>infrastructurii și alți factori operaționali.</w:t>
            </w:r>
          </w:p>
        </w:tc>
      </w:tr>
      <w:tr w:rsidR="008F5BA1" w:rsidRPr="007D40FD" w14:paraId="28D76AEA" w14:textId="77777777" w:rsidTr="0006422A">
        <w:trPr>
          <w:trHeight w:val="70"/>
        </w:trPr>
        <w:tc>
          <w:tcPr>
            <w:tcW w:w="2163" w:type="dxa"/>
            <w:vMerge/>
            <w:tcMar>
              <w:top w:w="0" w:type="dxa"/>
              <w:left w:w="108" w:type="dxa"/>
              <w:bottom w:w="0" w:type="dxa"/>
              <w:right w:w="108" w:type="dxa"/>
            </w:tcMar>
          </w:tcPr>
          <w:p w14:paraId="416AFC8C"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40675649"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5765F6AD" w14:textId="5DFD6BD6" w:rsidR="008F5BA1" w:rsidRPr="007D40FD" w:rsidRDefault="008F5BA1" w:rsidP="005808D7">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La Mecanismul național pct.15 a se completa după punct cu propoziția: “În luarea deciziei, Centrul consultă obligatoriu ministerele și autoritățile relevante în gestionarea crizei (Ministerul Afacerilor Interne, Ministerul Muncii și Protecției Sociale, Ministerul Sănătății etc.).</w:t>
            </w:r>
          </w:p>
        </w:tc>
        <w:tc>
          <w:tcPr>
            <w:tcW w:w="3685" w:type="dxa"/>
          </w:tcPr>
          <w:p w14:paraId="7DB5219C" w14:textId="5C0973CA" w:rsidR="008F5BA1" w:rsidRPr="007D40FD" w:rsidRDefault="008F5BA1" w:rsidP="005808D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Nu se acceptă. </w:t>
            </w:r>
            <w:r w:rsidRPr="007D40FD">
              <w:rPr>
                <w:rFonts w:ascii="Times New Roman" w:hAnsi="Times New Roman"/>
                <w:sz w:val="24"/>
                <w:szCs w:val="24"/>
                <w:lang w:val="ro-RO"/>
              </w:rPr>
              <w:t>Competențele Centrului Național de Management al Crizelor sunt stabilite prin Legea nr. 248/2025 privind managementul situațiilor de criză. Potrivit cadrului legal, Centrul monitorizează evoluția riscurilor, colectează și analizează informațiile furnizate de autoritățile competente și înaintează propuneri privind opțiunile de răspuns, iar decizia privind constatarea crizei este adoptată de Prim-ministru. Introducerea unei obligații suplimentare de consultare formală a ministerelor ar depăși cadrul competențelor stabilite prin lege.</w:t>
            </w:r>
          </w:p>
        </w:tc>
      </w:tr>
      <w:tr w:rsidR="008F5BA1" w:rsidRPr="007D40FD" w14:paraId="65227721" w14:textId="77777777" w:rsidTr="0006422A">
        <w:trPr>
          <w:trHeight w:val="70"/>
        </w:trPr>
        <w:tc>
          <w:tcPr>
            <w:tcW w:w="2163" w:type="dxa"/>
            <w:vMerge/>
            <w:tcMar>
              <w:top w:w="0" w:type="dxa"/>
              <w:left w:w="108" w:type="dxa"/>
              <w:bottom w:w="0" w:type="dxa"/>
              <w:right w:w="108" w:type="dxa"/>
            </w:tcMar>
          </w:tcPr>
          <w:p w14:paraId="18E906CB"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3EB64DBF"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72D17479" w14:textId="747BFF88" w:rsidR="008F5BA1" w:rsidRPr="007D40FD" w:rsidRDefault="008F5BA1" w:rsidP="00F10567">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La Mecanismul național a revizui pct. 20. “Activarea, escaladarea sau dezactivarea fazelor de răspuns se dispune de către autoritățile competente, în baza evaluărilor situaționale și a indicatorilor stabiliți, cu asigurarea coordonării interinstituționale și a utilizării proporționale a resurselor” prin completarea după sintagma „se dispune de către” cu sintagma “Centrul Național de Management al Crizelor, în cooperare cu”.</w:t>
            </w:r>
          </w:p>
        </w:tc>
        <w:tc>
          <w:tcPr>
            <w:tcW w:w="3685" w:type="dxa"/>
          </w:tcPr>
          <w:p w14:paraId="686E28DC" w14:textId="6BA8DEFF" w:rsidR="008F5BA1" w:rsidRPr="007D40FD" w:rsidRDefault="008F5BA1" w:rsidP="005F37E0">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Nu se acceptă. </w:t>
            </w:r>
            <w:r w:rsidRPr="007D40FD">
              <w:rPr>
                <w:rFonts w:ascii="Times New Roman" w:hAnsi="Times New Roman"/>
                <w:sz w:val="24"/>
                <w:szCs w:val="24"/>
                <w:lang w:val="ro-RO"/>
              </w:rPr>
              <w:t>Potrivit Legii nr. 248/2025 privind managementul situațiilor de criză, Centrul Național de Management al Crizelor are rol de monitorizare, analiză și formulare a propunerilor privind opțiunile de răspuns la criză. Deciziile privind activarea, escaladarea sau dezactivarea fazelor de răspuns sunt adoptate de autoritățile competente, în condițiile legii. Introducerea Centrului ca autoritate care „dispune” astfel de măsuri ar depăși competențele stabilite de cadrul legal.</w:t>
            </w:r>
          </w:p>
        </w:tc>
      </w:tr>
      <w:tr w:rsidR="008F5BA1" w:rsidRPr="007D40FD" w14:paraId="3F8EEC05" w14:textId="77777777" w:rsidTr="0006422A">
        <w:trPr>
          <w:trHeight w:val="70"/>
        </w:trPr>
        <w:tc>
          <w:tcPr>
            <w:tcW w:w="2163" w:type="dxa"/>
            <w:vMerge/>
            <w:tcMar>
              <w:top w:w="0" w:type="dxa"/>
              <w:left w:w="108" w:type="dxa"/>
              <w:bottom w:w="0" w:type="dxa"/>
              <w:right w:w="108" w:type="dxa"/>
            </w:tcMar>
          </w:tcPr>
          <w:p w14:paraId="78C8AE31"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45CF9951"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48399AA8" w14:textId="1BC98CA0" w:rsidR="008F5BA1" w:rsidRPr="007D40FD" w:rsidRDefault="008F5BA1" w:rsidP="00F10567">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La Mecanismul național la pct. 21, cuvintele „criză creată” se substituie cu cuvintele „criza generată”.</w:t>
            </w:r>
          </w:p>
        </w:tc>
        <w:tc>
          <w:tcPr>
            <w:tcW w:w="3685" w:type="dxa"/>
          </w:tcPr>
          <w:p w14:paraId="64EEFDE3" w14:textId="4D91D4E6"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26BA0E75" w14:textId="77777777" w:rsidTr="0006422A">
        <w:trPr>
          <w:trHeight w:val="70"/>
        </w:trPr>
        <w:tc>
          <w:tcPr>
            <w:tcW w:w="2163" w:type="dxa"/>
            <w:vMerge/>
            <w:tcMar>
              <w:top w:w="0" w:type="dxa"/>
              <w:left w:w="108" w:type="dxa"/>
              <w:bottom w:w="0" w:type="dxa"/>
              <w:right w:w="108" w:type="dxa"/>
            </w:tcMar>
          </w:tcPr>
          <w:p w14:paraId="3816FF7E"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65545372"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4B1BCA29" w14:textId="6A291DC3" w:rsidR="008F5BA1" w:rsidRPr="007D40FD" w:rsidRDefault="008F5BA1" w:rsidP="005F37E0">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 xml:space="preserve">La Mecanismul național la pct. 26, după </w:t>
            </w:r>
            <w:proofErr w:type="spellStart"/>
            <w:r w:rsidRPr="007D40FD">
              <w:rPr>
                <w:rFonts w:ascii="Times New Roman" w:hAnsi="Times New Roman"/>
                <w:bCs/>
                <w:sz w:val="24"/>
                <w:szCs w:val="24"/>
                <w:lang w:val="ro-RO"/>
              </w:rPr>
              <w:t>subpct</w:t>
            </w:r>
            <w:proofErr w:type="spellEnd"/>
            <w:r w:rsidRPr="007D40FD">
              <w:rPr>
                <w:rFonts w:ascii="Times New Roman" w:hAnsi="Times New Roman"/>
                <w:bCs/>
                <w:sz w:val="24"/>
                <w:szCs w:val="24"/>
                <w:lang w:val="ro-RO"/>
              </w:rPr>
              <w:t xml:space="preserve">. “26.5. apariția/declanșarea unor noi situații umanitare/conflicte în regiune” a se completa cu 2 </w:t>
            </w:r>
            <w:proofErr w:type="spellStart"/>
            <w:r w:rsidRPr="007D40FD">
              <w:rPr>
                <w:rFonts w:ascii="Times New Roman" w:hAnsi="Times New Roman"/>
                <w:bCs/>
                <w:sz w:val="24"/>
                <w:szCs w:val="24"/>
                <w:lang w:val="ro-RO"/>
              </w:rPr>
              <w:t>subpct</w:t>
            </w:r>
            <w:proofErr w:type="spellEnd"/>
            <w:r w:rsidRPr="007D40FD">
              <w:rPr>
                <w:rFonts w:ascii="Times New Roman" w:hAnsi="Times New Roman"/>
                <w:bCs/>
                <w:sz w:val="24"/>
                <w:szCs w:val="24"/>
                <w:lang w:val="ro-RO"/>
              </w:rPr>
              <w:t>. noi:</w:t>
            </w:r>
          </w:p>
          <w:p w14:paraId="04275400" w14:textId="77777777" w:rsidR="008F5BA1" w:rsidRPr="007D40FD" w:rsidRDefault="008F5BA1" w:rsidP="005F37E0">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 trafic de ființe umane;</w:t>
            </w:r>
          </w:p>
          <w:p w14:paraId="6F1231F9" w14:textId="73CE33F4" w:rsidR="008F5BA1" w:rsidRPr="007D40FD" w:rsidRDefault="008F5BA1" w:rsidP="005F37E0">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 bugete limitate.</w:t>
            </w:r>
          </w:p>
        </w:tc>
        <w:tc>
          <w:tcPr>
            <w:tcW w:w="3685" w:type="dxa"/>
          </w:tcPr>
          <w:p w14:paraId="28141D70" w14:textId="3F24CC0D"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7EBF255E" w14:textId="77777777" w:rsidTr="0006422A">
        <w:trPr>
          <w:trHeight w:val="70"/>
        </w:trPr>
        <w:tc>
          <w:tcPr>
            <w:tcW w:w="2163" w:type="dxa"/>
            <w:vMerge/>
            <w:tcMar>
              <w:top w:w="0" w:type="dxa"/>
              <w:left w:w="108" w:type="dxa"/>
              <w:bottom w:w="0" w:type="dxa"/>
              <w:right w:w="108" w:type="dxa"/>
            </w:tcMar>
          </w:tcPr>
          <w:p w14:paraId="43CFE5DB"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19B1E6AA"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58EAD502" w14:textId="7AE5A06C" w:rsidR="008F5BA1" w:rsidRPr="007D40FD" w:rsidRDefault="008F5BA1" w:rsidP="005F37E0">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 xml:space="preserve">La Mecanismul național la </w:t>
            </w:r>
            <w:proofErr w:type="spellStart"/>
            <w:r w:rsidRPr="007D40FD">
              <w:rPr>
                <w:rFonts w:ascii="Times New Roman" w:hAnsi="Times New Roman"/>
                <w:bCs/>
                <w:sz w:val="24"/>
                <w:szCs w:val="24"/>
                <w:lang w:val="ro-RO"/>
              </w:rPr>
              <w:t>subpct</w:t>
            </w:r>
            <w:proofErr w:type="spellEnd"/>
            <w:r w:rsidRPr="007D40FD">
              <w:rPr>
                <w:rFonts w:ascii="Times New Roman" w:hAnsi="Times New Roman"/>
                <w:bCs/>
                <w:sz w:val="24"/>
                <w:szCs w:val="24"/>
                <w:lang w:val="ro-RO"/>
              </w:rPr>
              <w:t>. 26.5 se propune completarea normei cu mențiunea expresă a potențialelor dezastre (așa cum sunt definite în Legea nr. 248/2025).</w:t>
            </w:r>
          </w:p>
        </w:tc>
        <w:tc>
          <w:tcPr>
            <w:tcW w:w="3685" w:type="dxa"/>
          </w:tcPr>
          <w:p w14:paraId="43FA91FB" w14:textId="69A1945F" w:rsidR="008F5BA1" w:rsidRPr="007D40FD" w:rsidRDefault="008F5BA1" w:rsidP="0079185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Nu se acceptă. </w:t>
            </w:r>
            <w:r w:rsidRPr="007D40FD">
              <w:rPr>
                <w:rFonts w:ascii="Times New Roman" w:hAnsi="Times New Roman"/>
                <w:sz w:val="24"/>
                <w:szCs w:val="24"/>
                <w:lang w:val="ro-RO"/>
              </w:rPr>
              <w:t>Mecanismul național reglementează gestionarea situațiilor generate de afluxul sporit de străini, în principal în contextul crizelor umanitare, conflictelor armate sau altor situații care pot determina deplasări masive de populație. Riscurile enumerate la pct. 28 au caracter orientativ și sunt adaptate specificului fenomenului migrațional. Totodată, lista este formulată deschis, fiind prevăzută și categoria „alte situații care ar putea genera un aflux masiv de străini”, ceea ce permite includerea oricăror circumstanțe relevante, inclusiv situații excepționale, fără a fi necesară enumerarea expresă a tuturor tipurilor de crize prevăzute de legislația generală.</w:t>
            </w:r>
          </w:p>
        </w:tc>
      </w:tr>
      <w:tr w:rsidR="008F5BA1" w:rsidRPr="007D40FD" w14:paraId="0B3BC39F" w14:textId="77777777" w:rsidTr="0006422A">
        <w:trPr>
          <w:trHeight w:val="70"/>
        </w:trPr>
        <w:tc>
          <w:tcPr>
            <w:tcW w:w="2163" w:type="dxa"/>
            <w:vMerge/>
            <w:tcMar>
              <w:top w:w="0" w:type="dxa"/>
              <w:left w:w="108" w:type="dxa"/>
              <w:bottom w:w="0" w:type="dxa"/>
              <w:right w:w="108" w:type="dxa"/>
            </w:tcMar>
          </w:tcPr>
          <w:p w14:paraId="688D3DA3"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0D827EBE"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42CD3495" w14:textId="3FFAA5D4"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La Mecanismul național la Capitolul IV SCENARIUL ȘI PROFILUL PERSOANELOR REFUGIATE Secțiunea 1. Scenariul aplicat, propunem includerea la început a unor articole suplimentare care să stipuleze, pe lângă acele 5 sub-scenarii înaintate de către autor, elaborarea de scenarii ale situațiilor anticipate (de ex. galben, verde, roșu). Prin formularea de scenarii plauzibile și asupra cărora s-a convenit anterior, autoritățile de primire pot planifica o strategie de răspuns pentru fiecare scenariu și vor stabili amploarea reacției. Un proces de planificare bazat pe scenarii permite planificarea în prealabil în vederea elaborării unui plan coordonat de răspuns.</w:t>
            </w:r>
          </w:p>
          <w:p w14:paraId="51727220"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p>
          <w:p w14:paraId="12EF19D4" w14:textId="12C95945"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lastRenderedPageBreak/>
              <w:t xml:space="preserve"> În acest context, după pct. 32 se propune completarea cu 6 articole noi:</w:t>
            </w:r>
          </w:p>
          <w:p w14:paraId="50C62F68" w14:textId="0D510172"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,,32.1. În scopul asigurării unui mecanism gradual și proporțional de intervenție, prezentul document stabilește trei scenarii operaționale de răspuns la afluxul de persoane strămutate pe teritoriul Republica Moldova.</w:t>
            </w:r>
          </w:p>
          <w:p w14:paraId="79078D87" w14:textId="613596F0"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32.2. Activarea scenariilor se realizează în funcție de volumul fluxului, gradul de presiune asupra serviciilor publice și capacitatea sistemelor naționale de a absorbi impactul.</w:t>
            </w:r>
          </w:p>
          <w:p w14:paraId="3033DA9B" w14:textId="0C691A20"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32.3. Trecerea de la un scenariu la altul se decide de către Centrul Național de Management al Crizelor, în cooperare cu autoritățile competente, în baza evaluărilor operative și a datelor actualizate.</w:t>
            </w:r>
          </w:p>
          <w:p w14:paraId="7ED328EF" w14:textId="2D1798A1"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32.4. Scenariul Verde se aplică în situația unui aflux limitat de persoane strămutate, care poate fi absorbit de capacitățile instituționale existente, fără afectarea semnificativă a funcționării serviciilor publice. În cadrul acestui scenariu:</w:t>
            </w:r>
          </w:p>
          <w:p w14:paraId="0A813A89" w14:textId="2F4B9339"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32.4.1. accesul la servicii de bază (cazare, sănătate, educație, protecție socială, transport) este asigurat prin mecanismele curente;</w:t>
            </w:r>
          </w:p>
          <w:p w14:paraId="1AAF545E"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32.4.2. sunt operate ajustări minore la nivel logistic și administrativ;</w:t>
            </w:r>
          </w:p>
          <w:p w14:paraId="53444F46"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32.4.3. se asigură monitorizarea continuă a fluxului și a gradului de ocupare a capacităților existente;</w:t>
            </w:r>
          </w:p>
          <w:p w14:paraId="7EA201F3"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32.4.4. coordonarea interinstituțională se desfășoară în regim ordinar.</w:t>
            </w:r>
          </w:p>
          <w:p w14:paraId="2C287050" w14:textId="6DB9D163"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32.5. Scenariul Galben se aplică în cazul unei creșteri semnificative a numărului persoanelor strămutate, care generează presiuni asupra infrastructurii și serviciilor publice. În cadrul acestui scenariu se dispun următoarele măsuri:</w:t>
            </w:r>
          </w:p>
          <w:p w14:paraId="26697BF7"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32.5.1. intensificarea coordonării interinstituționale la nivel central și local;</w:t>
            </w:r>
          </w:p>
          <w:p w14:paraId="37C57079"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32.5.2. extinderea temporară a capacităților de cazare și a serviciilor publice relevante;</w:t>
            </w:r>
          </w:p>
          <w:p w14:paraId="2C789F36"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32.5.3. mobilizarea suplimentară a resurselor financiare și umane;</w:t>
            </w:r>
          </w:p>
          <w:p w14:paraId="2A809882"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32.5.4. consolidarea cooperării cu partenerii internaționali și organizațiile umanitare;</w:t>
            </w:r>
          </w:p>
          <w:p w14:paraId="79CF5484" w14:textId="57B3A1FF"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32.5.5. monitorizarea zilnică a indicatorilor operaționali și raportare periodică către autoritățile competente.</w:t>
            </w:r>
          </w:p>
          <w:p w14:paraId="1A925518" w14:textId="56F5FB89"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32.6. Scenariul Roșu se aplică în cazul unui aflux masiv de persoane strămutate, care depășește capacitatea de răspuns a sistemelor naționale și afectează semnificativ furnizarea serviciilor publice esențiale. În cadrul acestui scenariu se dispun măsuri excepționale, inclusiv:</w:t>
            </w:r>
          </w:p>
          <w:p w14:paraId="7AD727F2"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32.6.1. activarea mecanismelor naționale de urgență și de gestionare a crizelor;</w:t>
            </w:r>
          </w:p>
          <w:p w14:paraId="2B2471E4"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32.6.2. redistribuirea resurselor la nivel național;</w:t>
            </w:r>
          </w:p>
          <w:p w14:paraId="3031FEC9"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32.6.3. operaționalizarea spațiilor suplimentare pentru cazare de urgență;</w:t>
            </w:r>
          </w:p>
          <w:p w14:paraId="09083F63"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32.6.4. solicitarea și coordonarea asistenței internaționale extinse;</w:t>
            </w:r>
          </w:p>
          <w:p w14:paraId="1C746EB1" w14:textId="77777777"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lastRenderedPageBreak/>
              <w:t>32.6.5. implementarea intervențiilor umanitare de amploare;</w:t>
            </w:r>
          </w:p>
          <w:p w14:paraId="62450168" w14:textId="123AF56A"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32.6.6. instituirea altor măsuri speciale, în condițiile legii, proporționale cu nivelul de risc și necesități.”.</w:t>
            </w:r>
          </w:p>
        </w:tc>
        <w:tc>
          <w:tcPr>
            <w:tcW w:w="3685" w:type="dxa"/>
          </w:tcPr>
          <w:p w14:paraId="0C53F071" w14:textId="2255FDD7" w:rsidR="008F5BA1" w:rsidRPr="007D40FD" w:rsidRDefault="008F5BA1" w:rsidP="00B8092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lastRenderedPageBreak/>
              <w:t xml:space="preserve">Nu se acceptă. </w:t>
            </w:r>
            <w:r w:rsidRPr="007D40FD">
              <w:rPr>
                <w:rFonts w:ascii="Times New Roman" w:hAnsi="Times New Roman"/>
                <w:sz w:val="24"/>
                <w:szCs w:val="24"/>
                <w:lang w:val="ro-RO"/>
              </w:rPr>
              <w:t xml:space="preserve">Proiectul mecanismului stabilește deja un model de răspuns etapizat, în conformitate cu prevederile Legii nr. 248/2025 privind managementul situațiilor de criză, bazat pe etapele de prevenire, pregătire, răspuns și recuperare. Introducerea unor scenarii suplimentare de tip </w:t>
            </w:r>
            <w:r w:rsidRPr="007D40FD">
              <w:rPr>
                <w:rFonts w:ascii="Times New Roman" w:hAnsi="Times New Roman"/>
                <w:sz w:val="24"/>
                <w:szCs w:val="24"/>
                <w:lang w:val="ro-RO"/>
              </w:rPr>
              <w:lastRenderedPageBreak/>
              <w:t>„verde/galben/roșu” ar crea un sistem paralel de clasificare a nivelului de intervenție, care nu este prevăzut de cadrul legal și ar putea genera suprapuneri conceptuale și operaționale. Totodată, mecanismul prevede deja adaptarea graduală a măsurilor în funcție de evoluția situației, evaluarea riscurilor și capacitatea instituțională de răspuns, ceea ce permite autorităților competente să dimensioneze intervenția în mod flexibil și proporțional.</w:t>
            </w:r>
          </w:p>
        </w:tc>
      </w:tr>
      <w:tr w:rsidR="008F5BA1" w:rsidRPr="007D40FD" w14:paraId="545154DC" w14:textId="77777777" w:rsidTr="0006422A">
        <w:trPr>
          <w:trHeight w:val="70"/>
        </w:trPr>
        <w:tc>
          <w:tcPr>
            <w:tcW w:w="2163" w:type="dxa"/>
            <w:vMerge/>
            <w:tcMar>
              <w:top w:w="0" w:type="dxa"/>
              <w:left w:w="108" w:type="dxa"/>
              <w:bottom w:w="0" w:type="dxa"/>
              <w:right w:w="108" w:type="dxa"/>
            </w:tcMar>
          </w:tcPr>
          <w:p w14:paraId="44FE72DF"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70899CCA"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6A50F208" w14:textId="281B95FB" w:rsidR="008F5BA1" w:rsidRPr="007D40FD" w:rsidRDefault="008F5BA1" w:rsidP="00791855">
            <w:pPr>
              <w:pBdr>
                <w:top w:val="none" w:sz="4" w:space="0" w:color="000000"/>
                <w:left w:val="none" w:sz="4" w:space="0" w:color="000000"/>
                <w:bottom w:val="none" w:sz="4" w:space="0" w:color="000000"/>
                <w:right w:val="none" w:sz="4" w:space="0" w:color="000000"/>
              </w:pBdr>
              <w:tabs>
                <w:tab w:val="left" w:pos="971"/>
              </w:tabs>
              <w:ind w:firstLine="0"/>
              <w:rPr>
                <w:rFonts w:ascii="Times New Roman" w:hAnsi="Times New Roman"/>
                <w:bCs/>
                <w:sz w:val="24"/>
                <w:szCs w:val="24"/>
                <w:lang w:val="ro-RO"/>
              </w:rPr>
            </w:pPr>
            <w:r w:rsidRPr="007D40FD">
              <w:rPr>
                <w:rFonts w:ascii="Times New Roman" w:hAnsi="Times New Roman"/>
                <w:bCs/>
                <w:sz w:val="24"/>
                <w:szCs w:val="24"/>
                <w:lang w:val="ro-RO"/>
              </w:rPr>
              <w:t xml:space="preserve">La Mecanismul național la </w:t>
            </w:r>
            <w:proofErr w:type="spellStart"/>
            <w:r w:rsidRPr="007D40FD">
              <w:rPr>
                <w:rFonts w:ascii="Times New Roman" w:hAnsi="Times New Roman"/>
                <w:bCs/>
                <w:sz w:val="24"/>
                <w:szCs w:val="24"/>
                <w:lang w:val="ro-RO"/>
              </w:rPr>
              <w:t>subpct</w:t>
            </w:r>
            <w:proofErr w:type="spellEnd"/>
            <w:r w:rsidRPr="007D40FD">
              <w:rPr>
                <w:rFonts w:ascii="Times New Roman" w:hAnsi="Times New Roman"/>
                <w:bCs/>
                <w:sz w:val="24"/>
                <w:szCs w:val="24"/>
                <w:lang w:val="ro-RO"/>
              </w:rPr>
              <w:t>. 49.1.1, cuvintele „a stării” se substituie cu cuvântul „starea”.</w:t>
            </w:r>
          </w:p>
        </w:tc>
        <w:tc>
          <w:tcPr>
            <w:tcW w:w="3685" w:type="dxa"/>
          </w:tcPr>
          <w:p w14:paraId="3E621877" w14:textId="3F4E5132" w:rsidR="008F5BA1" w:rsidRPr="007D40FD" w:rsidRDefault="008F5BA1" w:rsidP="00D008E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b/>
                <w:bCs/>
                <w:color w:val="000000" w:themeColor="text1"/>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32733F15" w14:textId="77777777" w:rsidTr="0006422A">
        <w:trPr>
          <w:trHeight w:val="70"/>
        </w:trPr>
        <w:tc>
          <w:tcPr>
            <w:tcW w:w="2163" w:type="dxa"/>
            <w:vMerge/>
            <w:tcMar>
              <w:top w:w="0" w:type="dxa"/>
              <w:left w:w="108" w:type="dxa"/>
              <w:bottom w:w="0" w:type="dxa"/>
              <w:right w:w="108" w:type="dxa"/>
            </w:tcMar>
          </w:tcPr>
          <w:p w14:paraId="14BFC650"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1C27AE5A"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39586A85" w14:textId="30881D68" w:rsidR="008F5BA1" w:rsidRPr="007D40FD" w:rsidRDefault="008F5BA1" w:rsidP="00AE566B">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bCs/>
                <w:sz w:val="24"/>
                <w:szCs w:val="24"/>
                <w:lang w:val="ro-RO"/>
              </w:rPr>
              <w:t xml:space="preserve">La Mecanismul național, </w:t>
            </w:r>
            <w:r w:rsidRPr="007D40FD">
              <w:rPr>
                <w:rFonts w:ascii="Times New Roman" w:hAnsi="Times New Roman"/>
                <w:sz w:val="24"/>
                <w:szCs w:val="24"/>
                <w:lang w:val="ro-RO" w:eastAsia="ru-RU"/>
              </w:rPr>
              <w:t>în vederea asigurării clarității responsabilităților, la pct. 55</w:t>
            </w:r>
            <w:r w:rsidRPr="007D40FD">
              <w:rPr>
                <w:rFonts w:ascii="Times New Roman" w:hAnsi="Times New Roman"/>
                <w:b/>
                <w:bCs/>
                <w:sz w:val="24"/>
                <w:szCs w:val="24"/>
                <w:lang w:val="ro-RO" w:eastAsia="ru-RU"/>
              </w:rPr>
              <w:t xml:space="preserve"> </w:t>
            </w:r>
            <w:r w:rsidRPr="007D40FD">
              <w:rPr>
                <w:rFonts w:ascii="Times New Roman" w:hAnsi="Times New Roman"/>
                <w:sz w:val="24"/>
                <w:szCs w:val="24"/>
                <w:lang w:val="ro-RO" w:eastAsia="ru-RU"/>
              </w:rPr>
              <w:t>se propune clarificarea privind subdiviziunile din cadrul căror instituții se referă norma, indicând dacă acestea fac parte din autoritățile/instituțiile implicate direct în gestionarea situației umanitare sau acestea sunt parte componentă a Centrului Național de Management al Crizelor.</w:t>
            </w:r>
          </w:p>
        </w:tc>
        <w:tc>
          <w:tcPr>
            <w:tcW w:w="3685" w:type="dxa"/>
          </w:tcPr>
          <w:p w14:paraId="0FFB3029" w14:textId="5B69555E" w:rsidR="008F5BA1" w:rsidRPr="007D40FD" w:rsidRDefault="008F5BA1" w:rsidP="00AE566B">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Nu se acceptă. </w:t>
            </w:r>
            <w:r w:rsidRPr="007D40FD">
              <w:rPr>
                <w:rFonts w:ascii="Times New Roman" w:hAnsi="Times New Roman"/>
                <w:sz w:val="24"/>
                <w:szCs w:val="24"/>
                <w:lang w:val="ro-RO"/>
              </w:rPr>
              <w:t>Norma are caracter general și se referă la subdiviziunile specializate în relații cu publicul din cadrul autorităților și instituțiilor implicate în gestionarea situației. Organizarea și structura acestor subdiviziuni sunt stabilite prin actele normative și regulamentele interne ale fiecărei instituții, motiv pentru care nu este necesară enumerarea expresă a acestora în mecanism. Totodată, prevederea stabilește cadrul de coordonare a comunicării publice prin intermediul Centrului Național de Management al Crizelor.</w:t>
            </w:r>
          </w:p>
        </w:tc>
      </w:tr>
      <w:tr w:rsidR="008F5BA1" w:rsidRPr="007D40FD" w14:paraId="1C1A02BA" w14:textId="77777777" w:rsidTr="0006422A">
        <w:trPr>
          <w:trHeight w:val="70"/>
        </w:trPr>
        <w:tc>
          <w:tcPr>
            <w:tcW w:w="2163" w:type="dxa"/>
            <w:vMerge/>
            <w:tcMar>
              <w:top w:w="0" w:type="dxa"/>
              <w:left w:w="108" w:type="dxa"/>
              <w:bottom w:w="0" w:type="dxa"/>
              <w:right w:w="108" w:type="dxa"/>
            </w:tcMar>
          </w:tcPr>
          <w:p w14:paraId="0E9656F6"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3892E552"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76745F57" w14:textId="55C154A9" w:rsidR="008F5BA1" w:rsidRPr="007D40FD" w:rsidRDefault="008F5BA1" w:rsidP="00AE566B">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Planul de contingență al acțiunilor de răspuns pe sectoarele de intervenție din Anexa nr. 1 nu ar trebui să conțină acțiuni exprese tangente refugiaților din Ucraina, deoarece o potențială criză (fie conflict armat, fie dezastru) poate afecta și alte state. În acest sens, se propune excluderea cuvintelor „din Ucraina” la acțiunile 2.1.1, 2.1.5, în coloana „Acțiuni parteneri externi (OI/ONG)” aferentă acțiunii 2.1.9 și la alte acțiuni relevante din Plan. Prin urmare, întregul Plan urmează a fi revizuit și formulat într-o manieră generală, astfel încât să permită aplicarea pentru orice tip de situație de criză, indiferent de context.</w:t>
            </w:r>
          </w:p>
        </w:tc>
        <w:tc>
          <w:tcPr>
            <w:tcW w:w="3685" w:type="dxa"/>
          </w:tcPr>
          <w:p w14:paraId="697A83AA" w14:textId="68014A8C" w:rsidR="008F5BA1" w:rsidRPr="007D40FD" w:rsidRDefault="008F5BA1" w:rsidP="00031BED">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Nu se acceptă. </w:t>
            </w:r>
            <w:r w:rsidRPr="007D40FD">
              <w:rPr>
                <w:rFonts w:ascii="Times New Roman" w:hAnsi="Times New Roman"/>
                <w:sz w:val="24"/>
                <w:szCs w:val="24"/>
                <w:lang w:val="ro-RO"/>
              </w:rPr>
              <w:t xml:space="preserve">Planul de contingență este elaborat în baza scenariului de planificare prevăzut în Capitolul IV al Mecanismului național, care are la bază contextul geopolitic regional și riscurile identificate pentru Republica Moldova. Referințele la refugiații proveniți din Ucraina reflectă scenariul operațional cel mai probabil pentru planificarea capacităților de răspuns ale autorităților. Totodată, mecanismul are ca obiect gestionarea unui aflux </w:t>
            </w:r>
            <w:r w:rsidRPr="007D40FD">
              <w:rPr>
                <w:rFonts w:ascii="Times New Roman" w:hAnsi="Times New Roman"/>
                <w:sz w:val="24"/>
                <w:szCs w:val="24"/>
                <w:lang w:val="ro-RO"/>
              </w:rPr>
              <w:lastRenderedPageBreak/>
              <w:t>sporit de străini, iar măsurile prevăzute pot fi aplicate, prin analogie, și în alte situații similare, fără a fi necesară reformularea integrală a planului într-o manieră generică.</w:t>
            </w:r>
          </w:p>
        </w:tc>
      </w:tr>
      <w:tr w:rsidR="008F5BA1" w:rsidRPr="007D40FD" w14:paraId="501E7EA5" w14:textId="77777777" w:rsidTr="0006422A">
        <w:trPr>
          <w:trHeight w:val="70"/>
        </w:trPr>
        <w:tc>
          <w:tcPr>
            <w:tcW w:w="2163" w:type="dxa"/>
            <w:vMerge/>
            <w:tcMar>
              <w:top w:w="0" w:type="dxa"/>
              <w:left w:w="108" w:type="dxa"/>
              <w:bottom w:w="0" w:type="dxa"/>
              <w:right w:w="108" w:type="dxa"/>
            </w:tcMar>
          </w:tcPr>
          <w:p w14:paraId="5F57B1C2"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424B5B7C"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60016F20" w14:textId="5AC3C03E" w:rsidR="008F5BA1" w:rsidRPr="007D40FD" w:rsidRDefault="008F5BA1" w:rsidP="00031BED">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La Anexa nr. 1 la acțiunea nr. 2.1.9., se propune completarea compartimentului „Acțiuni structuri de suport (GOV)” cu următoarea acțiune: „- consiliere informațională privind drepturile victimelor violenței împotriva femeilor, violenței în familie și traficului de ființe umane, precum și serviciile specializate pe care acestea le pot accesa”.</w:t>
            </w:r>
          </w:p>
        </w:tc>
        <w:tc>
          <w:tcPr>
            <w:tcW w:w="3685" w:type="dxa"/>
          </w:tcPr>
          <w:p w14:paraId="3210F89D" w14:textId="15C61CEB"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70E7BEE1" w14:textId="77777777" w:rsidTr="0006422A">
        <w:trPr>
          <w:trHeight w:val="70"/>
        </w:trPr>
        <w:tc>
          <w:tcPr>
            <w:tcW w:w="2163" w:type="dxa"/>
            <w:vMerge/>
            <w:tcMar>
              <w:top w:w="0" w:type="dxa"/>
              <w:left w:w="108" w:type="dxa"/>
              <w:bottom w:w="0" w:type="dxa"/>
              <w:right w:w="108" w:type="dxa"/>
            </w:tcMar>
          </w:tcPr>
          <w:p w14:paraId="52852C4B"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5A011482"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767CA234" w14:textId="7196BDBD" w:rsidR="008F5BA1" w:rsidRPr="007D40FD" w:rsidRDefault="008F5BA1" w:rsidP="0037500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Planul de contingență stabilește acțiuni pentru Consiliul pentru egalitate, astfel, proiectul urmează a fi consultat cu această instituție.</w:t>
            </w:r>
          </w:p>
        </w:tc>
        <w:tc>
          <w:tcPr>
            <w:tcW w:w="3685" w:type="dxa"/>
          </w:tcPr>
          <w:p w14:paraId="2667A312" w14:textId="3A8DCD3F"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S-a luat act</w:t>
            </w:r>
            <w:r w:rsidRPr="007D40FD">
              <w:rPr>
                <w:rFonts w:ascii="Times New Roman" w:hAnsi="Times New Roman"/>
                <w:b/>
                <w:bCs/>
                <w:color w:val="000000" w:themeColor="text1"/>
                <w:sz w:val="24"/>
                <w:szCs w:val="24"/>
                <w:lang w:val="ro-RO"/>
              </w:rPr>
              <w:t>.</w:t>
            </w:r>
          </w:p>
        </w:tc>
      </w:tr>
      <w:tr w:rsidR="008F5BA1" w:rsidRPr="007D40FD" w14:paraId="400DAEBA" w14:textId="77777777" w:rsidTr="0006422A">
        <w:trPr>
          <w:trHeight w:val="70"/>
        </w:trPr>
        <w:tc>
          <w:tcPr>
            <w:tcW w:w="2163" w:type="dxa"/>
            <w:vMerge/>
            <w:tcMar>
              <w:top w:w="0" w:type="dxa"/>
              <w:left w:w="108" w:type="dxa"/>
              <w:bottom w:w="0" w:type="dxa"/>
              <w:right w:w="108" w:type="dxa"/>
            </w:tcMar>
          </w:tcPr>
          <w:p w14:paraId="35349393"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3D0E45FE"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67A00813" w14:textId="42F26978" w:rsidR="008F5BA1" w:rsidRPr="007D40FD" w:rsidRDefault="008F5BA1" w:rsidP="0037500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La Anexa nr. 1 la compartimentul 2. Frontiera de stat, Secțiunea „Indicatori de monitorizare”, se propune de completat cu indicatorul „numărul de copii străini neînsoțiți”.</w:t>
            </w:r>
          </w:p>
        </w:tc>
        <w:tc>
          <w:tcPr>
            <w:tcW w:w="3685" w:type="dxa"/>
          </w:tcPr>
          <w:p w14:paraId="0162A2D6" w14:textId="566FB82E"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1404E6DF" w14:textId="77777777" w:rsidTr="0006422A">
        <w:trPr>
          <w:trHeight w:val="70"/>
        </w:trPr>
        <w:tc>
          <w:tcPr>
            <w:tcW w:w="2163" w:type="dxa"/>
            <w:vMerge/>
            <w:tcMar>
              <w:top w:w="0" w:type="dxa"/>
              <w:left w:w="108" w:type="dxa"/>
              <w:bottom w:w="0" w:type="dxa"/>
              <w:right w:w="108" w:type="dxa"/>
            </w:tcMar>
          </w:tcPr>
          <w:p w14:paraId="78A5F827"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122DF911"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10D799EA" w14:textId="77247C12" w:rsidR="008F5BA1" w:rsidRPr="007D40FD" w:rsidRDefault="008F5BA1" w:rsidP="0037500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La Anexa nr. 1 la Obiectivul 2.1. Managementul fluxului sporit de persoane la intrarea/ieșirea de pe teritoriul RM, la acțiunea 2.1.6. Evidența minorilor la intrarea și ieșirea din țară:</w:t>
            </w:r>
          </w:p>
          <w:p w14:paraId="65992A62" w14:textId="46DE8C0C" w:rsidR="008F5BA1" w:rsidRPr="007D40FD" w:rsidRDefault="008F5BA1" w:rsidP="0037500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xml:space="preserve">3.5.1. </w:t>
            </w:r>
            <w:proofErr w:type="spellStart"/>
            <w:r w:rsidRPr="007D40FD">
              <w:rPr>
                <w:rFonts w:ascii="Times New Roman" w:hAnsi="Times New Roman"/>
                <w:bCs/>
                <w:sz w:val="24"/>
                <w:szCs w:val="24"/>
                <w:lang w:val="ro-RO"/>
              </w:rPr>
              <w:t>colonița</w:t>
            </w:r>
            <w:proofErr w:type="spellEnd"/>
            <w:r w:rsidRPr="007D40FD">
              <w:rPr>
                <w:rFonts w:ascii="Times New Roman" w:hAnsi="Times New Roman"/>
                <w:bCs/>
                <w:sz w:val="24"/>
                <w:szCs w:val="24"/>
                <w:lang w:val="ro-RO"/>
              </w:rPr>
              <w:t xml:space="preserve"> Instituție de sprijin (GOV), urmează a fi completată cu abrevierea „ATT” (Autoritățile Tutelare Teritoriale), luând în considerare că autoritățile tutelare teritoriale din mun. Chișinău și din UTA Găgăuzia nu se subordonează Ministerului Muncii și Protecției Sociale;</w:t>
            </w:r>
          </w:p>
          <w:p w14:paraId="08B8AF43" w14:textId="0BD6B781" w:rsidR="008F5BA1" w:rsidRPr="007D40FD" w:rsidRDefault="008F5BA1" w:rsidP="0037500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xml:space="preserve">3.5.2. în </w:t>
            </w:r>
            <w:proofErr w:type="spellStart"/>
            <w:r w:rsidRPr="007D40FD">
              <w:rPr>
                <w:rFonts w:ascii="Times New Roman" w:hAnsi="Times New Roman"/>
                <w:bCs/>
                <w:sz w:val="24"/>
                <w:szCs w:val="24"/>
                <w:lang w:val="ro-RO"/>
              </w:rPr>
              <w:t>colonița</w:t>
            </w:r>
            <w:proofErr w:type="spellEnd"/>
            <w:r w:rsidRPr="007D40FD">
              <w:rPr>
                <w:rFonts w:ascii="Times New Roman" w:hAnsi="Times New Roman"/>
                <w:bCs/>
                <w:sz w:val="24"/>
                <w:szCs w:val="24"/>
                <w:lang w:val="ro-RO"/>
              </w:rPr>
              <w:t xml:space="preserve"> Acțiuni structurii de suport (GOV), textul „- sprijin cu personal;” urmează a fi exclus, deoarece domeniul social nu dispune de personal pentru a asigura evidența tuturor copiilor care intră sau care ies din țară.</w:t>
            </w:r>
          </w:p>
        </w:tc>
        <w:tc>
          <w:tcPr>
            <w:tcW w:w="3685" w:type="dxa"/>
          </w:tcPr>
          <w:p w14:paraId="302845A7" w14:textId="01AF5E47"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40CE85F4" w14:textId="77777777" w:rsidTr="0006422A">
        <w:trPr>
          <w:trHeight w:val="70"/>
        </w:trPr>
        <w:tc>
          <w:tcPr>
            <w:tcW w:w="2163" w:type="dxa"/>
            <w:vMerge/>
            <w:tcMar>
              <w:top w:w="0" w:type="dxa"/>
              <w:left w:w="108" w:type="dxa"/>
              <w:bottom w:w="0" w:type="dxa"/>
              <w:right w:w="108" w:type="dxa"/>
            </w:tcMar>
          </w:tcPr>
          <w:p w14:paraId="60B09E7F"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72BD668B"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6713DEBA" w14:textId="69A6B2BC" w:rsidR="008F5BA1" w:rsidRPr="007D40FD" w:rsidRDefault="008F5BA1" w:rsidP="009D07BF">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xml:space="preserve">La Anexa nr. 1 la Obiectivul 2.3 Fluidizarea procesului de transportare a persoanelor, la acțiunea 2.3.3 Amenajarea platformelor de recreare și odihnă (WC, asistență medicală, etc.), în </w:t>
            </w:r>
            <w:proofErr w:type="spellStart"/>
            <w:r w:rsidRPr="007D40FD">
              <w:rPr>
                <w:rFonts w:ascii="Times New Roman" w:hAnsi="Times New Roman"/>
                <w:bCs/>
                <w:sz w:val="24"/>
                <w:szCs w:val="24"/>
                <w:lang w:val="ro-RO"/>
              </w:rPr>
              <w:t>colonița</w:t>
            </w:r>
            <w:proofErr w:type="spellEnd"/>
            <w:r w:rsidRPr="007D40FD">
              <w:rPr>
                <w:rFonts w:ascii="Times New Roman" w:hAnsi="Times New Roman"/>
                <w:bCs/>
                <w:sz w:val="24"/>
                <w:szCs w:val="24"/>
                <w:lang w:val="ro-RO"/>
              </w:rPr>
              <w:t xml:space="preserve"> Instituție principală (GOV) urmează a fi exclusă abrevierea „MMPS”, deoarece acțiunea depășește atribuțiile Ministerului Muncii și Protecției Sociale.</w:t>
            </w:r>
          </w:p>
        </w:tc>
        <w:tc>
          <w:tcPr>
            <w:tcW w:w="3685" w:type="dxa"/>
          </w:tcPr>
          <w:p w14:paraId="005465B5" w14:textId="53CF718E"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6354AEF8" w14:textId="77777777" w:rsidTr="0006422A">
        <w:trPr>
          <w:trHeight w:val="70"/>
        </w:trPr>
        <w:tc>
          <w:tcPr>
            <w:tcW w:w="2163" w:type="dxa"/>
            <w:vMerge/>
            <w:tcMar>
              <w:top w:w="0" w:type="dxa"/>
              <w:left w:w="108" w:type="dxa"/>
              <w:bottom w:w="0" w:type="dxa"/>
              <w:right w:w="108" w:type="dxa"/>
            </w:tcMar>
          </w:tcPr>
          <w:p w14:paraId="75220B17"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3610717C"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2FDE6CE7" w14:textId="3934569E" w:rsidR="008F5BA1" w:rsidRPr="007D40FD" w:rsidRDefault="008F5BA1" w:rsidP="009D07BF">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La Anexa nr. 1 la acțiunea 2.3.3, având în vedere că aceasta vizează inclusiv acordarea asistenței medicale, coloana instituții responsabile urmează a fi completată cu Ministerul Sănătății.</w:t>
            </w:r>
          </w:p>
        </w:tc>
        <w:tc>
          <w:tcPr>
            <w:tcW w:w="3685" w:type="dxa"/>
          </w:tcPr>
          <w:p w14:paraId="03049F02" w14:textId="4AC9FC5D"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111BC3E8" w14:textId="77777777" w:rsidTr="0006422A">
        <w:trPr>
          <w:trHeight w:val="70"/>
        </w:trPr>
        <w:tc>
          <w:tcPr>
            <w:tcW w:w="2163" w:type="dxa"/>
            <w:vMerge/>
            <w:tcMar>
              <w:top w:w="0" w:type="dxa"/>
              <w:left w:w="108" w:type="dxa"/>
              <w:bottom w:w="0" w:type="dxa"/>
              <w:right w:w="108" w:type="dxa"/>
            </w:tcMar>
          </w:tcPr>
          <w:p w14:paraId="46E17AF5"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5336E683"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7C3623CD" w14:textId="1E449364" w:rsidR="008F5BA1" w:rsidRPr="007D40FD" w:rsidRDefault="008F5BA1" w:rsidP="009D07BF">
            <w:pPr>
              <w:autoSpaceDE w:val="0"/>
              <w:autoSpaceDN w:val="0"/>
              <w:adjustRightInd w:val="0"/>
              <w:ind w:firstLine="0"/>
              <w:jc w:val="left"/>
              <w:rPr>
                <w:rFonts w:ascii="Times New Roman" w:hAnsi="Times New Roman"/>
                <w:sz w:val="24"/>
                <w:szCs w:val="24"/>
                <w:lang w:val="ro-RO" w:eastAsia="ru-RU"/>
              </w:rPr>
            </w:pPr>
            <w:r w:rsidRPr="007D40FD">
              <w:rPr>
                <w:rFonts w:ascii="Times New Roman" w:hAnsi="Times New Roman"/>
                <w:bCs/>
                <w:sz w:val="24"/>
                <w:szCs w:val="24"/>
                <w:lang w:val="ro-RO"/>
              </w:rPr>
              <w:t xml:space="preserve">La Anexa nr. 1 </w:t>
            </w:r>
            <w:r w:rsidRPr="007D40FD">
              <w:rPr>
                <w:rFonts w:ascii="Times New Roman" w:hAnsi="Times New Roman"/>
                <w:sz w:val="24"/>
                <w:szCs w:val="24"/>
                <w:lang w:val="ro-RO" w:eastAsia="ru-RU"/>
              </w:rPr>
              <w:t>Acțiunea nr. 2.3.4., după sintagma „CPTPR” se va completa cu sintagma „centrelor prestatoare de servicii specializate”.</w:t>
            </w:r>
          </w:p>
        </w:tc>
        <w:tc>
          <w:tcPr>
            <w:tcW w:w="3685" w:type="dxa"/>
          </w:tcPr>
          <w:p w14:paraId="4408651C" w14:textId="4AB47D26"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4A36EB3A" w14:textId="77777777" w:rsidTr="0006422A">
        <w:trPr>
          <w:trHeight w:val="70"/>
        </w:trPr>
        <w:tc>
          <w:tcPr>
            <w:tcW w:w="2163" w:type="dxa"/>
            <w:vMerge/>
            <w:tcMar>
              <w:top w:w="0" w:type="dxa"/>
              <w:left w:w="108" w:type="dxa"/>
              <w:bottom w:w="0" w:type="dxa"/>
              <w:right w:w="108" w:type="dxa"/>
            </w:tcMar>
          </w:tcPr>
          <w:p w14:paraId="794B3F12"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56BF83AF"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0C2BAB04" w14:textId="2FD32AAA" w:rsidR="008F5BA1" w:rsidRPr="007D40FD" w:rsidRDefault="008F5BA1" w:rsidP="004E6AFA">
            <w:pPr>
              <w:autoSpaceDE w:val="0"/>
              <w:autoSpaceDN w:val="0"/>
              <w:adjustRightInd w:val="0"/>
              <w:ind w:firstLine="0"/>
              <w:jc w:val="left"/>
              <w:rPr>
                <w:rFonts w:ascii="Times New Roman" w:hAnsi="Times New Roman"/>
                <w:sz w:val="24"/>
                <w:szCs w:val="24"/>
                <w:lang w:val="ro-RO" w:eastAsia="ru-RU"/>
              </w:rPr>
            </w:pPr>
            <w:r w:rsidRPr="007D40FD">
              <w:rPr>
                <w:rFonts w:ascii="Times New Roman" w:hAnsi="Times New Roman"/>
                <w:bCs/>
                <w:sz w:val="24"/>
                <w:szCs w:val="24"/>
                <w:lang w:val="ro-RO"/>
              </w:rPr>
              <w:t xml:space="preserve">La Anexa nr. 1 </w:t>
            </w:r>
            <w:r w:rsidRPr="007D40FD">
              <w:rPr>
                <w:rFonts w:ascii="Times New Roman" w:hAnsi="Times New Roman"/>
                <w:sz w:val="24"/>
                <w:szCs w:val="24"/>
                <w:lang w:val="ro-RO" w:eastAsia="ru-RU"/>
              </w:rPr>
              <w:t>la acțiunea 3.2.2</w:t>
            </w:r>
            <w:r w:rsidRPr="007D40FD">
              <w:rPr>
                <w:rFonts w:ascii="Times New Roman" w:hAnsi="Times New Roman"/>
                <w:b/>
                <w:bCs/>
                <w:sz w:val="24"/>
                <w:szCs w:val="24"/>
                <w:lang w:val="ro-RO" w:eastAsia="ru-RU"/>
              </w:rPr>
              <w:t xml:space="preserve">, </w:t>
            </w:r>
            <w:r w:rsidRPr="007D40FD">
              <w:rPr>
                <w:rFonts w:ascii="Times New Roman" w:hAnsi="Times New Roman"/>
                <w:sz w:val="24"/>
                <w:szCs w:val="24"/>
                <w:lang w:val="ro-RO" w:eastAsia="ru-RU"/>
              </w:rPr>
              <w:t>se propune substituirea cuvântului „Creșterea” cu cuvintele „Intensificarea și eficientizarea”.</w:t>
            </w:r>
          </w:p>
        </w:tc>
        <w:tc>
          <w:tcPr>
            <w:tcW w:w="3685" w:type="dxa"/>
          </w:tcPr>
          <w:p w14:paraId="024C7526" w14:textId="5C74D042"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63126226" w14:textId="77777777" w:rsidTr="0006422A">
        <w:trPr>
          <w:trHeight w:val="70"/>
        </w:trPr>
        <w:tc>
          <w:tcPr>
            <w:tcW w:w="2163" w:type="dxa"/>
            <w:vMerge/>
            <w:tcMar>
              <w:top w:w="0" w:type="dxa"/>
              <w:left w:w="108" w:type="dxa"/>
              <w:bottom w:w="0" w:type="dxa"/>
              <w:right w:w="108" w:type="dxa"/>
            </w:tcMar>
          </w:tcPr>
          <w:p w14:paraId="02532C82"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4BDF33D8"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1C8185AF" w14:textId="60872E79" w:rsidR="008F5BA1" w:rsidRPr="007D40FD" w:rsidRDefault="008F5BA1" w:rsidP="00B24F57">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La Anexa la acțiunile nr. 4.2.1. și 4.2.2. la rubrica „Acțiuni parteneri externi” textul va avea următorul cuprins: „Distribuirea pliantelor informative destinate refugiaților, privind liniile de asistență telefonică disponibile și măsurile de prevenire a traficului de ființe umane”. Totodată, propunem a fi revizuită acțiunea nr. 4.2.2, încât să se pună accent inclusiv pe identificarea victimelor și prezumatelor victime ale traficului de ființe umane. În acest sens, acțiunea va avea următorul cuprins: „4.2.2. Desfășurarea activităților de prevenire și combatere a traficului de ființe umane, identificare a victimelor și a traficanților.”. În urma reformulării acțiunii nr. 4.2.2, se impune ajustarea corespunzătoare a listei acțiunilor realizate de organele de suport (GOV), astfel încât aceasta să reflecte pe deplin dimensiunea de prevenire și combatere a traficului de ființe umane și identificare a victimelor și traficanților, după cum urmează:</w:t>
            </w:r>
          </w:p>
          <w:p w14:paraId="2FF247F1" w14:textId="77777777" w:rsidR="008F5BA1" w:rsidRPr="007D40FD" w:rsidRDefault="008F5BA1" w:rsidP="00B24F57">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asigurarea suportului informațional pentru persoanele aflate în situație de risc;</w:t>
            </w:r>
          </w:p>
          <w:p w14:paraId="7CBEB952" w14:textId="77777777" w:rsidR="008F5BA1" w:rsidRPr="007D40FD" w:rsidRDefault="008F5BA1" w:rsidP="00B24F57">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activarea mecanismelor de identificare a victimelor traficului de ființe umane;</w:t>
            </w:r>
          </w:p>
          <w:p w14:paraId="3BD877A6" w14:textId="1ECB887B" w:rsidR="008F5BA1" w:rsidRPr="007D40FD" w:rsidRDefault="008F5BA1" w:rsidP="00B24F57">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dispunerea măsurilor de protecție și referire a victimelor identificate către servicii specializate;</w:t>
            </w:r>
          </w:p>
          <w:p w14:paraId="7A72F4B1" w14:textId="77777777" w:rsidR="008F5BA1" w:rsidRPr="007D40FD" w:rsidRDefault="008F5BA1" w:rsidP="00B24F57">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intensificarea măsurilor de identificare și documentare a traficanților;</w:t>
            </w:r>
          </w:p>
          <w:p w14:paraId="4CD4BD49" w14:textId="27221EE4" w:rsidR="008F5BA1" w:rsidRPr="007D40FD" w:rsidRDefault="008F5BA1" w:rsidP="00B24F57">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consolidarea schimbului de informații între autoritățile competente.</w:t>
            </w:r>
          </w:p>
        </w:tc>
        <w:tc>
          <w:tcPr>
            <w:tcW w:w="3685" w:type="dxa"/>
          </w:tcPr>
          <w:p w14:paraId="186E85DE" w14:textId="5AC959CF"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5AAA7B19" w14:textId="77777777" w:rsidTr="0006422A">
        <w:trPr>
          <w:trHeight w:val="70"/>
        </w:trPr>
        <w:tc>
          <w:tcPr>
            <w:tcW w:w="2163" w:type="dxa"/>
            <w:vMerge/>
            <w:tcMar>
              <w:top w:w="0" w:type="dxa"/>
              <w:left w:w="108" w:type="dxa"/>
              <w:bottom w:w="0" w:type="dxa"/>
              <w:right w:w="108" w:type="dxa"/>
            </w:tcMar>
          </w:tcPr>
          <w:p w14:paraId="6205B45B"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0FE4F6B4"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5DD92397" w14:textId="1B288486" w:rsidR="008F5BA1" w:rsidRPr="007D40FD" w:rsidRDefault="008F5BA1" w:rsidP="009A601E">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La Anexa nr. 1 la acțiunea 4.3.2, sintagma „persoanelor cu nevoi de protecție” necesită a fi revizuită, întrucât are caracter generic și de asemenea nu este uzuală în documentele oficiale. Se recomandă înlocuirea acesteia cu textul: „</w:t>
            </w:r>
            <w:bookmarkStart w:id="0" w:name="_Hlk223956700"/>
            <w:r w:rsidRPr="007D40FD">
              <w:rPr>
                <w:rFonts w:ascii="Times New Roman" w:hAnsi="Times New Roman"/>
                <w:bCs/>
                <w:sz w:val="24"/>
                <w:szCs w:val="24"/>
                <w:lang w:val="ro-RO"/>
              </w:rPr>
              <w:t>persoanelor aflate în situații de risc sau vulnerabilitate</w:t>
            </w:r>
            <w:bookmarkEnd w:id="0"/>
            <w:r w:rsidRPr="007D40FD">
              <w:rPr>
                <w:rFonts w:ascii="Times New Roman" w:hAnsi="Times New Roman"/>
                <w:bCs/>
                <w:sz w:val="24"/>
                <w:szCs w:val="24"/>
                <w:lang w:val="ro-RO"/>
              </w:rPr>
              <w:t>”, care asigură mai multă claritate și precizie în identificarea grupurilor țintă.</w:t>
            </w:r>
          </w:p>
        </w:tc>
        <w:tc>
          <w:tcPr>
            <w:tcW w:w="3685" w:type="dxa"/>
          </w:tcPr>
          <w:p w14:paraId="6E374DA4" w14:textId="536B4F3A"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3676DB66" w14:textId="77777777" w:rsidTr="0006422A">
        <w:trPr>
          <w:trHeight w:val="70"/>
        </w:trPr>
        <w:tc>
          <w:tcPr>
            <w:tcW w:w="2163" w:type="dxa"/>
            <w:vMerge/>
            <w:tcMar>
              <w:top w:w="0" w:type="dxa"/>
              <w:left w:w="108" w:type="dxa"/>
              <w:bottom w:w="0" w:type="dxa"/>
              <w:right w:w="108" w:type="dxa"/>
            </w:tcMar>
          </w:tcPr>
          <w:p w14:paraId="1C93B52C"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699A24A9"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204D0DAD" w14:textId="7A4C2581" w:rsidR="008F5BA1" w:rsidRPr="007D40FD" w:rsidRDefault="008F5BA1" w:rsidP="00FA29E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La Anexa nr. 1, sectorul de intervenție „Protecție” va fi completat cu un nou obiectiv, după cum urmează: „Prevenirea și combaterea violenței în familie și a violenței împotriva femeilor, precum și asigurarea protecției victimelor.”</w:t>
            </w:r>
          </w:p>
          <w:p w14:paraId="299A0D0E" w14:textId="1B9A3F83" w:rsidR="008F5BA1" w:rsidRPr="007D40FD" w:rsidRDefault="008F5BA1" w:rsidP="00FA29E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În vederea realizării acestui obiectiv, se propune următoarea acțiune: „Identificarea și sprijinirea victimelor violenței în familie și ale violenței împotriva femeilor”</w:t>
            </w:r>
          </w:p>
          <w:p w14:paraId="15F390BB" w14:textId="77777777" w:rsidR="008F5BA1" w:rsidRPr="007D40FD" w:rsidRDefault="008F5BA1" w:rsidP="00FA29E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Instituție principală: MMPS (prin Agențiile teritoriale de asistență socială)</w:t>
            </w:r>
          </w:p>
          <w:p w14:paraId="3C0403B7" w14:textId="77777777" w:rsidR="008F5BA1" w:rsidRPr="007D40FD" w:rsidRDefault="008F5BA1" w:rsidP="00FA29E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Instituție de sprijin: MAI, MS, MJ</w:t>
            </w:r>
          </w:p>
          <w:p w14:paraId="010F5CA6" w14:textId="77777777" w:rsidR="008F5BA1" w:rsidRPr="007D40FD" w:rsidRDefault="008F5BA1" w:rsidP="00FA29E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Acțiuni implementate de structurile guvernamentale:</w:t>
            </w:r>
          </w:p>
          <w:p w14:paraId="456205A0" w14:textId="77777777" w:rsidR="008F5BA1" w:rsidRPr="007D40FD" w:rsidRDefault="008F5BA1" w:rsidP="00FA29E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identificarea victimelor violenței în familie și ale violenței împotriva femeilor;</w:t>
            </w:r>
          </w:p>
          <w:p w14:paraId="5C7EA33E" w14:textId="77777777" w:rsidR="008F5BA1" w:rsidRPr="007D40FD" w:rsidRDefault="008F5BA1" w:rsidP="00FA29E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acordarea consilierii informaționale privind drepturile victimelor și serviciile disponibile;</w:t>
            </w:r>
          </w:p>
          <w:p w14:paraId="014957D8" w14:textId="77777777" w:rsidR="008F5BA1" w:rsidRPr="007D40FD" w:rsidRDefault="008F5BA1" w:rsidP="00FA29E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referirea victimelor către servicii specializate de asistență și protecție.</w:t>
            </w:r>
          </w:p>
          <w:p w14:paraId="75BBB688" w14:textId="77777777" w:rsidR="008F5BA1" w:rsidRPr="007D40FD" w:rsidRDefault="008F5BA1" w:rsidP="00FA29E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Acțiuni implementate de partenerii externi (organizații internaționale/ONG):</w:t>
            </w:r>
          </w:p>
          <w:p w14:paraId="597D52C4" w14:textId="4F38DF4A" w:rsidR="008F5BA1" w:rsidRPr="007D40FD" w:rsidRDefault="008F5BA1" w:rsidP="00FA29E8">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distribuirea materialelor informative destinate refugiaților, inclusiv informații privind liniile telefonice de asistență disponibile și măsurile de asistență și protecție existente.</w:t>
            </w:r>
          </w:p>
        </w:tc>
        <w:tc>
          <w:tcPr>
            <w:tcW w:w="3685" w:type="dxa"/>
          </w:tcPr>
          <w:p w14:paraId="37DD0E35" w14:textId="4DBCA932"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42EAFC42" w14:textId="77777777" w:rsidTr="0006422A">
        <w:trPr>
          <w:trHeight w:val="70"/>
        </w:trPr>
        <w:tc>
          <w:tcPr>
            <w:tcW w:w="2163" w:type="dxa"/>
            <w:vMerge/>
            <w:tcMar>
              <w:top w:w="0" w:type="dxa"/>
              <w:left w:w="108" w:type="dxa"/>
              <w:bottom w:w="0" w:type="dxa"/>
              <w:right w:w="108" w:type="dxa"/>
            </w:tcMar>
          </w:tcPr>
          <w:p w14:paraId="6BB6AD04"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5A186DEF"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763E50D9" w14:textId="50790013" w:rsidR="008F5BA1" w:rsidRPr="007D40FD" w:rsidRDefault="008F5BA1" w:rsidP="0031494F">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La Anexa nr. 1, Planul de contingență conține acțiuni aferente „combatanților părților beligerante”, fără a ține cont de potențialele părți victime ale unei crize majore, conform definiției din Legea nr. 248/2025, inclusiv victimelor dezastrelor. Prin urmare, se propune ajustarea Planului astfel încât să fie prevăzute măsuri și pentru protecția și asistența persoanelor afectate de crize sau dezastre, indiferent de natura acestora.</w:t>
            </w:r>
          </w:p>
        </w:tc>
        <w:tc>
          <w:tcPr>
            <w:tcW w:w="3685" w:type="dxa"/>
          </w:tcPr>
          <w:p w14:paraId="4FB08BAB" w14:textId="4F5239E8" w:rsidR="008F5BA1" w:rsidRPr="007D40FD" w:rsidRDefault="008F5BA1" w:rsidP="0031494F">
            <w:pPr>
              <w:pBdr>
                <w:top w:val="none" w:sz="4" w:space="0" w:color="000000"/>
                <w:left w:val="none" w:sz="4" w:space="0" w:color="000000"/>
                <w:bottom w:val="none" w:sz="4" w:space="0" w:color="000000"/>
                <w:right w:val="none" w:sz="4" w:space="0" w:color="000000"/>
              </w:pBdr>
              <w:ind w:firstLine="0"/>
              <w:rPr>
                <w:rFonts w:ascii="Times New Roman" w:hAnsi="Times New Roman"/>
                <w:b/>
                <w:bCs/>
                <w:color w:val="000000" w:themeColor="text1"/>
                <w:sz w:val="24"/>
                <w:szCs w:val="24"/>
                <w:lang w:val="ro-RO"/>
              </w:rPr>
            </w:pPr>
            <w:r w:rsidRPr="007D40FD">
              <w:rPr>
                <w:rFonts w:ascii="Times New Roman" w:hAnsi="Times New Roman"/>
                <w:b/>
                <w:bCs/>
                <w:color w:val="000000" w:themeColor="text1"/>
                <w:sz w:val="24"/>
                <w:szCs w:val="24"/>
                <w:lang w:val="ro-RO"/>
              </w:rPr>
              <w:t xml:space="preserve">Nu se acceptă. </w:t>
            </w:r>
            <w:r w:rsidRPr="007D40FD">
              <w:rPr>
                <w:rFonts w:ascii="Times New Roman" w:hAnsi="Times New Roman"/>
                <w:sz w:val="24"/>
                <w:szCs w:val="24"/>
                <w:lang w:val="ro-RO"/>
              </w:rPr>
              <w:t>Planul de contingență este elaborat pentru gestionarea situațiilor generate de afluxul sporit de străini pe teritoriul Republicii Moldova, în special în contextul crizelor umanitare sau al conflictelor armate care pot determina deplasări masive de populație. Referințele la combatanții părților beligerante sunt incluse în contextul scenariilor operaționale prevăzute în mecanism și reflectă situații specifice conflictelor armate. Extinderea planului pentru a include toate categoriile de persoane afectate de crize sau dezastre ar depăși obiectul de reglementare al mecanismului și ar dubla cadrul general stabilit de Legea nr. 248/2025 privind managementul situațiilor de criză.</w:t>
            </w:r>
          </w:p>
        </w:tc>
      </w:tr>
      <w:tr w:rsidR="008F5BA1" w:rsidRPr="007D40FD" w14:paraId="3FE57FE3" w14:textId="77777777" w:rsidTr="0006422A">
        <w:trPr>
          <w:trHeight w:val="70"/>
        </w:trPr>
        <w:tc>
          <w:tcPr>
            <w:tcW w:w="2163" w:type="dxa"/>
            <w:vMerge/>
            <w:tcMar>
              <w:top w:w="0" w:type="dxa"/>
              <w:left w:w="108" w:type="dxa"/>
              <w:bottom w:w="0" w:type="dxa"/>
              <w:right w:w="108" w:type="dxa"/>
            </w:tcMar>
          </w:tcPr>
          <w:p w14:paraId="19BD04EB"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03726585"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13566777" w14:textId="53CC465E" w:rsidR="008F5BA1" w:rsidRPr="007D40FD" w:rsidRDefault="008F5BA1" w:rsidP="0031494F">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La Anexa nr. 1, la compartimentul 5. Acomodare, obiectivul 5.2 Consolidarea accesului la asistență socială,</w:t>
            </w:r>
          </w:p>
          <w:p w14:paraId="350E2FCC" w14:textId="16453454" w:rsidR="008F5BA1" w:rsidRPr="007D40FD" w:rsidRDefault="008F5BA1" w:rsidP="0031494F">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justiție adaptată copiilor și servicii înregistrare nașterilor, acțiunea 5.2.2. urmează a fi expusă în următoarea redacție: „5.2.2. Asigurarea protecției sociale a copiilor străini neînsoțiți, conform legislației naționale”.</w:t>
            </w:r>
          </w:p>
          <w:p w14:paraId="1884CFFA" w14:textId="70E96209" w:rsidR="008F5BA1" w:rsidRPr="007D40FD" w:rsidRDefault="008F5BA1" w:rsidP="0031494F">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xml:space="preserve">Totodată, </w:t>
            </w:r>
            <w:proofErr w:type="spellStart"/>
            <w:r w:rsidRPr="007D40FD">
              <w:rPr>
                <w:rFonts w:ascii="Times New Roman" w:hAnsi="Times New Roman"/>
                <w:bCs/>
                <w:sz w:val="24"/>
                <w:szCs w:val="24"/>
                <w:lang w:val="ro-RO"/>
              </w:rPr>
              <w:t>colonița</w:t>
            </w:r>
            <w:proofErr w:type="spellEnd"/>
            <w:r w:rsidRPr="007D40FD">
              <w:rPr>
                <w:rFonts w:ascii="Times New Roman" w:hAnsi="Times New Roman"/>
                <w:bCs/>
                <w:sz w:val="24"/>
                <w:szCs w:val="24"/>
                <w:lang w:val="ro-RO"/>
              </w:rPr>
              <w:t xml:space="preserve"> Instituție principală (GOV) urmează a fi completată cu autoritățile tutelare locale (ATL) și cu autoritățile tutelare teritoriale (ATT), luând în considerare că aceste autorități, în conformitate cu atribuțiile stabilite de cadrul normativ în vigoare, asigură măsurile de asistență socială destinate copiilor, inclusiv plasarea copiilor într-un serviciu de plasament temporar pentru copii, iar ATT asigură reprezentarea intereselor acestei categorii de copii față de alte autorități și instituții.</w:t>
            </w:r>
          </w:p>
          <w:p w14:paraId="56AD50FE" w14:textId="13324754" w:rsidR="008F5BA1" w:rsidRPr="007D40FD" w:rsidRDefault="008F5BA1" w:rsidP="0031494F">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xml:space="preserve">De asemenea, </w:t>
            </w:r>
            <w:proofErr w:type="spellStart"/>
            <w:r w:rsidRPr="007D40FD">
              <w:rPr>
                <w:rFonts w:ascii="Times New Roman" w:hAnsi="Times New Roman"/>
                <w:bCs/>
                <w:sz w:val="24"/>
                <w:szCs w:val="24"/>
                <w:lang w:val="ro-RO"/>
              </w:rPr>
              <w:t>colonița</w:t>
            </w:r>
            <w:proofErr w:type="spellEnd"/>
            <w:r w:rsidRPr="007D40FD">
              <w:rPr>
                <w:rFonts w:ascii="Times New Roman" w:hAnsi="Times New Roman"/>
                <w:bCs/>
                <w:sz w:val="24"/>
                <w:szCs w:val="24"/>
                <w:lang w:val="ro-RO"/>
              </w:rPr>
              <w:t xml:space="preserve"> Instituție de sprijin (GOV) urmează a fi completată cu Ministerul Afacerilor Interne (MAI) și Poliția de Frontieră (PF), iar </w:t>
            </w:r>
            <w:proofErr w:type="spellStart"/>
            <w:r w:rsidRPr="007D40FD">
              <w:rPr>
                <w:rFonts w:ascii="Times New Roman" w:hAnsi="Times New Roman"/>
                <w:bCs/>
                <w:sz w:val="24"/>
                <w:szCs w:val="24"/>
                <w:lang w:val="ro-RO"/>
              </w:rPr>
              <w:t>colonița</w:t>
            </w:r>
            <w:proofErr w:type="spellEnd"/>
            <w:r w:rsidRPr="007D40FD">
              <w:rPr>
                <w:rFonts w:ascii="Times New Roman" w:hAnsi="Times New Roman"/>
                <w:bCs/>
                <w:sz w:val="24"/>
                <w:szCs w:val="24"/>
                <w:lang w:val="ro-RO"/>
              </w:rPr>
              <w:t xml:space="preserve"> Acțiuni structuri de suport </w:t>
            </w:r>
            <w:r w:rsidRPr="007D40FD">
              <w:rPr>
                <w:rFonts w:ascii="Times New Roman" w:hAnsi="Times New Roman"/>
                <w:bCs/>
                <w:sz w:val="24"/>
                <w:szCs w:val="24"/>
                <w:lang w:val="ro-RO"/>
              </w:rPr>
              <w:lastRenderedPageBreak/>
              <w:t>(GOV) urmează a fi completată cu acțiunea cu următorul cuprins: „- referirea copiilor neînsoțiți identificați către autoritatea tutelară locală.”.</w:t>
            </w:r>
          </w:p>
        </w:tc>
        <w:tc>
          <w:tcPr>
            <w:tcW w:w="3685" w:type="dxa"/>
          </w:tcPr>
          <w:p w14:paraId="52090A85" w14:textId="609D1311"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lastRenderedPageBreak/>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5640ECBA" w14:textId="77777777" w:rsidTr="0006422A">
        <w:trPr>
          <w:trHeight w:val="70"/>
        </w:trPr>
        <w:tc>
          <w:tcPr>
            <w:tcW w:w="2163" w:type="dxa"/>
            <w:vMerge/>
            <w:tcMar>
              <w:top w:w="0" w:type="dxa"/>
              <w:left w:w="108" w:type="dxa"/>
              <w:bottom w:w="0" w:type="dxa"/>
              <w:right w:w="108" w:type="dxa"/>
            </w:tcMar>
          </w:tcPr>
          <w:p w14:paraId="035779F6"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4DEE774F"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5063F139" w14:textId="367FC9C7" w:rsidR="008F5BA1" w:rsidRPr="007D40FD" w:rsidRDefault="008F5BA1" w:rsidP="0064082D">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 xml:space="preserve">La Anexa nr. 1, la compartimentul 8. Educație, secțiunea Concepția acțiunilor de răspuns, la obiectivul 8.1. Oferirea accesului la învățământ și recreare pentru minorii strămutați în zona de frontieră și în timpul tranzitării teritoriului RM, la acțiunea 8.1.2 Constituirea zonelor de recreare și de consiliere psihologică în zona de frontieră, în </w:t>
            </w:r>
            <w:proofErr w:type="spellStart"/>
            <w:r w:rsidRPr="007D40FD">
              <w:rPr>
                <w:rFonts w:ascii="Times New Roman" w:hAnsi="Times New Roman"/>
                <w:bCs/>
                <w:sz w:val="24"/>
                <w:szCs w:val="24"/>
                <w:lang w:val="ro-RO"/>
              </w:rPr>
              <w:t>colonița</w:t>
            </w:r>
            <w:proofErr w:type="spellEnd"/>
            <w:r w:rsidRPr="007D40FD">
              <w:rPr>
                <w:rFonts w:ascii="Times New Roman" w:hAnsi="Times New Roman"/>
                <w:bCs/>
                <w:sz w:val="24"/>
                <w:szCs w:val="24"/>
                <w:lang w:val="ro-RO"/>
              </w:rPr>
              <w:t xml:space="preserve"> Instituție de sprijin (GOV), urmează a fi exclusă abrevierea „MMPS”, deoarece acțiunea depășește atribuțiile Ministerului Muncii și Protecției Sociale.</w:t>
            </w:r>
          </w:p>
        </w:tc>
        <w:tc>
          <w:tcPr>
            <w:tcW w:w="3685" w:type="dxa"/>
          </w:tcPr>
          <w:p w14:paraId="2529F8F7" w14:textId="3A5D8A85"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184FB6A6" w14:textId="77777777" w:rsidTr="0006422A">
        <w:trPr>
          <w:trHeight w:val="70"/>
        </w:trPr>
        <w:tc>
          <w:tcPr>
            <w:tcW w:w="2163" w:type="dxa"/>
            <w:vMerge/>
            <w:tcMar>
              <w:top w:w="0" w:type="dxa"/>
              <w:left w:w="108" w:type="dxa"/>
              <w:bottom w:w="0" w:type="dxa"/>
              <w:right w:w="108" w:type="dxa"/>
            </w:tcMar>
          </w:tcPr>
          <w:p w14:paraId="212D315F"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5DCBBDBC"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3D2E60B2" w14:textId="62141BB5" w:rsidR="008F5BA1" w:rsidRPr="007D40FD" w:rsidRDefault="008F5BA1" w:rsidP="0064082D">
            <w:pPr>
              <w:autoSpaceDE w:val="0"/>
              <w:autoSpaceDN w:val="0"/>
              <w:adjustRightInd w:val="0"/>
              <w:ind w:firstLine="0"/>
              <w:rPr>
                <w:rFonts w:ascii="Times New Roman" w:hAnsi="Times New Roman"/>
                <w:bCs/>
                <w:sz w:val="24"/>
                <w:szCs w:val="24"/>
                <w:lang w:val="ro-RO"/>
              </w:rPr>
            </w:pPr>
            <w:proofErr w:type="spellStart"/>
            <w:r w:rsidRPr="007D40FD">
              <w:rPr>
                <w:rFonts w:ascii="Times New Roman" w:hAnsi="Times New Roman"/>
                <w:bCs/>
                <w:sz w:val="24"/>
                <w:szCs w:val="24"/>
                <w:lang w:val="ro-RO"/>
              </w:rPr>
              <w:t>Ăn</w:t>
            </w:r>
            <w:proofErr w:type="spellEnd"/>
            <w:r w:rsidRPr="007D40FD">
              <w:rPr>
                <w:rFonts w:ascii="Times New Roman" w:hAnsi="Times New Roman"/>
                <w:bCs/>
                <w:sz w:val="24"/>
                <w:szCs w:val="24"/>
                <w:lang w:val="ro-RO"/>
              </w:rPr>
              <w:t xml:space="preserve"> Anexa nr. 1, la acțiunile nr. 9.1.2 și 9.4.3, se propune excluderea textului „(România)”, întrucât diferite</w:t>
            </w:r>
          </w:p>
          <w:p w14:paraId="6C3AC649" w14:textId="51B0214F" w:rsidR="008F5BA1" w:rsidRPr="007D40FD" w:rsidRDefault="008F5BA1" w:rsidP="0064082D">
            <w:pPr>
              <w:autoSpaceDE w:val="0"/>
              <w:autoSpaceDN w:val="0"/>
              <w:adjustRightInd w:val="0"/>
              <w:ind w:firstLine="0"/>
              <w:rPr>
                <w:rFonts w:ascii="Times New Roman" w:hAnsi="Times New Roman"/>
                <w:bCs/>
                <w:sz w:val="24"/>
                <w:szCs w:val="24"/>
                <w:lang w:val="ro-RO"/>
              </w:rPr>
            </w:pPr>
            <w:r w:rsidRPr="007D40FD">
              <w:rPr>
                <w:rFonts w:ascii="Times New Roman" w:hAnsi="Times New Roman"/>
                <w:bCs/>
                <w:sz w:val="24"/>
                <w:szCs w:val="24"/>
                <w:lang w:val="ro-RO"/>
              </w:rPr>
              <w:t>crize pot impune transferul persoanelor către spitale din alte state. De exemplu în contextul unui potențial dezastru din România, transferul pacienților ar fi mai rezonabil a se efectua către spitalele din Ucraina sau alte state. Ajustarea propusă va asigura flexibilitatea Planului pentru situații variate de criză.</w:t>
            </w:r>
          </w:p>
        </w:tc>
        <w:tc>
          <w:tcPr>
            <w:tcW w:w="3685" w:type="dxa"/>
          </w:tcPr>
          <w:p w14:paraId="25D5DB6D" w14:textId="2A60E4D4"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7726D436" w14:textId="77777777" w:rsidTr="0006422A">
        <w:trPr>
          <w:trHeight w:val="70"/>
        </w:trPr>
        <w:tc>
          <w:tcPr>
            <w:tcW w:w="2163" w:type="dxa"/>
            <w:vMerge/>
            <w:tcMar>
              <w:top w:w="0" w:type="dxa"/>
              <w:left w:w="108" w:type="dxa"/>
              <w:bottom w:w="0" w:type="dxa"/>
              <w:right w:w="108" w:type="dxa"/>
            </w:tcMar>
          </w:tcPr>
          <w:p w14:paraId="2254FC4F"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31603A4B"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53A90FAF" w14:textId="070E9D6A" w:rsidR="008F5BA1" w:rsidRPr="007D40FD" w:rsidRDefault="008F5BA1" w:rsidP="004700E4">
            <w:pPr>
              <w:autoSpaceDE w:val="0"/>
              <w:autoSpaceDN w:val="0"/>
              <w:adjustRightInd w:val="0"/>
              <w:ind w:firstLine="0"/>
              <w:jc w:val="left"/>
              <w:rPr>
                <w:rFonts w:ascii="Times New Roman" w:hAnsi="Times New Roman"/>
                <w:sz w:val="24"/>
                <w:szCs w:val="24"/>
                <w:lang w:val="ro-RO" w:eastAsia="ru-RU"/>
              </w:rPr>
            </w:pPr>
            <w:r w:rsidRPr="007D40FD">
              <w:rPr>
                <w:rFonts w:ascii="Times New Roman" w:hAnsi="Times New Roman"/>
                <w:sz w:val="24"/>
                <w:szCs w:val="24"/>
                <w:lang w:val="ro-RO" w:eastAsia="ru-RU"/>
              </w:rPr>
              <w:t>În Anexa nr. 2, la etapa 3 Transport</w:t>
            </w:r>
            <w:r w:rsidRPr="007D40FD">
              <w:rPr>
                <w:rFonts w:ascii="Times New Roman" w:hAnsi="Times New Roman"/>
                <w:b/>
                <w:bCs/>
                <w:sz w:val="24"/>
                <w:szCs w:val="24"/>
                <w:lang w:val="ro-RO" w:eastAsia="ru-RU"/>
              </w:rPr>
              <w:t xml:space="preserve">, </w:t>
            </w:r>
            <w:r w:rsidRPr="007D40FD">
              <w:rPr>
                <w:rFonts w:ascii="Times New Roman" w:hAnsi="Times New Roman"/>
                <w:sz w:val="24"/>
                <w:szCs w:val="24"/>
                <w:lang w:val="ro-RO" w:eastAsia="ru-RU"/>
              </w:rPr>
              <w:t>prevede închiderea spațiului aerian. Totuși, această decizie poate varia în funcție de situația de criză. Prin urmare, la etapa 3, deciziile privind sistare, deschidere sau orice alte măsuri privind accesul în țară și ieșirea din țară trebuie adoptate în baza evaluării situației de criză.</w:t>
            </w:r>
          </w:p>
        </w:tc>
        <w:tc>
          <w:tcPr>
            <w:tcW w:w="3685" w:type="dxa"/>
          </w:tcPr>
          <w:p w14:paraId="17CB8E82" w14:textId="0DA3F2E3" w:rsidR="008F5BA1" w:rsidRPr="007D40FD" w:rsidRDefault="008F5BA1" w:rsidP="004700E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Nu se acceptă. </w:t>
            </w:r>
            <w:r w:rsidRPr="007D40FD">
              <w:rPr>
                <w:rFonts w:ascii="Times New Roman" w:hAnsi="Times New Roman"/>
                <w:sz w:val="24"/>
                <w:szCs w:val="24"/>
                <w:lang w:val="ro-RO"/>
              </w:rPr>
              <w:t>Anexa nr. 2 prezintă modelul de răspuns etapizat în baza scenariului de planificare utilizat pentru pregătirea măsurilor de răspuns. Măsurile indicate au caracter orientativ și reflectă ipoteze operaționale posibile în contextul unui aflux sporit de persoane strămutate. Deciziile privind restricționarea sau utilizarea spațiului aerian, precum și alte măsuri privind accesul în țară și ieșirea din țară, sunt adoptate de autoritățile competente în condițiile legislației în vigoare, în funcție de evoluția situației și de evaluările operative realizate.</w:t>
            </w:r>
          </w:p>
        </w:tc>
      </w:tr>
      <w:tr w:rsidR="008F5BA1" w:rsidRPr="007D40FD" w14:paraId="441DE94D" w14:textId="77777777" w:rsidTr="0006422A">
        <w:trPr>
          <w:trHeight w:val="70"/>
        </w:trPr>
        <w:tc>
          <w:tcPr>
            <w:tcW w:w="2163" w:type="dxa"/>
            <w:vMerge/>
            <w:tcMar>
              <w:top w:w="0" w:type="dxa"/>
              <w:left w:w="108" w:type="dxa"/>
              <w:bottom w:w="0" w:type="dxa"/>
              <w:right w:w="108" w:type="dxa"/>
            </w:tcMar>
          </w:tcPr>
          <w:p w14:paraId="5F71C242"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2A364322"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7EBA2B11" w14:textId="6B5B1E2A" w:rsidR="008F5BA1" w:rsidRPr="007D40FD" w:rsidRDefault="008F5BA1" w:rsidP="004700E4">
            <w:pPr>
              <w:autoSpaceDE w:val="0"/>
              <w:autoSpaceDN w:val="0"/>
              <w:adjustRightInd w:val="0"/>
              <w:ind w:firstLine="0"/>
              <w:jc w:val="left"/>
              <w:rPr>
                <w:rFonts w:ascii="Times New Roman" w:hAnsi="Times New Roman"/>
                <w:sz w:val="24"/>
                <w:szCs w:val="24"/>
                <w:lang w:val="ro-RO" w:eastAsia="ru-RU"/>
              </w:rPr>
            </w:pPr>
            <w:r w:rsidRPr="007D40FD">
              <w:rPr>
                <w:rFonts w:ascii="Times New Roman" w:hAnsi="Times New Roman"/>
                <w:sz w:val="24"/>
                <w:szCs w:val="24"/>
                <w:lang w:val="ro-RO" w:eastAsia="ru-RU"/>
              </w:rPr>
              <w:t>La Nota de fundamentare,</w:t>
            </w:r>
            <w:r w:rsidRPr="007D40FD">
              <w:rPr>
                <w:rFonts w:ascii="Times New Roman" w:hAnsi="Times New Roman"/>
                <w:b/>
                <w:bCs/>
                <w:sz w:val="24"/>
                <w:szCs w:val="24"/>
                <w:lang w:val="ro-RO" w:eastAsia="ru-RU"/>
              </w:rPr>
              <w:t xml:space="preserve"> </w:t>
            </w:r>
            <w:r w:rsidRPr="007D40FD">
              <w:rPr>
                <w:rFonts w:ascii="Times New Roman" w:hAnsi="Times New Roman"/>
                <w:sz w:val="24"/>
                <w:szCs w:val="24"/>
                <w:lang w:val="ro-RO" w:eastAsia="ru-RU"/>
              </w:rPr>
              <w:t>compartimentul 2, sub-compartimentul 2.1, textul „248/2024” se substituie cu textul „248/2025”.</w:t>
            </w:r>
          </w:p>
        </w:tc>
        <w:tc>
          <w:tcPr>
            <w:tcW w:w="3685" w:type="dxa"/>
          </w:tcPr>
          <w:p w14:paraId="47132276" w14:textId="68A1A682"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bCs/>
                <w:sz w:val="24"/>
                <w:szCs w:val="24"/>
                <w:lang w:val="ro-RO"/>
              </w:rPr>
              <w:t xml:space="preserve"> La Anexa nr. 1,</w:t>
            </w:r>
          </w:p>
        </w:tc>
      </w:tr>
      <w:tr w:rsidR="008F5BA1" w:rsidRPr="007D40FD" w14:paraId="52CE0931" w14:textId="77777777" w:rsidTr="0006422A">
        <w:trPr>
          <w:trHeight w:val="70"/>
        </w:trPr>
        <w:tc>
          <w:tcPr>
            <w:tcW w:w="2163" w:type="dxa"/>
            <w:vMerge/>
            <w:tcMar>
              <w:top w:w="0" w:type="dxa"/>
              <w:left w:w="108" w:type="dxa"/>
              <w:bottom w:w="0" w:type="dxa"/>
              <w:right w:w="108" w:type="dxa"/>
            </w:tcMar>
          </w:tcPr>
          <w:p w14:paraId="6CE03AC0"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p>
        </w:tc>
        <w:tc>
          <w:tcPr>
            <w:tcW w:w="531" w:type="dxa"/>
            <w:vMerge/>
            <w:tcMar>
              <w:top w:w="0" w:type="dxa"/>
              <w:left w:w="108" w:type="dxa"/>
              <w:bottom w:w="0" w:type="dxa"/>
              <w:right w:w="108" w:type="dxa"/>
            </w:tcMar>
          </w:tcPr>
          <w:p w14:paraId="713ADA1F"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79CED98F" w14:textId="2E80EDF6" w:rsidR="008F5BA1" w:rsidRPr="007D40FD" w:rsidRDefault="008F5BA1" w:rsidP="004700E4">
            <w:pPr>
              <w:autoSpaceDE w:val="0"/>
              <w:autoSpaceDN w:val="0"/>
              <w:adjustRightInd w:val="0"/>
              <w:ind w:firstLine="0"/>
              <w:jc w:val="left"/>
              <w:rPr>
                <w:rFonts w:ascii="Times New Roman" w:hAnsi="Times New Roman"/>
                <w:sz w:val="24"/>
                <w:szCs w:val="24"/>
                <w:lang w:val="ro-RO" w:eastAsia="ru-RU"/>
              </w:rPr>
            </w:pPr>
            <w:r w:rsidRPr="007D40FD">
              <w:rPr>
                <w:rFonts w:ascii="Times New Roman" w:hAnsi="Times New Roman"/>
                <w:sz w:val="24"/>
                <w:szCs w:val="24"/>
                <w:lang w:val="ro-RO" w:eastAsia="ru-RU"/>
              </w:rPr>
              <w:t>Racordarea Notei de fundamentare la Propunerile înaintate supra.</w:t>
            </w:r>
          </w:p>
        </w:tc>
        <w:tc>
          <w:tcPr>
            <w:tcW w:w="3685" w:type="dxa"/>
          </w:tcPr>
          <w:p w14:paraId="0F7D3E5C" w14:textId="61670D9D"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S-a luat act.</w:t>
            </w:r>
          </w:p>
        </w:tc>
      </w:tr>
      <w:tr w:rsidR="008F5BA1" w:rsidRPr="007D40FD" w14:paraId="417E84F7" w14:textId="77777777" w:rsidTr="0006422A">
        <w:trPr>
          <w:trHeight w:val="70"/>
        </w:trPr>
        <w:tc>
          <w:tcPr>
            <w:tcW w:w="2163" w:type="dxa"/>
            <w:vMerge w:val="restart"/>
            <w:tcMar>
              <w:top w:w="0" w:type="dxa"/>
              <w:left w:w="108" w:type="dxa"/>
              <w:bottom w:w="0" w:type="dxa"/>
              <w:right w:w="108" w:type="dxa"/>
            </w:tcMar>
          </w:tcPr>
          <w:p w14:paraId="56C138C9" w14:textId="1C64B8F8"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lastRenderedPageBreak/>
              <w:t>Ministerul Sănătății (aviz nr. 14/734 din 4 martie 2026)</w:t>
            </w:r>
          </w:p>
        </w:tc>
        <w:tc>
          <w:tcPr>
            <w:tcW w:w="531" w:type="dxa"/>
            <w:vMerge w:val="restart"/>
            <w:tcMar>
              <w:top w:w="0" w:type="dxa"/>
              <w:left w:w="108" w:type="dxa"/>
              <w:bottom w:w="0" w:type="dxa"/>
              <w:right w:w="108" w:type="dxa"/>
            </w:tcMar>
          </w:tcPr>
          <w:p w14:paraId="4DAC52BB" w14:textId="1AFBEC89"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8</w:t>
            </w:r>
          </w:p>
        </w:tc>
        <w:tc>
          <w:tcPr>
            <w:tcW w:w="9072" w:type="dxa"/>
          </w:tcPr>
          <w:p w14:paraId="66EEB65C" w14:textId="68D9F337" w:rsidR="008F5BA1" w:rsidRPr="007D40FD" w:rsidRDefault="008F5BA1" w:rsidP="00E23DE6">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Cu referire la acțiunea nr. 9 din proiectul planului de contingență al acțiunilor de răspuns pe sectoare de intervenție: Scopul principal – după cuvintele „indicatorilor de sănătate publică” se pune punct. Mai departe textul „în vederea diminuării gradului de răspândire a cazurilor de infectare și îmbunătățirea managementului clinic al pacienților cu Covid-19, forme ușoare, moderate și grave, în condițiile tratamentului la domiciliu și spital de exclus, fiindcă COVID-19 nu mai reprezintă o provocare.</w:t>
            </w:r>
          </w:p>
        </w:tc>
        <w:tc>
          <w:tcPr>
            <w:tcW w:w="3685" w:type="dxa"/>
          </w:tcPr>
          <w:p w14:paraId="6ED6CCDF" w14:textId="71B003D9"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47EEBBEB" w14:textId="77777777" w:rsidTr="0006422A">
        <w:trPr>
          <w:trHeight w:val="70"/>
        </w:trPr>
        <w:tc>
          <w:tcPr>
            <w:tcW w:w="2163" w:type="dxa"/>
            <w:vMerge/>
            <w:tcMar>
              <w:top w:w="0" w:type="dxa"/>
              <w:left w:w="108" w:type="dxa"/>
              <w:bottom w:w="0" w:type="dxa"/>
              <w:right w:w="108" w:type="dxa"/>
            </w:tcMar>
          </w:tcPr>
          <w:p w14:paraId="7179853D"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5DF96ADF"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4485D4A3" w14:textId="079AC189" w:rsidR="008F5BA1" w:rsidRPr="007D40FD" w:rsidRDefault="008F5BA1" w:rsidP="00E23DE6">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La pct. 5.2.2 asigurarea condițiilor de cazare pentru copiii neînsoțiți și desemnarea reprezentantului legal în termen cit mai restrânși, se consideră oportună excluderea Ministerului Sănătății din rubrica „Instituție de sprijin”.</w:t>
            </w:r>
          </w:p>
        </w:tc>
        <w:tc>
          <w:tcPr>
            <w:tcW w:w="3685" w:type="dxa"/>
          </w:tcPr>
          <w:p w14:paraId="5D3B5312" w14:textId="2A216C19"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3BC432FE" w14:textId="77777777" w:rsidTr="0006422A">
        <w:trPr>
          <w:trHeight w:val="70"/>
        </w:trPr>
        <w:tc>
          <w:tcPr>
            <w:tcW w:w="2163" w:type="dxa"/>
            <w:vMerge/>
            <w:tcMar>
              <w:top w:w="0" w:type="dxa"/>
              <w:left w:w="108" w:type="dxa"/>
              <w:bottom w:w="0" w:type="dxa"/>
              <w:right w:w="108" w:type="dxa"/>
            </w:tcMar>
          </w:tcPr>
          <w:p w14:paraId="7A9D5140"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0042F013"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2300CB11" w14:textId="4916B3A2" w:rsidR="008F5BA1" w:rsidRPr="007D40FD" w:rsidRDefault="008F5BA1" w:rsidP="00E23DE6">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La pct. 6.2.1 amenajarea infrastructurii necesare în gările feroviare pentru primirea unui număr sporit de persoane strămutate (refugiați), se consideră oportună excluderea Ministerului Sănătății din rubrica „Instituție de sprijin”.</w:t>
            </w:r>
          </w:p>
        </w:tc>
        <w:tc>
          <w:tcPr>
            <w:tcW w:w="3685" w:type="dxa"/>
          </w:tcPr>
          <w:p w14:paraId="707B0D90" w14:textId="36CD8C71"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51F25C65" w14:textId="77777777" w:rsidTr="0006422A">
        <w:trPr>
          <w:trHeight w:val="70"/>
        </w:trPr>
        <w:tc>
          <w:tcPr>
            <w:tcW w:w="2163" w:type="dxa"/>
            <w:vMerge/>
            <w:tcMar>
              <w:top w:w="0" w:type="dxa"/>
              <w:left w:w="108" w:type="dxa"/>
              <w:bottom w:w="0" w:type="dxa"/>
              <w:right w:w="108" w:type="dxa"/>
            </w:tcMar>
          </w:tcPr>
          <w:p w14:paraId="63D8A6A4"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097DDEC9"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3CD88C80" w14:textId="61CE1D2C" w:rsidR="008F5BA1" w:rsidRPr="007D40FD" w:rsidRDefault="008F5BA1" w:rsidP="00E23DE6">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La pct. 8.1.2 constituirea zonelor de recreere și consiliere psihologică în zona de frontieră, se consideră oportună excluderea Ministerului Sănătății din rubrica „Instituție de sprijin”.</w:t>
            </w:r>
          </w:p>
        </w:tc>
        <w:tc>
          <w:tcPr>
            <w:tcW w:w="3685" w:type="dxa"/>
          </w:tcPr>
          <w:p w14:paraId="5A92EF47" w14:textId="18C39ACB"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3469E433" w14:textId="77777777" w:rsidTr="0006422A">
        <w:trPr>
          <w:trHeight w:val="70"/>
        </w:trPr>
        <w:tc>
          <w:tcPr>
            <w:tcW w:w="2163" w:type="dxa"/>
            <w:vMerge/>
            <w:tcMar>
              <w:top w:w="0" w:type="dxa"/>
              <w:left w:w="108" w:type="dxa"/>
              <w:bottom w:w="0" w:type="dxa"/>
              <w:right w:w="108" w:type="dxa"/>
            </w:tcMar>
          </w:tcPr>
          <w:p w14:paraId="39D0DD9B"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1CD253DC"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4BE7DC83" w14:textId="719FB840" w:rsidR="008F5BA1" w:rsidRPr="007D40FD" w:rsidRDefault="008F5BA1" w:rsidP="00E23DE6">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Includerea în capitolul 9 „Sănătate” al planului de contingență al acțiunilor de răspuns pe sectoare de intervenție a măsurilor conform textului din propunerile al Ministerului Sănătății.</w:t>
            </w:r>
          </w:p>
        </w:tc>
        <w:tc>
          <w:tcPr>
            <w:tcW w:w="3685" w:type="dxa"/>
          </w:tcPr>
          <w:p w14:paraId="19037345" w14:textId="214921C0"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787377" w:rsidRPr="007D40FD" w14:paraId="4173FB60" w14:textId="77777777" w:rsidTr="0006422A">
        <w:trPr>
          <w:trHeight w:val="70"/>
        </w:trPr>
        <w:tc>
          <w:tcPr>
            <w:tcW w:w="2163" w:type="dxa"/>
            <w:tcMar>
              <w:top w:w="0" w:type="dxa"/>
              <w:left w:w="108" w:type="dxa"/>
              <w:bottom w:w="0" w:type="dxa"/>
              <w:right w:w="108" w:type="dxa"/>
            </w:tcMar>
          </w:tcPr>
          <w:p w14:paraId="3260C9D3" w14:textId="7E6C409F" w:rsidR="00787377" w:rsidRPr="007D40FD" w:rsidRDefault="00787377"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 xml:space="preserve">Serviciul de Informații și </w:t>
            </w:r>
            <w:r w:rsidR="00B04854" w:rsidRPr="007D40FD">
              <w:rPr>
                <w:rFonts w:ascii="Times New Roman" w:hAnsi="Times New Roman"/>
                <w:b/>
                <w:sz w:val="24"/>
                <w:szCs w:val="24"/>
                <w:lang w:val="ro-RO"/>
              </w:rPr>
              <w:t>Securitate</w:t>
            </w:r>
            <w:r w:rsidR="00054748" w:rsidRPr="007D40FD">
              <w:rPr>
                <w:rFonts w:ascii="Times New Roman" w:hAnsi="Times New Roman"/>
                <w:b/>
                <w:sz w:val="24"/>
                <w:szCs w:val="24"/>
                <w:lang w:val="ro-RO"/>
              </w:rPr>
              <w:t xml:space="preserve"> (aviz nr. IE/2110 din 4 martie 2026)</w:t>
            </w:r>
          </w:p>
        </w:tc>
        <w:tc>
          <w:tcPr>
            <w:tcW w:w="531" w:type="dxa"/>
            <w:tcMar>
              <w:top w:w="0" w:type="dxa"/>
              <w:left w:w="108" w:type="dxa"/>
              <w:bottom w:w="0" w:type="dxa"/>
              <w:right w:w="108" w:type="dxa"/>
            </w:tcMar>
          </w:tcPr>
          <w:p w14:paraId="462B704E" w14:textId="197F63A0" w:rsidR="00787377" w:rsidRPr="007D40FD" w:rsidRDefault="00787377"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9</w:t>
            </w:r>
          </w:p>
        </w:tc>
        <w:tc>
          <w:tcPr>
            <w:tcW w:w="9072" w:type="dxa"/>
          </w:tcPr>
          <w:p w14:paraId="0B803336" w14:textId="2CD0F724" w:rsidR="00787377" w:rsidRPr="007D40FD" w:rsidRDefault="00B04854" w:rsidP="00E23DE6">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La pct. 3.1.5 din Planul de contingență al acțiunilor de răspuns la sectoarele de intervenție (Anexa nr. 1 la proiectului Mecanismului National de gestionare unitară si coerentă a situației în cazul unui aflux sporit de străini), considerăm oportună substituirea textului „obiectivelor de importanță deosebită” cu textul „infrastructurii critice naționale”</w:t>
            </w:r>
          </w:p>
        </w:tc>
        <w:tc>
          <w:tcPr>
            <w:tcW w:w="3685" w:type="dxa"/>
          </w:tcPr>
          <w:p w14:paraId="50394E0C" w14:textId="63A195AD" w:rsidR="00787377" w:rsidRPr="007D40FD" w:rsidRDefault="00B04854"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00054748" w:rsidRPr="007D40FD">
              <w:rPr>
                <w:rFonts w:ascii="Times New Roman" w:hAnsi="Times New Roman"/>
                <w:b/>
                <w:bCs/>
                <w:sz w:val="24"/>
                <w:szCs w:val="24"/>
                <w:lang w:val="ro-RO"/>
              </w:rPr>
              <w:t>.</w:t>
            </w:r>
            <w:r w:rsidR="00DA074A" w:rsidRPr="007D40FD">
              <w:rPr>
                <w:rFonts w:ascii="Times New Roman" w:hAnsi="Times New Roman"/>
                <w:color w:val="000000" w:themeColor="text1"/>
                <w:sz w:val="24"/>
                <w:szCs w:val="24"/>
                <w:lang w:val="ro-RO"/>
              </w:rPr>
              <w:t xml:space="preserve"> Modificările au fost operate.</w:t>
            </w:r>
          </w:p>
        </w:tc>
      </w:tr>
      <w:tr w:rsidR="008F5BA1" w:rsidRPr="007D40FD" w14:paraId="1B39E8C6" w14:textId="77777777" w:rsidTr="0006422A">
        <w:trPr>
          <w:trHeight w:val="70"/>
        </w:trPr>
        <w:tc>
          <w:tcPr>
            <w:tcW w:w="2163" w:type="dxa"/>
            <w:vMerge w:val="restart"/>
            <w:tcMar>
              <w:top w:w="0" w:type="dxa"/>
              <w:left w:w="108" w:type="dxa"/>
              <w:bottom w:w="0" w:type="dxa"/>
              <w:right w:w="108" w:type="dxa"/>
            </w:tcMar>
          </w:tcPr>
          <w:p w14:paraId="31CAF2DE" w14:textId="4CC22C1C"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Ministerul Infrastructurii și Dezvoltării Regionale (aviz nr. 21-1111 din 6 martie 2026)</w:t>
            </w:r>
          </w:p>
        </w:tc>
        <w:tc>
          <w:tcPr>
            <w:tcW w:w="531" w:type="dxa"/>
            <w:vMerge w:val="restart"/>
            <w:tcMar>
              <w:top w:w="0" w:type="dxa"/>
              <w:left w:w="108" w:type="dxa"/>
              <w:bottom w:w="0" w:type="dxa"/>
              <w:right w:w="108" w:type="dxa"/>
            </w:tcMar>
          </w:tcPr>
          <w:p w14:paraId="51D4068A" w14:textId="7C76D128"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7D40FD">
              <w:rPr>
                <w:rFonts w:ascii="Times New Roman" w:hAnsi="Times New Roman"/>
                <w:bCs/>
                <w:sz w:val="24"/>
                <w:szCs w:val="24"/>
                <w:lang w:val="ro-RO"/>
              </w:rPr>
              <w:t>10</w:t>
            </w:r>
          </w:p>
        </w:tc>
        <w:tc>
          <w:tcPr>
            <w:tcW w:w="9072" w:type="dxa"/>
          </w:tcPr>
          <w:p w14:paraId="1C900BC0" w14:textId="78CFE544" w:rsidR="008F5BA1" w:rsidRPr="007D40FD" w:rsidRDefault="008F5BA1" w:rsidP="00F05A55">
            <w:pPr>
              <w:autoSpaceDE w:val="0"/>
              <w:autoSpaceDN w:val="0"/>
              <w:adjustRightInd w:val="0"/>
              <w:ind w:firstLine="0"/>
              <w:rPr>
                <w:rFonts w:ascii="Times New Roman" w:hAnsi="Times New Roman"/>
                <w:color w:val="000000" w:themeColor="text1"/>
                <w:sz w:val="24"/>
                <w:szCs w:val="24"/>
                <w:lang w:val="ro-RO" w:eastAsia="ru-RU"/>
              </w:rPr>
            </w:pPr>
            <w:r w:rsidRPr="007D40FD">
              <w:rPr>
                <w:rFonts w:ascii="Times New Roman" w:hAnsi="Times New Roman"/>
                <w:color w:val="000000" w:themeColor="text1"/>
                <w:sz w:val="24"/>
                <w:szCs w:val="24"/>
                <w:lang w:val="ro-RO"/>
              </w:rPr>
              <w:t>Ca urmare a examinării proiectului de hotărâre a Guvernului cu privire la aprobarea Mecanismului național de gestionare unitară și coerentă a situației în cazul unui aflux sporit de străini, număr unic 110/MAI/2026, în limitele competențelor funcționale, comunicăm următoarele obiecții</w:t>
            </w:r>
            <w:r w:rsidRPr="007D40FD">
              <w:rPr>
                <w:color w:val="000000" w:themeColor="text1"/>
                <w:sz w:val="28"/>
                <w:szCs w:val="28"/>
                <w:lang w:val="ro-RO"/>
              </w:rPr>
              <w:t>.</w:t>
            </w:r>
          </w:p>
          <w:p w14:paraId="6698E57F" w14:textId="3CB59132" w:rsidR="008F5BA1" w:rsidRPr="007D40FD" w:rsidRDefault="008F5BA1" w:rsidP="005C233A">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La pct.3 din proiectul hotărârii, este stabilit că: Fiecare autoritate și instituție publică, conform domeniilor de competență, va evalua în termen de 1 lună de la intrarea în vigoare a prezentei hotărâri, capacitățile de oferire a suportului tehnic, spațiile de cazare, terenurile, produsele alimentare, medicamentele etc. și va prezenta Centrului Național de Management al Crizelor informația referitoare la evaluarea capacităților și riscurilor la nivel național în eventualitatea apariției unei crize în cazul unui aflux sporit de străini.</w:t>
            </w:r>
          </w:p>
          <w:p w14:paraId="12A91B12" w14:textId="77777777" w:rsidR="008F5BA1" w:rsidRPr="007D40FD" w:rsidRDefault="008F5BA1" w:rsidP="005C233A">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 xml:space="preserve">Referitor la obligațiile transpuse la acest punct, obiectăm asupra faptului că Ministerului Infrastructurii și Dezvoltării Regionale (în continuare, MIDR) i se stabilesc în sarcină acțiuni </w:t>
            </w:r>
            <w:r w:rsidRPr="007D40FD">
              <w:rPr>
                <w:rFonts w:ascii="Times New Roman" w:hAnsi="Times New Roman"/>
                <w:sz w:val="24"/>
                <w:szCs w:val="24"/>
                <w:lang w:val="ro-RO" w:eastAsia="ru-RU"/>
              </w:rPr>
              <w:lastRenderedPageBreak/>
              <w:t>(în sensul Planului de contingență al acțiunilor de răspuns pe sectoare de intervenție) care nu țin de competența directă a acestuia.</w:t>
            </w:r>
          </w:p>
          <w:p w14:paraId="7C804486" w14:textId="77777777" w:rsidR="008F5BA1" w:rsidRPr="007D40FD" w:rsidRDefault="008F5BA1" w:rsidP="005C233A">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Respectiv, evaluarea în termen de 1 lună a capacităților de oferire a suportului tehnic, a spațiilor de cazare, terenurilor, produselor alimentare, medicamentelor etc., devine imposibilă. MIDR elaborează politici publice în domeniile de activitate prevăzute la pct.6 din Regulamentul cu privire la organizarea și funcționarea Ministerului Infrastructurii și Dezvoltării Regionale, aprobat prin Hotărârea Guvernului nr.690/2017, și astfel, nu deține atribuții de amenajare a gărilor, locurilor speciale de trecere a frontierei, platformelor de recreere și de asigurare a transferurilor de transport rutier, feroviar sau aerian. Pentru aceste acțiuni sunt instituite entități publice sau private, care nu se subordonează MIDR-ului, iar MIDR, la rândul său, nu poate interveni în activitatea operațională a acestora.</w:t>
            </w:r>
          </w:p>
          <w:p w14:paraId="2728C23D" w14:textId="77777777" w:rsidR="008F5BA1" w:rsidRPr="007D40FD" w:rsidRDefault="008F5BA1" w:rsidP="005C233A">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În această ordine, MIDR insistă pe excluderea activităților de implementare operativă (amenajări de terenuri, gări, instalații sanitare) din sarcina autorității publice centrale, deoarece este important a se face o distincție clară între elaborarea politicilor publice și gestiunea operațională din teren.</w:t>
            </w:r>
          </w:p>
          <w:p w14:paraId="61B0639E" w14:textId="77777777" w:rsidR="008F5BA1" w:rsidRPr="007D40FD" w:rsidRDefault="008F5BA1" w:rsidP="005C233A">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Astfel, MIDR-ului urmează a-i fi menținută doar sarcina de furnizare a datelor statistice, tehnice despre existența gărilor, capacităților de transport, însă amenajarea și dotarea logistică urmează să fie delegată instituțiilor cu competențe de intervenție (de exemplu, Inspectoratului General pentru Situații de Urgență) sau administratorilor de obiective (de exemplu, autoritățile administrației publice locale, întreprinderile de stat, care sunt fondate, în mare parte, de către Agenția Proprietății Publice), entități care dețin logistica necesară pentru instalarea taberelor sau a punctelor de triaj.</w:t>
            </w:r>
          </w:p>
          <w:p w14:paraId="46EA8CD9" w14:textId="77777777" w:rsidR="008F5BA1" w:rsidRPr="007D40FD" w:rsidRDefault="008F5BA1" w:rsidP="005C233A">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Totodată, termenul de 1 lună este unul nerealist și insuficient pentru o evaluare complexă și inspectare tehnică a clădirilor/terenurilor etc. Suplimentar evocăm faptul că, aceste acțiuni includ necesitatea bugetării, iar MIDR nu gestionează mijloace financiare alocate în acest scop și nu deține personal calificat pentru a efectua o evaluare a celor trasate la pct.3 din proiect.</w:t>
            </w:r>
          </w:p>
          <w:p w14:paraId="2F2A429D" w14:textId="77777777" w:rsidR="008F5BA1" w:rsidRPr="007D40FD" w:rsidRDefault="008F5BA1" w:rsidP="005C233A">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Prin urmare, se va ține cont că, misiunea MIDR vizează elaborarea politicilor publice pe domeniile infrastructurii, transporturilor și dezvoltării regionale, dar nu ordinea publică, regimul străinilor sau de gestionare a fluxurilor de persoane. Mai mult, elaborarea politicilor publice nu presupune ieșirea în teren și participarea efectivă la amenajarea locurilor speciale de trecere a frontierei, la amenajarea gărilor, a platformelor de recreere și odihnă (WC, asistență medicală etc.).</w:t>
            </w:r>
          </w:p>
          <w:p w14:paraId="4E0BB872" w14:textId="034A5C74" w:rsidR="008F5BA1" w:rsidRPr="007D40FD" w:rsidRDefault="008F5BA1" w:rsidP="005C233A">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 xml:space="preserve">La caz, se va reține, faptul că, potrivit Regulamentului MIDR, rolul MIDR este de a elabora/institui cadrul normativ și a documentelor de politici publice, dar nu de a deține rolul </w:t>
            </w:r>
            <w:r w:rsidRPr="007D40FD">
              <w:rPr>
                <w:rFonts w:ascii="Times New Roman" w:hAnsi="Times New Roman"/>
                <w:sz w:val="24"/>
                <w:szCs w:val="24"/>
                <w:lang w:val="ro-RO" w:eastAsia="ru-RU"/>
              </w:rPr>
              <w:lastRenderedPageBreak/>
              <w:t>de operator logistic de teren. Activitățile de instalare a toaletelor ecologice, puncte de prim-ajutor, de delimitare a spațiilor de recreere etc. depășesc mandatul de funcționare al aparatului central, iar autorul proiectului de hotărâre urmează a avea în vedere delimitarea clară a atribuțiilor între funcția de elaborare a politicilor (la nivel de minister) și cea de implementare/execuție (agenții, întreprinderi de stat sau autorități locale).</w:t>
            </w:r>
          </w:p>
        </w:tc>
        <w:tc>
          <w:tcPr>
            <w:tcW w:w="3685" w:type="dxa"/>
          </w:tcPr>
          <w:p w14:paraId="50FD9CC3" w14:textId="39F5525C" w:rsidR="008F5BA1" w:rsidRPr="007D40FD" w:rsidRDefault="008F5BA1" w:rsidP="005C233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lastRenderedPageBreak/>
              <w:t xml:space="preserve">Nu se acceptă. </w:t>
            </w:r>
            <w:r w:rsidRPr="007D40FD">
              <w:rPr>
                <w:rFonts w:ascii="Times New Roman" w:hAnsi="Times New Roman"/>
                <w:sz w:val="24"/>
                <w:szCs w:val="24"/>
                <w:lang w:val="ro-RO"/>
              </w:rPr>
              <w:t xml:space="preserve">Prevederea de la pct. 3 din proiectul hotărârii nu instituie obligații de implementare operativă și nu atribuie autorităților publice responsabilități de amenajare sau gestionare directă a infrastructurii. Norma are ca scop exclusiv evaluarea capacităților instituționale existente, în limitele competențelor legale ale fiecărei autorități publice, pentru asigurarea unei imagini consolidate privind resursele disponibile la nivel național în </w:t>
            </w:r>
            <w:r w:rsidRPr="007D40FD">
              <w:rPr>
                <w:rFonts w:ascii="Times New Roman" w:hAnsi="Times New Roman"/>
                <w:sz w:val="24"/>
                <w:szCs w:val="24"/>
                <w:lang w:val="ro-RO"/>
              </w:rPr>
              <w:lastRenderedPageBreak/>
              <w:t>eventualitatea apariției unei crize generate de afluxul sporit de străini.</w:t>
            </w:r>
          </w:p>
          <w:p w14:paraId="6F7B09FA" w14:textId="24054852" w:rsidR="008F5BA1" w:rsidRPr="007D40FD" w:rsidRDefault="008F5BA1" w:rsidP="005C233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Sintagma „conform domeniilor de competență” reflectă expres faptul că fiecare autoritate publică urmează să efectueze evaluarea exclusiv în raport cu atribuțiile stabilite prin cadrul normativ care reglementează organizarea și funcționarea acesteia, fără a presupune extinderea competențelor instituționale sau asumarea unor responsabilități operaționale care nu îi revin.</w:t>
            </w:r>
          </w:p>
          <w:p w14:paraId="5E3A9EB9" w14:textId="77777777" w:rsidR="008F5BA1" w:rsidRPr="007D40FD" w:rsidRDefault="008F5BA1" w:rsidP="005C233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Totodată, colectarea și centralizarea acestor informații este necesară pentru evaluarea capacităților și riscurilor la nivel național de către Centrul Național de Management al Crizelor, în conformitate cu prevederile Legii nr. 248/2025 privind managementul situațiilor de criză, constituind o etapă esențială a procesului de planificare și pregătire a răspunsului instituțional.</w:t>
            </w:r>
          </w:p>
          <w:p w14:paraId="32AFBEDD" w14:textId="27B0E056" w:rsidR="008F5BA1" w:rsidRPr="007D40FD" w:rsidRDefault="008F5BA1" w:rsidP="005C233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Prin urmare, prevederea menționată nu afectează competențele MIDR și nu instituie obligații de intervenție operativă, ci stabilește doar un mecanism de raportare și evaluare interinstituțională a capacităților existente, necesar pentru planificarea coordonată a răspunsului la nivel național.</w:t>
            </w:r>
          </w:p>
        </w:tc>
      </w:tr>
      <w:tr w:rsidR="008F5BA1" w:rsidRPr="007D40FD" w14:paraId="29718861" w14:textId="77777777" w:rsidTr="0006422A">
        <w:trPr>
          <w:trHeight w:val="70"/>
        </w:trPr>
        <w:tc>
          <w:tcPr>
            <w:tcW w:w="2163" w:type="dxa"/>
            <w:vMerge/>
            <w:tcMar>
              <w:top w:w="0" w:type="dxa"/>
              <w:left w:w="108" w:type="dxa"/>
              <w:bottom w:w="0" w:type="dxa"/>
              <w:right w:w="108" w:type="dxa"/>
            </w:tcMar>
          </w:tcPr>
          <w:p w14:paraId="68F24D60"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328F564F"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3F61269F" w14:textId="194B9776" w:rsidR="008F5BA1" w:rsidRPr="007D40FD" w:rsidRDefault="008F5BA1" w:rsidP="008674D8">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În Planul de contingență, la „2.1.12 Deschiderea locurilor special amenajate de trecere a frontierei temporare”, conform prevederilor Legii nr.283/2011 cu privire la Poliția de Frontieră, stabilirea, deschiderea și gestionarea punctelor de trecere a frontierei (PTF) cad exclusiv în sarcina Ministerului Afacerilor Interne (în continuare, MAI). MIDR nu deține atribuții funcționale pentru a asigura „regimul de trecere în punctele de frontieră”.</w:t>
            </w:r>
          </w:p>
          <w:p w14:paraId="3FEEE6E5" w14:textId="75AD6836" w:rsidR="008F5BA1" w:rsidRPr="007D40FD" w:rsidRDefault="008F5BA1" w:rsidP="008674D8">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MIDR ar trebui să figureze exclusiv ca instituție de sprijin, cu sarcina strictă de a „furniza informații referitor la disponibilitatea infrastructurii rutiere/feroviare adiacente locurilor de trecere a frontierei”, în timp ce responsabilitatea de deschidere și amenajare să revină MAI.</w:t>
            </w:r>
          </w:p>
        </w:tc>
        <w:tc>
          <w:tcPr>
            <w:tcW w:w="3685" w:type="dxa"/>
          </w:tcPr>
          <w:p w14:paraId="6155FE48" w14:textId="324355DD" w:rsidR="008F5BA1" w:rsidRPr="007D40FD" w:rsidRDefault="008F5BA1" w:rsidP="008674D8">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Se acceptă parțial. </w:t>
            </w:r>
            <w:r w:rsidRPr="007D40FD">
              <w:rPr>
                <w:rFonts w:ascii="Times New Roman" w:hAnsi="Times New Roman"/>
                <w:sz w:val="24"/>
                <w:szCs w:val="24"/>
                <w:lang w:val="ro-RO"/>
              </w:rPr>
              <w:t>Se acceptă precizarea referitoare la competențele Ministerului Afacerilor Interne în ceea ce privește stabilirea și deschiderea punctelor de trecere a frontierei de stat, în conformitate cu prevederile Legii nr. 283/2011 cu privire la Poliția de Frontieră.</w:t>
            </w:r>
          </w:p>
          <w:p w14:paraId="606A48C8" w14:textId="781E62CB" w:rsidR="008F5BA1" w:rsidRPr="007D40FD" w:rsidRDefault="008F5BA1" w:rsidP="008674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În acest sens, responsabilitatea principală privind deschiderea și organizarea funcționării locurilor temporare de trecere a frontierei revine Ministerului Afacerilor Interne, prin structurile competente.</w:t>
            </w:r>
          </w:p>
          <w:p w14:paraId="4B1CC2FF" w14:textId="68770342" w:rsidR="008F5BA1" w:rsidRPr="007D40FD" w:rsidRDefault="008F5BA1" w:rsidP="008674D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Totodată, MIDR va fi menționat în calitate de instituție de sprijin, cu atribuții de facilitare și coordonare pe domeniul infrastructurii de transport, inclusiv prin furnizarea informațiilor privind disponibilitatea infrastructurii rutiere și feroviare adiacente și prin facilitarea cooperării cu operatorii și administratorii infrastructurii de transport, după caz.</w:t>
            </w:r>
          </w:p>
        </w:tc>
      </w:tr>
      <w:tr w:rsidR="008F5BA1" w:rsidRPr="007D40FD" w14:paraId="14BE6586" w14:textId="77777777" w:rsidTr="0006422A">
        <w:trPr>
          <w:trHeight w:val="70"/>
        </w:trPr>
        <w:tc>
          <w:tcPr>
            <w:tcW w:w="2163" w:type="dxa"/>
            <w:vMerge/>
            <w:tcMar>
              <w:top w:w="0" w:type="dxa"/>
              <w:left w:w="108" w:type="dxa"/>
              <w:bottom w:w="0" w:type="dxa"/>
              <w:right w:w="108" w:type="dxa"/>
            </w:tcMar>
          </w:tcPr>
          <w:p w14:paraId="14F6DFEA"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5DF8D4F8"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1EB4E850" w14:textId="5B60DD82" w:rsidR="008F5BA1" w:rsidRPr="007D40FD" w:rsidRDefault="008F5BA1" w:rsidP="008674D8">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 xml:space="preserve">În Planul de contingență, la „2.3.2 Amenajarea gărilor improvizate pentru staționarea și îmbarcarea refugiaților în aproprierea punctului de trecere a frontierei de stat”, gările și stațiile auto din Republica Moldova sunt active care au revenit în administrarea statului, prin Agenția Proprietății Publice, care exercită drepturile de fondator. MIDR nu gestionează </w:t>
            </w:r>
            <w:r w:rsidRPr="007D40FD">
              <w:rPr>
                <w:rFonts w:ascii="Times New Roman" w:hAnsi="Times New Roman"/>
                <w:sz w:val="24"/>
                <w:szCs w:val="24"/>
                <w:lang w:val="ro-RO" w:eastAsia="ru-RU"/>
              </w:rPr>
              <w:lastRenderedPageBreak/>
              <w:t>nemijlocit terenurile sau clădirile gărilor, neavând pârghiile necesare pentru „amenajarea” fizică a acestora. Amenajarea unor structuri „improvizate” (corturi, puncte de triaj, facilități sanitare temporare) este o funcție tipică pentru protecția civilă, iar competența operațională revine Inspectoratului General pentru Situații de Urgență (în continuare, IGSU) și autorităților administrației publice locale (în continuare, APL).</w:t>
            </w:r>
          </w:p>
          <w:p w14:paraId="2E0F1A71" w14:textId="1D411769" w:rsidR="008F5BA1" w:rsidRPr="007D40FD" w:rsidRDefault="008F5BA1" w:rsidP="008674D8">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MIDR va fi desemnat exclusiv ca instituție de sprijin pentru a facilita „coordonarea operatorilor de transport și accesul la rețelele de infrastructură”, în timp ce responsabilitatea de instituție principală pentru amenajarea fizică urmează să revină IGSU sau MAI.</w:t>
            </w:r>
          </w:p>
        </w:tc>
        <w:tc>
          <w:tcPr>
            <w:tcW w:w="3685" w:type="dxa"/>
          </w:tcPr>
          <w:p w14:paraId="14762D8E" w14:textId="6ABF2E40"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lastRenderedPageBreak/>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252314B9" w14:textId="77777777" w:rsidTr="0006422A">
        <w:trPr>
          <w:trHeight w:val="70"/>
        </w:trPr>
        <w:tc>
          <w:tcPr>
            <w:tcW w:w="2163" w:type="dxa"/>
            <w:vMerge/>
            <w:tcMar>
              <w:top w:w="0" w:type="dxa"/>
              <w:left w:w="108" w:type="dxa"/>
              <w:bottom w:w="0" w:type="dxa"/>
              <w:right w:w="108" w:type="dxa"/>
            </w:tcMar>
          </w:tcPr>
          <w:p w14:paraId="1197BF4E"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0592BD99"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07BEE820" w14:textId="65629524" w:rsidR="008F5BA1" w:rsidRPr="007D40FD" w:rsidRDefault="008F5BA1" w:rsidP="00582BDF">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În Planul de contingență, la „2.3.3 Amenajarea platformelor de recreere și odihnă (WC, asistență medicală, etc.)”, „amenajarea platformelor” în contextul unui aflux de străini presupune logistică de intervenție (corturi, unități sanitare mobile, generatoare), care se regăsește în gestiunea IGSU (prin prisma rezervelor de stat).</w:t>
            </w:r>
          </w:p>
          <w:p w14:paraId="41DBD1BE" w14:textId="77777777" w:rsidR="008F5BA1" w:rsidRPr="007D40FD" w:rsidRDefault="008F5BA1" w:rsidP="00582BDF">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MIDR gestionează proiecte de infrastructură fixă (drumuri, poduri) prin contracte de achiziții pe termen lung, nu deține stocuri de intervenție rapidă pentru „odihnă și recreere”. Odihna și recreerea refugiaților sunt componente ale managementului umanitar, domeniu coordonat de către Ministerul Muncii și Protecției Sociale. MIDR nu are mandat pentru a asigura standardele de viață și protecție a persoanelor vulnerabile.</w:t>
            </w:r>
          </w:p>
          <w:p w14:paraId="290A2FC1" w14:textId="77777777" w:rsidR="008F5BA1" w:rsidRPr="007D40FD" w:rsidRDefault="008F5BA1" w:rsidP="00582BDF">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Totodată, platformele de recreere sunt amplasate pe terenuri ce aparțin adesea APL-urilor, iar MIDR nu are drept de administrare asupra terenurilor din localități pentru a efectua amenajări improvizate.</w:t>
            </w:r>
          </w:p>
          <w:p w14:paraId="06D6CEC4" w14:textId="77777777" w:rsidR="008F5BA1" w:rsidRPr="007D40FD" w:rsidRDefault="008F5BA1" w:rsidP="00582BDF">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De remarcat că, conform prevederilor Legii fondului rutier nr.720/1996, mijloacele financiare administrate de MIDR au o destinație specială strict limitată la întreținerea, reparația și reconstrucția drumurilor publice, proiectarea și cercetarea drumurilor, achiziționarea de utilaje pentru întreținerea drumurilor.</w:t>
            </w:r>
          </w:p>
          <w:p w14:paraId="79C6EBE6" w14:textId="77777777" w:rsidR="008F5BA1" w:rsidRPr="007D40FD" w:rsidRDefault="008F5BA1" w:rsidP="00582BDF">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Astfel, utilizarea acestor mijloace financiare pentru „amenajarea gărilor improvizate” sau „platforme de recreere (WC, asistență medicală)” ar constitui o utilizare contrară a destinației mijloacelor bugetare, deoarece aceste activități nu fac parte din nomenclatorul lucrărilor rutiere.</w:t>
            </w:r>
          </w:p>
          <w:p w14:paraId="69805B24" w14:textId="5F54C752" w:rsidR="008F5BA1" w:rsidRPr="007D40FD" w:rsidRDefault="008F5BA1" w:rsidP="00582BDF">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Prin urmare, MIDR poate fi inclus doar ca instituție de sprijin și doar pentru a oferi informații referitoare la identificarea locațiilor adiacente drumurilor publice, fără responsabilități de dotare sau gestionare.</w:t>
            </w:r>
          </w:p>
        </w:tc>
        <w:tc>
          <w:tcPr>
            <w:tcW w:w="3685" w:type="dxa"/>
          </w:tcPr>
          <w:p w14:paraId="18FFA180" w14:textId="61062268" w:rsidR="008F5BA1" w:rsidRPr="007D40FD" w:rsidRDefault="008F5BA1" w:rsidP="00562C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Se acceptă parțial. </w:t>
            </w:r>
            <w:r w:rsidRPr="007D40FD">
              <w:rPr>
                <w:rFonts w:ascii="Times New Roman" w:hAnsi="Times New Roman"/>
                <w:sz w:val="24"/>
                <w:szCs w:val="24"/>
                <w:lang w:val="ro-RO"/>
              </w:rPr>
              <w:t>Se acceptă precizarea referitoare la delimitarea competențelor instituționale în ceea ce privește amenajarea infrastructurii temporare necesare pentru gestionarea fluxului de persoane în contextul unui aflux sporit de străini.</w:t>
            </w:r>
          </w:p>
          <w:p w14:paraId="2F2EDB69" w14:textId="77777777" w:rsidR="008F5BA1" w:rsidRPr="007D40FD" w:rsidRDefault="008F5BA1" w:rsidP="00562C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În acest sens, acțiunile ce vizează amenajarea platformelor de recreere și odihnă, inclusiv instalarea corturilor, unităților sanitare mobile, punctelor de prim-ajutor și altor elemente de infrastructură temporară, țin de competența autorităților responsabile de intervenție operativă și protecție civilă, în special Inspectoratul General pentru Situații de Urgență, precum și de autoritățile administrației publice locale, în limitele atribuțiilor stabilite de cadrul normativ.</w:t>
            </w:r>
          </w:p>
          <w:p w14:paraId="7C3555A2" w14:textId="389F2694" w:rsidR="008F5BA1" w:rsidRPr="007D40FD" w:rsidRDefault="008F5BA1" w:rsidP="00562C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 xml:space="preserve">Totodată, MIDR va fi menționat în calitate de instituție de sprijin, cu atribuții de facilitare a identificării locațiilor adiacente infrastructurii de </w:t>
            </w:r>
            <w:r w:rsidRPr="007D40FD">
              <w:rPr>
                <w:rFonts w:ascii="Times New Roman" w:hAnsi="Times New Roman"/>
                <w:sz w:val="24"/>
                <w:szCs w:val="24"/>
                <w:lang w:val="ro-RO"/>
              </w:rPr>
              <w:lastRenderedPageBreak/>
              <w:t>transport și de coordonare cu administratorii infrastructurii rutiere și cu alți operatori relevanți, după caz.</w:t>
            </w:r>
          </w:p>
        </w:tc>
      </w:tr>
      <w:tr w:rsidR="008F5BA1" w:rsidRPr="007D40FD" w14:paraId="1F7027B2" w14:textId="77777777" w:rsidTr="0006422A">
        <w:trPr>
          <w:trHeight w:val="70"/>
        </w:trPr>
        <w:tc>
          <w:tcPr>
            <w:tcW w:w="2163" w:type="dxa"/>
            <w:vMerge/>
            <w:tcMar>
              <w:top w:w="0" w:type="dxa"/>
              <w:left w:w="108" w:type="dxa"/>
              <w:bottom w:w="0" w:type="dxa"/>
              <w:right w:w="108" w:type="dxa"/>
            </w:tcMar>
          </w:tcPr>
          <w:p w14:paraId="786D01CA"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08EAA489"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562A62C1" w14:textId="423A41D3" w:rsidR="008F5BA1" w:rsidRPr="007D40FD" w:rsidRDefault="008F5BA1" w:rsidP="00562CD3">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În Planul de contingență, la „2.3.4 Transferul a persoanelor strămutate de la frontiera de stat către gările improvizate, CPTPR și peste hotarele țării”, este necesar a se face o distincție clară între atribuțiile de asigurare a cadrului normativ legat de transport (care ține de competența MIDR) și gestionarea fluxului de străini sub regim special (de pază) (care vizează competența MAI).</w:t>
            </w:r>
          </w:p>
          <w:p w14:paraId="331B56F6" w14:textId="77777777" w:rsidR="008F5BA1" w:rsidRPr="007D40FD" w:rsidRDefault="008F5BA1" w:rsidP="00562CD3">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Astfel, transferul persoanelor care au trecut frontiera de stat (adesea fără un statut juridic clar) nu este un simplu serviciu de transport de călători, dar o activitate care implică nemijlocit verificarea actelor de identitate și menținerea ordinii publice pe durata transferului. În conformitate cu prevederile Legii nr.283/2011 cu privire la Poliția de Frontieră și ale Legii nr.200/2010 privind regimul străinilor în Republica Moldova, doar structurile MAI au dreptul de a escorta sau însoți grupuri de străini pe teritoriul statului.</w:t>
            </w:r>
          </w:p>
          <w:p w14:paraId="3AE3F4D5" w14:textId="77777777" w:rsidR="008F5BA1" w:rsidRPr="007D40FD" w:rsidRDefault="008F5BA1" w:rsidP="00562CD3">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Totodată se va reține că, MIDR elaborează politici publice pe domeniul transport, dar nu deține în proprietate efectivă mijloace de transport (autocare, automobile etc.), ori serviciile de transport sunt prestate de agenții economici, operatori de transport privați, autorizați conform cadrului legal.</w:t>
            </w:r>
          </w:p>
          <w:p w14:paraId="56346492" w14:textId="77777777" w:rsidR="008F5BA1" w:rsidRPr="007D40FD" w:rsidRDefault="008F5BA1" w:rsidP="00562CD3">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MIDR poate doar mobiliza sau contracta operatori de transport, dar nu poate fi desemnată instituția care efectuează transferul, deoarece nu are control operațional în teren asupra vehiculelor și conducătorilor auto. La caz, referitor la contractarea serviciilor de transport este important de menționat că, bugetul MIDR este aprobat pentru „dezvoltarea infrastructurii”, dar nu pentru asigurarea „transportului umanitar de urgență”.</w:t>
            </w:r>
          </w:p>
          <w:p w14:paraId="2CB6E2E1" w14:textId="33032309" w:rsidR="008F5BA1" w:rsidRPr="007D40FD" w:rsidRDefault="008F5BA1" w:rsidP="00562CD3">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Astfel, MIDR poate fi doar desemnată instituție de sprijin care asigură informații despre disponibilitatea unităților de transport prin mobilizarea operatorilor autorizați și/sau facilitarea comunicării cu operatorii de transport autorizați.</w:t>
            </w:r>
          </w:p>
        </w:tc>
        <w:tc>
          <w:tcPr>
            <w:tcW w:w="3685" w:type="dxa"/>
          </w:tcPr>
          <w:p w14:paraId="3987D1D4" w14:textId="5A90ACA3" w:rsidR="008F5BA1" w:rsidRPr="007D40FD" w:rsidRDefault="008F5BA1" w:rsidP="00562CD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Se acceptă parțial. </w:t>
            </w:r>
            <w:r w:rsidRPr="007D40FD">
              <w:rPr>
                <w:rFonts w:ascii="Times New Roman" w:hAnsi="Times New Roman"/>
                <w:sz w:val="24"/>
                <w:szCs w:val="24"/>
                <w:lang w:val="ro-RO"/>
              </w:rPr>
              <w:t>Se acceptă precizarea referitoare la delimitarea competențelor instituționale în ceea ce privește gestionarea fluxului de persoane strămutate după trecerea frontierei de stat.</w:t>
            </w:r>
          </w:p>
          <w:p w14:paraId="793D286F" w14:textId="77777777" w:rsidR="008F5BA1" w:rsidRPr="007D40FD" w:rsidRDefault="008F5BA1" w:rsidP="00562C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În acest sens, activitățile ce vizează gestionarea fluxului de persoane, verificarea documentelor, escortarea și menținerea ordinii publice pe durata transferului țin de competența autorităților din cadrul Ministerului Afacerilor Interne, în conformitate cu prevederile Legii nr. 283/2011 cu privire la Poliția de Frontieră și ale Legii nr. 200/2010 privind regimul străinilor în Republica Moldova.</w:t>
            </w:r>
          </w:p>
          <w:p w14:paraId="7F2A93AC" w14:textId="0B520539" w:rsidR="008F5BA1" w:rsidRPr="007D40FD" w:rsidRDefault="008F5BA1" w:rsidP="00562CD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Totodată, MIDR va fi menționat în calitate de instituție de sprijin, cu atribuții de facilitare a mobilizării operatorilor de transport autorizați și de coordonare cu administratorii infrastructurii de transport, în vederea asigurării capacităților de transport necesare pentru transferul persoanelor strămutate.</w:t>
            </w:r>
          </w:p>
        </w:tc>
      </w:tr>
      <w:tr w:rsidR="008F5BA1" w:rsidRPr="007D40FD" w14:paraId="254BC44F" w14:textId="77777777" w:rsidTr="0006422A">
        <w:trPr>
          <w:trHeight w:val="70"/>
        </w:trPr>
        <w:tc>
          <w:tcPr>
            <w:tcW w:w="2163" w:type="dxa"/>
            <w:vMerge/>
            <w:tcMar>
              <w:top w:w="0" w:type="dxa"/>
              <w:left w:w="108" w:type="dxa"/>
              <w:bottom w:w="0" w:type="dxa"/>
              <w:right w:w="108" w:type="dxa"/>
            </w:tcMar>
          </w:tcPr>
          <w:p w14:paraId="7E32E3D1"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015AB2E1"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06B92343" w14:textId="43B8A5A9" w:rsidR="008F5BA1" w:rsidRPr="007D40FD" w:rsidRDefault="008F5BA1" w:rsidP="00576629">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 xml:space="preserve">În Planul de contingență, la „6.1.1 Organizarea fluxului de transport/îmbarcare din cadrul gărilor auto improvizate în apropierea punctului de trecere a frontierei de stat către destinațiile din țară pentru cazarea persoanelor strămutate (refugiate)”, referitor la prevederile pct.6.1.1 și 6.1.2, punctăm că acestea sunt similare cu prevederile de la pct. 2.3.4, care prevăd </w:t>
            </w:r>
            <w:r w:rsidRPr="007D40FD">
              <w:rPr>
                <w:rFonts w:ascii="Times New Roman" w:hAnsi="Times New Roman"/>
                <w:sz w:val="24"/>
                <w:szCs w:val="24"/>
                <w:lang w:val="ro-RO" w:eastAsia="ru-RU"/>
              </w:rPr>
              <w:lastRenderedPageBreak/>
              <w:t>gestionarea deplasării fluxurilor de persoane, însă ca autorități responsabile de bază sunt desemnate instituții diferite.</w:t>
            </w:r>
          </w:p>
          <w:p w14:paraId="078A87DA" w14:textId="77777777" w:rsidR="008F5BA1" w:rsidRPr="007D40FD" w:rsidRDefault="008F5BA1" w:rsidP="00576629">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MIDR nu dispune de parc propriu de vehicule și nu gestionează stocuri de combustibil care ar putea fi utilizate, iar în bugetul MIDR nu sunt prevăzute mijloace financiare pentru o eventuală contractare a mijloacelor de transport și/sau a combustibilului necesar. La fel, MIDR nu are prevăzute în buget, cheltuieli pentru „servicii de evacuare” sau „managementul crizelor”, iar orice plată efectuată în acest sens va fi sancționată de autoritățile competente ca fiind contrară destinației stabilite prin Legea bugetului de stat.</w:t>
            </w:r>
          </w:p>
          <w:p w14:paraId="7065FB3C" w14:textId="77777777" w:rsidR="008F5BA1" w:rsidRPr="007D40FD" w:rsidRDefault="008F5BA1" w:rsidP="00576629">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Adițional evocăm că, potrivit Regulamentului aprobat prin Hotărârea Guvernului nr.690/2017, MIDR este elaborator de politici publice în sfera de competență, dar nu gestionează „gări improvizate”. Gările auto sunt entități economice autonome sau administrate de Agenția Proprietății Publice, iar cele „improvizate” sunt structuri de campanie.</w:t>
            </w:r>
          </w:p>
          <w:p w14:paraId="13641972" w14:textId="77777777" w:rsidR="008F5BA1" w:rsidRPr="007D40FD" w:rsidRDefault="008F5BA1" w:rsidP="00576629">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Subsecvent, organizarea fluxurilor umane și a logisticii de evacuare în situații de criză este o funcție de protecție civilă (conform Legii nr.271/1994 cu privire la protecția civilă). Totodată, MIDR nu are în subordine „echipe de îmbarcare” sau personal instruit pentru gestionarea refugiaților.</w:t>
            </w:r>
          </w:p>
          <w:p w14:paraId="0F8D0F39" w14:textId="223F5012" w:rsidR="008F5BA1" w:rsidRPr="007D40FD" w:rsidRDefault="008F5BA1" w:rsidP="00576629">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Mai mult, îmbarcarea persoanelor strămutate (refugiate) implică verificarea documentelor de călătorie și a statutului juridic, competență care aparține exclusiv Poliției de Frontieră și Inspectoratului General pentru Migrațiune. În același timp, gările improvizate necesită prezența forțelor de ordine pentru securizarea zonei, sarcină ce revine Inspectoratului General de Poliție.</w:t>
            </w:r>
          </w:p>
        </w:tc>
        <w:tc>
          <w:tcPr>
            <w:tcW w:w="3685" w:type="dxa"/>
          </w:tcPr>
          <w:p w14:paraId="318DBB00" w14:textId="142D088C"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lastRenderedPageBreak/>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1B00ECA6" w14:textId="77777777" w:rsidTr="0006422A">
        <w:trPr>
          <w:trHeight w:val="70"/>
        </w:trPr>
        <w:tc>
          <w:tcPr>
            <w:tcW w:w="2163" w:type="dxa"/>
            <w:vMerge/>
            <w:tcMar>
              <w:top w:w="0" w:type="dxa"/>
              <w:left w:w="108" w:type="dxa"/>
              <w:bottom w:w="0" w:type="dxa"/>
              <w:right w:w="108" w:type="dxa"/>
            </w:tcMar>
          </w:tcPr>
          <w:p w14:paraId="4D83416A"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3F716303"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0F1003B1" w14:textId="21827910" w:rsidR="008F5BA1" w:rsidRPr="007D40FD" w:rsidRDefault="008F5BA1" w:rsidP="006140E7">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În Planul de contingență, la „6.1.2 Organizarea fluxului de transport internațional al persoanelor strămutate (refugiate)”, transportul internațional al refugiaților (persoane strămutate) nu este un serviciu comercial de transport călători, dar o operațiune de relocare/evacuare umanitară. Acest lucru presupune coordonarea cu autoritățile de frontieră ale statelor vecine (de exemplu, România, Ucraina) pentru facilitarea trecerii și controlului documentelor.</w:t>
            </w:r>
          </w:p>
          <w:p w14:paraId="7BF04C51" w14:textId="746A55CB" w:rsidR="008F5BA1" w:rsidRPr="007D40FD" w:rsidRDefault="008F5BA1" w:rsidP="006140E7">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Conform prevederilor Legii nr.200/2010 privind regimul străinilor în Republica Moldova, evidența și mișcarea refugiaților pe coridoare umanitare sunt gestionate de Inspectoratul General pentru Migrație și Poliția de Frontieră, MIDR-lui lipsindu-i atribuțiile de cooperare internațională sub aspectul afacerilor interne.</w:t>
            </w:r>
          </w:p>
        </w:tc>
        <w:tc>
          <w:tcPr>
            <w:tcW w:w="3685" w:type="dxa"/>
          </w:tcPr>
          <w:p w14:paraId="4CACC4A6" w14:textId="06F9B590"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41098E54" w14:textId="77777777" w:rsidTr="0006422A">
        <w:trPr>
          <w:trHeight w:val="70"/>
        </w:trPr>
        <w:tc>
          <w:tcPr>
            <w:tcW w:w="2163" w:type="dxa"/>
            <w:vMerge/>
            <w:tcMar>
              <w:top w:w="0" w:type="dxa"/>
              <w:left w:w="108" w:type="dxa"/>
              <w:bottom w:w="0" w:type="dxa"/>
              <w:right w:w="108" w:type="dxa"/>
            </w:tcMar>
          </w:tcPr>
          <w:p w14:paraId="74D78C47"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0C2D83F8"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0FD18A69" w14:textId="5D73F380" w:rsidR="008F5BA1" w:rsidRPr="007D40FD" w:rsidRDefault="008F5BA1" w:rsidP="006140E7">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 xml:space="preserve">În Planul de contingență, la „6.2.1 Amenajarea infrastructurii necesare în gările feroviare pentru primirea unui număr sporit de persoanele strămutate (refugiate)”, gările feroviare sunt în gestiunea economică ÎS „Calea Ferată din Moldova”, iar drepturile de fondator sunt </w:t>
            </w:r>
            <w:r w:rsidRPr="007D40FD">
              <w:rPr>
                <w:rFonts w:ascii="Times New Roman" w:hAnsi="Times New Roman"/>
                <w:sz w:val="24"/>
                <w:szCs w:val="24"/>
                <w:lang w:val="ro-RO" w:eastAsia="ru-RU"/>
              </w:rPr>
              <w:lastRenderedPageBreak/>
              <w:t>exercitate de către Agenția Proprietății Publice, conform prevederilor Legii nr.246/2017 cu privire la întreprinderea de stat și întreprinderea municipală.</w:t>
            </w:r>
          </w:p>
          <w:p w14:paraId="492C8474" w14:textId="1C4FBA69" w:rsidR="008F5BA1" w:rsidRPr="007D40FD" w:rsidRDefault="008F5BA1" w:rsidP="006140E7">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În consecință, MIDR nu deține în gestiune directă clădirile sau terenurile gărilor și nu poate dispune „amenajarea” unor spații pe care nu le administrează sub aspect legal. Orice intervenție structurală sau logistică trebuie coordonată de Agenția Proprietății Publice și ÎS „Calea Ferată din Moldova”. „Amenajarea infrastructurii necesare” pentru refugiați în gări presupune instalarea de facilități de campanie (corturi, generatoare, unități sanitare mobile), iar acest fapt ține de IGSU, conform Legii nr.271/1994 cu privire la protecția civilă. Totodată se va lua în calcul faptul că, MIDR nu are unități de intervenție operativă sau stocuri de materiale pentru dotarea gărilor în scop umanitar. Mai mult, MIDR se află în imposibilitate financiară de a executa această măsură, utilizarea fondurilor destinate politicilor de transport pentru amenajări cu caracter umanitar ar constitui o utilizare contrară a fondurilor bănești. Prin urmare, solicităm desemnarea MAI (IGSU) și a Agenției Proprietății Publice (ÎS „Calea Ferată din Moldova”) ca instituții principale, MIDR oferind doar asistență în coordonarea orarelor de circulație a trenurilor prin intermediul ÎS „Calea Ferată din Moldova”.</w:t>
            </w:r>
          </w:p>
        </w:tc>
        <w:tc>
          <w:tcPr>
            <w:tcW w:w="3685" w:type="dxa"/>
          </w:tcPr>
          <w:p w14:paraId="4BE23B4B" w14:textId="6A91794E"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lastRenderedPageBreak/>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690270B6" w14:textId="77777777" w:rsidTr="0006422A">
        <w:trPr>
          <w:trHeight w:val="70"/>
        </w:trPr>
        <w:tc>
          <w:tcPr>
            <w:tcW w:w="2163" w:type="dxa"/>
            <w:vMerge/>
            <w:tcMar>
              <w:top w:w="0" w:type="dxa"/>
              <w:left w:w="108" w:type="dxa"/>
              <w:bottom w:w="0" w:type="dxa"/>
              <w:right w:w="108" w:type="dxa"/>
            </w:tcMar>
          </w:tcPr>
          <w:p w14:paraId="6AEAEE34"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51C12B83"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68713E92" w14:textId="45A66404" w:rsidR="008F5BA1" w:rsidRPr="007D40FD" w:rsidRDefault="008F5BA1" w:rsidP="00B54504">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În Planul de contingență, la „6.2.2 Organizarea fluxului de transport/îmbarcare în gările de transport feroviar”, la caz se remarcă necesitatea separării clare între managementul tehnic al căii ferate și managementul fluxurilor de refugiați. În acest sens, se va avea în vedere că, bugetul MIDR este aprobat pentru politici de dezvoltare și întreținere a infrastructurii feroviare (conform Legii bugetului de stat), iar utilizarea resurselor financiare pentru „organizarea fluxurilor” (plata personalului de triaj, servicii de pază, logistica îmbarcării refugiaților) constituie o utilizare improprie a acestora, deoarece aceste cheltuieli au un caracter umanitar și de protecție civilă, dar nu feroviar.</w:t>
            </w:r>
          </w:p>
          <w:p w14:paraId="5B7A5CAD" w14:textId="77777777" w:rsidR="008F5BA1" w:rsidRPr="007D40FD" w:rsidRDefault="008F5BA1" w:rsidP="00B54504">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De asemenea, se va reține că, acțiunile operative în caz de criză trebuie finanțate din Fondul de Intervenție al Guvernului, gestionat de MAI sau Ministerul Finanțelor, și nu din fondurile destinate investițiilor în transport.</w:t>
            </w:r>
          </w:p>
          <w:p w14:paraId="0042396F" w14:textId="77777777" w:rsidR="008F5BA1" w:rsidRPr="007D40FD" w:rsidRDefault="008F5BA1" w:rsidP="00B54504">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Gările feroviare sunt administrate de ÎS „Calea Ferată din Moldova”, iar drepturile de fondator sunt exercitate de Agenția Proprietății Publice. MIDR nu are pârghii de intervenție directă în „organizarea îmbarcării” pe peron, aceasta fiind responsabilitatea operatorului feroviar sub supravegherea forțelor de ordine.</w:t>
            </w:r>
          </w:p>
          <w:p w14:paraId="7AAF2CB5" w14:textId="07A20FF9" w:rsidR="008F5BA1" w:rsidRPr="007D40FD" w:rsidRDefault="008F5BA1" w:rsidP="00B54504">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Având în vedere cele exprimate în speță, solicităm desemnarea MAI (IGSU sau IGP) și a Agenției Proprietății Publice (ÎS „Calea Ferată din Moldova”), ca instituții principale/sprijin, rolul MIDR urmând a fi limitat la cel de eventuală asistență în coordonarea orarului trenurilor prin intermediul ÎS „Calea Ferată din Moldova”.</w:t>
            </w:r>
          </w:p>
        </w:tc>
        <w:tc>
          <w:tcPr>
            <w:tcW w:w="3685" w:type="dxa"/>
          </w:tcPr>
          <w:p w14:paraId="2D532014" w14:textId="75989E62" w:rsidR="008F5BA1" w:rsidRPr="007D40FD" w:rsidRDefault="008F5BA1" w:rsidP="002C546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0B51D2CF" w14:textId="77777777" w:rsidTr="0006422A">
        <w:trPr>
          <w:trHeight w:val="70"/>
        </w:trPr>
        <w:tc>
          <w:tcPr>
            <w:tcW w:w="2163" w:type="dxa"/>
            <w:vMerge/>
            <w:tcMar>
              <w:top w:w="0" w:type="dxa"/>
              <w:left w:w="108" w:type="dxa"/>
              <w:bottom w:w="0" w:type="dxa"/>
              <w:right w:w="108" w:type="dxa"/>
            </w:tcMar>
          </w:tcPr>
          <w:p w14:paraId="4996F049"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Cs/>
                <w:sz w:val="24"/>
                <w:szCs w:val="24"/>
                <w:lang w:val="ro-RO"/>
              </w:rPr>
            </w:pPr>
          </w:p>
        </w:tc>
        <w:tc>
          <w:tcPr>
            <w:tcW w:w="531" w:type="dxa"/>
            <w:vMerge/>
            <w:tcMar>
              <w:top w:w="0" w:type="dxa"/>
              <w:left w:w="108" w:type="dxa"/>
              <w:bottom w:w="0" w:type="dxa"/>
              <w:right w:w="108" w:type="dxa"/>
            </w:tcMar>
          </w:tcPr>
          <w:p w14:paraId="3E8CEFCB" w14:textId="77777777" w:rsidR="008F5BA1" w:rsidRPr="007D40FD" w:rsidRDefault="008F5BA1" w:rsidP="00475973">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tc>
        <w:tc>
          <w:tcPr>
            <w:tcW w:w="9072" w:type="dxa"/>
          </w:tcPr>
          <w:p w14:paraId="5080A3A5" w14:textId="701ADEC2" w:rsidR="008F5BA1" w:rsidRPr="007D40FD" w:rsidRDefault="008F5BA1" w:rsidP="00A258D5">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În Planul de contingență, la „6.3.1 Facilitarea transferurilor aeriene gratis a persoanelor strămutate (refugiate) spre țările UE”, MIDR nu poate asigura „gratuitatea” unor servicii avia comerciale, deoarece acest fapt ar însemna încălcarea legislației bugetare, ori bugetul MIDR este destinat exclusiv politicilor de infrastructură și transport.</w:t>
            </w:r>
          </w:p>
          <w:p w14:paraId="7212D98A" w14:textId="77777777" w:rsidR="008F5BA1" w:rsidRPr="007D40FD" w:rsidRDefault="008F5BA1" w:rsidP="00A258D5">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 xml:space="preserve">Subvenționarea biletelor de avion pentru cetățeni străini (refugiați) nu este prevăzută în programele de cheltuieli ale MIDR. Astfel de cheltuieli </w:t>
            </w:r>
            <w:proofErr w:type="spellStart"/>
            <w:r w:rsidRPr="007D40FD">
              <w:rPr>
                <w:rFonts w:ascii="Times New Roman" w:hAnsi="Times New Roman"/>
                <w:sz w:val="24"/>
                <w:szCs w:val="24"/>
                <w:lang w:val="ro-RO" w:eastAsia="ru-RU"/>
              </w:rPr>
              <w:t>trebuiesc</w:t>
            </w:r>
            <w:proofErr w:type="spellEnd"/>
            <w:r w:rsidRPr="007D40FD">
              <w:rPr>
                <w:rFonts w:ascii="Times New Roman" w:hAnsi="Times New Roman"/>
                <w:sz w:val="24"/>
                <w:szCs w:val="24"/>
                <w:lang w:val="ro-RO" w:eastAsia="ru-RU"/>
              </w:rPr>
              <w:t xml:space="preserve"> acoperite din Fondul de intervenție al Guvernului sau prin mecanisme de asistență externă, gestionate de Ministerul Afacerilor Externe și/sau MAI.</w:t>
            </w:r>
          </w:p>
          <w:p w14:paraId="583072DA" w14:textId="77777777" w:rsidR="008F5BA1" w:rsidRPr="007D40FD" w:rsidRDefault="008F5BA1" w:rsidP="00A258D5">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Se relevă că, companiile aeriene sunt entități comerciale private, iar MIDR nu are autoritatea legală de a le impune prestarea serviciilor cu titlu gratuit.</w:t>
            </w:r>
          </w:p>
          <w:p w14:paraId="55B2E871" w14:textId="77777777" w:rsidR="008F5BA1" w:rsidRPr="007D40FD" w:rsidRDefault="008F5BA1" w:rsidP="00A258D5">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„Facilitarea zborurilor gratuite” în acest context presupune negocieri diplomatice și financiare internaționale, nu reglementări tehnice. Relocarea aeriană a refugiaților spre UE implică „coridoare umanitare” și coordonare cu statele de destinație, sarcini ce revin Ministerului Afacerilor Externe și Ministerului Afacerilor Interne.</w:t>
            </w:r>
          </w:p>
          <w:p w14:paraId="6F605580" w14:textId="77777777" w:rsidR="008F5BA1" w:rsidRPr="007D40FD" w:rsidRDefault="008F5BA1" w:rsidP="00A258D5">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MIDR, prin intermediul Autorității Aeronautice Civile, poate doar facilita autorizațiile de zbor, care vor permite traversarea spațiului aerian de către aeronave, dar nu poate gestiona aspectele financiare sau logistica pasagerilor (triaj, îmbarcare, documente de călătorie).</w:t>
            </w:r>
          </w:p>
          <w:p w14:paraId="17DE57D6" w14:textId="77777777" w:rsidR="008F5BA1" w:rsidRPr="007D40FD" w:rsidRDefault="008F5BA1" w:rsidP="00A258D5">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În aceste condiții, având în vedere că, facilitarea zborurilor gratuite este o măsură de asistență umanitară internațională ce necesită finanțare externă sau din fonduri de urgență solicităm desemnarea Ministerului Afacerilor Externe și a MAI ca instituții principale, având în vedere necesitatea coordonărilor cu partenerii din UE și organizațiile internaționale din această perspectivă.</w:t>
            </w:r>
          </w:p>
          <w:p w14:paraId="3FD81F54" w14:textId="47DC72E0" w:rsidR="008F5BA1" w:rsidRPr="007D40FD" w:rsidRDefault="008F5BA1" w:rsidP="00A258D5">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Prin urmare, MIDR va fi inclus exclusiv ca instituție de sprijin, prin intermediul Autorității Aeronautice Civile, strict pentru suportul tehnic conex procedurilor de autorizare a zborurilor.</w:t>
            </w:r>
          </w:p>
        </w:tc>
        <w:tc>
          <w:tcPr>
            <w:tcW w:w="3685" w:type="dxa"/>
          </w:tcPr>
          <w:p w14:paraId="6136B886" w14:textId="0DF81077" w:rsidR="008F5BA1" w:rsidRPr="007D40FD" w:rsidRDefault="008F5BA1" w:rsidP="0072397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 xml:space="preserve">Se acceptă parțial. </w:t>
            </w:r>
            <w:r w:rsidRPr="007D40FD">
              <w:rPr>
                <w:rFonts w:ascii="Times New Roman" w:hAnsi="Times New Roman"/>
                <w:sz w:val="24"/>
                <w:szCs w:val="24"/>
                <w:lang w:val="ro-RO"/>
              </w:rPr>
              <w:t>Prevederea respectivă are caracter operațional și vizează posibilitatea utilizării unor instrumente logistice pentru facilitarea relocării sau tranzitului persoanelor strămutate către alte destinații, inclusiv în cadrul programelor de relocare sau evacuare organizate cu sprijinul partenerilor internaționali. Modalitatea concretă de utilizare a mijloacelor financiare și implementarea măsurilor de transport se realizează de către autoritățile competente, în conformitate cu cadrul normativ și cu deciziile adoptate în contextul gestionării situației de criză.</w:t>
            </w:r>
          </w:p>
        </w:tc>
      </w:tr>
      <w:tr w:rsidR="008F5BA1" w:rsidRPr="007D40FD" w14:paraId="02965872" w14:textId="77777777" w:rsidTr="0006422A">
        <w:trPr>
          <w:trHeight w:val="70"/>
        </w:trPr>
        <w:tc>
          <w:tcPr>
            <w:tcW w:w="2163" w:type="dxa"/>
            <w:vMerge w:val="restart"/>
            <w:tcMar>
              <w:top w:w="0" w:type="dxa"/>
              <w:left w:w="108" w:type="dxa"/>
              <w:bottom w:w="0" w:type="dxa"/>
              <w:right w:w="108" w:type="dxa"/>
            </w:tcMar>
          </w:tcPr>
          <w:p w14:paraId="1016A21D"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Ministerul Finanțelor</w:t>
            </w:r>
          </w:p>
          <w:p w14:paraId="176F6FC2" w14:textId="093E7CDA" w:rsidR="008F5BA1" w:rsidRPr="007D40FD" w:rsidRDefault="008F5BA1" w:rsidP="00E158C9">
            <w:pPr>
              <w:pBdr>
                <w:top w:val="none" w:sz="4" w:space="0" w:color="000000"/>
                <w:left w:val="none" w:sz="4" w:space="0" w:color="000000"/>
                <w:bottom w:val="none" w:sz="4" w:space="0" w:color="000000"/>
                <w:right w:val="none" w:sz="4" w:space="0" w:color="000000"/>
              </w:pBdr>
              <w:ind w:firstLine="22"/>
              <w:rPr>
                <w:bCs/>
                <w:sz w:val="24"/>
                <w:szCs w:val="24"/>
                <w:lang w:val="ro-RO"/>
              </w:rPr>
            </w:pPr>
            <w:r w:rsidRPr="007D40FD">
              <w:rPr>
                <w:rFonts w:ascii="Times New Roman" w:hAnsi="Times New Roman"/>
                <w:b/>
                <w:sz w:val="24"/>
                <w:szCs w:val="24"/>
                <w:lang w:val="ro-RO"/>
              </w:rPr>
              <w:t>(aviz nr. 07/4-03/50/286 din 6 martie 2026)</w:t>
            </w:r>
          </w:p>
        </w:tc>
        <w:tc>
          <w:tcPr>
            <w:tcW w:w="531" w:type="dxa"/>
            <w:vMerge w:val="restart"/>
            <w:tcMar>
              <w:top w:w="0" w:type="dxa"/>
              <w:left w:w="108" w:type="dxa"/>
              <w:bottom w:w="0" w:type="dxa"/>
              <w:right w:w="108" w:type="dxa"/>
            </w:tcMar>
          </w:tcPr>
          <w:p w14:paraId="291F30A2" w14:textId="5AE0DDB5" w:rsidR="008F5BA1" w:rsidRPr="007D40FD" w:rsidRDefault="008F5BA1" w:rsidP="00225385">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sidRPr="007D40FD">
              <w:rPr>
                <w:rFonts w:ascii="Times New Roman" w:hAnsi="Times New Roman"/>
                <w:bCs/>
                <w:sz w:val="24"/>
                <w:szCs w:val="24"/>
                <w:lang w:val="ro-RO"/>
              </w:rPr>
              <w:t>11</w:t>
            </w:r>
          </w:p>
        </w:tc>
        <w:tc>
          <w:tcPr>
            <w:tcW w:w="9072" w:type="dxa"/>
          </w:tcPr>
          <w:p w14:paraId="2C997172" w14:textId="0D0BCEED" w:rsidR="008F5BA1" w:rsidRPr="007D40FD" w:rsidRDefault="008F5BA1" w:rsidP="00A258D5">
            <w:pPr>
              <w:autoSpaceDE w:val="0"/>
              <w:autoSpaceDN w:val="0"/>
              <w:adjustRightInd w:val="0"/>
              <w:ind w:firstLine="0"/>
              <w:rPr>
                <w:sz w:val="24"/>
                <w:szCs w:val="24"/>
                <w:lang w:val="ro-RO" w:eastAsia="ru-RU"/>
              </w:rPr>
            </w:pPr>
            <w:r w:rsidRPr="007D40FD">
              <w:rPr>
                <w:rFonts w:ascii="Times New Roman" w:hAnsi="Times New Roman"/>
                <w:sz w:val="24"/>
                <w:szCs w:val="24"/>
                <w:lang w:val="ro-RO" w:eastAsia="ru-RU"/>
              </w:rPr>
              <w:t>În Planul de contingență, la acțiunea 3.1.10 „Optimizarea mecanismelor de bugetare, dotare și logistică, necesare funcționării integrate, eficace, eficiente și sustenabilității sistemului de ordine și securitate publică.” urmează de exclus cuvintele „de bugetare”, dat fiind faptul că, conform principiilor și regulilor bugetar-fiscale prevăzute prin Legea nr.181/2014, resursele bugetelor componente ale bugetului public național sunt destinate finanțării tuturor cheltuielilor prevăzute în bugetele respective, fără a stabili relații între anumite tipuri de resurse și cheltuieli.</w:t>
            </w:r>
          </w:p>
        </w:tc>
        <w:tc>
          <w:tcPr>
            <w:tcW w:w="3685" w:type="dxa"/>
          </w:tcPr>
          <w:p w14:paraId="15A1FDE8" w14:textId="6F786201" w:rsidR="008F5BA1" w:rsidRPr="007D40FD" w:rsidRDefault="008F5BA1" w:rsidP="0072397A">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6FFE2DD6" w14:textId="77777777" w:rsidTr="0006422A">
        <w:trPr>
          <w:trHeight w:val="70"/>
        </w:trPr>
        <w:tc>
          <w:tcPr>
            <w:tcW w:w="2163" w:type="dxa"/>
            <w:vMerge/>
            <w:tcMar>
              <w:top w:w="0" w:type="dxa"/>
              <w:left w:w="108" w:type="dxa"/>
              <w:bottom w:w="0" w:type="dxa"/>
              <w:right w:w="108" w:type="dxa"/>
            </w:tcMar>
          </w:tcPr>
          <w:p w14:paraId="529F3BEE"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41CAF6E6" w14:textId="77777777" w:rsidR="008F5BA1" w:rsidRPr="007D40FD" w:rsidRDefault="008F5BA1" w:rsidP="00225385">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226E9C70" w14:textId="02718586" w:rsidR="008F5BA1" w:rsidRPr="007D40FD" w:rsidRDefault="008F5BA1" w:rsidP="00A258D5">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 xml:space="preserve">În Planul de contingență, se propune excluderea sau, după caz, reformularea acțiunii 1.4.1 „Alocarea și realocarea fondurilor necesare.”, precum și a sub-acțiunii „recuperarea resurselor supra consum” prevăzută în cadrul acțiunii 2.1.1. Necesitatea revizuirii acestora rezultă din faptul că redacția actuală nu oferă suficientă claritate cu privire la conținutul, </w:t>
            </w:r>
            <w:r w:rsidRPr="007D40FD">
              <w:rPr>
                <w:rFonts w:ascii="Times New Roman" w:hAnsi="Times New Roman"/>
                <w:sz w:val="24"/>
                <w:szCs w:val="24"/>
                <w:lang w:val="ro-RO" w:eastAsia="ru-RU"/>
              </w:rPr>
              <w:lastRenderedPageBreak/>
              <w:t>semnificația și mecanismul practic de realizare a intervențiilor propuse, noțiunile utilizate sunt formulate într-o manieră generală și pot genera interpretări neuniforme.</w:t>
            </w:r>
          </w:p>
        </w:tc>
        <w:tc>
          <w:tcPr>
            <w:tcW w:w="3685" w:type="dxa"/>
          </w:tcPr>
          <w:p w14:paraId="08744816" w14:textId="2D1AC15B" w:rsidR="008F5BA1" w:rsidRPr="007D40FD" w:rsidRDefault="008F5BA1" w:rsidP="0072397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lastRenderedPageBreak/>
              <w:t xml:space="preserve">Se acceptă parțial. </w:t>
            </w:r>
            <w:r w:rsidRPr="007D40FD">
              <w:rPr>
                <w:rFonts w:ascii="Times New Roman" w:hAnsi="Times New Roman"/>
                <w:sz w:val="24"/>
                <w:szCs w:val="24"/>
                <w:lang w:val="ro-RO"/>
              </w:rPr>
              <w:t xml:space="preserve">Acțiunea a fost reformulată pentru a indica că alocarea resurselor financiare se </w:t>
            </w:r>
            <w:r w:rsidRPr="007D40FD">
              <w:rPr>
                <w:rFonts w:ascii="Times New Roman" w:hAnsi="Times New Roman"/>
                <w:sz w:val="24"/>
                <w:szCs w:val="24"/>
                <w:lang w:val="ro-RO"/>
              </w:rPr>
              <w:lastRenderedPageBreak/>
              <w:t>realizează în condițiile legislației bugetar-fiscale.</w:t>
            </w:r>
          </w:p>
        </w:tc>
      </w:tr>
      <w:tr w:rsidR="008F5BA1" w:rsidRPr="007D40FD" w14:paraId="241E73B8" w14:textId="77777777" w:rsidTr="0006422A">
        <w:trPr>
          <w:trHeight w:val="70"/>
        </w:trPr>
        <w:tc>
          <w:tcPr>
            <w:tcW w:w="2163" w:type="dxa"/>
            <w:vMerge/>
            <w:tcMar>
              <w:top w:w="0" w:type="dxa"/>
              <w:left w:w="108" w:type="dxa"/>
              <w:bottom w:w="0" w:type="dxa"/>
              <w:right w:w="108" w:type="dxa"/>
            </w:tcMar>
          </w:tcPr>
          <w:p w14:paraId="2A21B7F0" w14:textId="77777777" w:rsidR="008F5BA1" w:rsidRPr="007D40FD" w:rsidRDefault="008F5BA1" w:rsidP="00E158C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6A9A35D8" w14:textId="77777777" w:rsidR="008F5BA1" w:rsidRPr="007D40FD" w:rsidRDefault="008F5BA1" w:rsidP="00225385">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0B897B79" w14:textId="76AB054A" w:rsidR="008F5BA1" w:rsidRPr="007D40FD" w:rsidRDefault="008F5BA1" w:rsidP="00D81AA3">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La Nota de fundamentare, la compartimentul 4.2 „Impactul financiar și argumentarea costurilor estimative” se constată că implementarea proiectului va avea impact bugetar și va necesita mijloace financiare suplimentare la apariția ulterioară a unei situații de criză.</w:t>
            </w:r>
          </w:p>
          <w:p w14:paraId="3910A07F" w14:textId="34528269" w:rsidR="008F5BA1" w:rsidRPr="007D40FD" w:rsidRDefault="008F5BA1" w:rsidP="00D81AA3">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Prin urmare, se consideră oportun de menționat că, în situația apariției unei crize în cazul unui aflux sporit de străini, fiecare autoritate implicată urmează să fie responsabilă de identificarea resurselor financiare pentru o gestionare eficientă și coerentă a acesteia.</w:t>
            </w:r>
          </w:p>
        </w:tc>
        <w:tc>
          <w:tcPr>
            <w:tcW w:w="3685" w:type="dxa"/>
          </w:tcPr>
          <w:p w14:paraId="4DE9F9BC" w14:textId="275DADAF" w:rsidR="008F5BA1" w:rsidRPr="007D40FD" w:rsidRDefault="008F5BA1" w:rsidP="0072397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b/>
                <w:bCs/>
                <w:sz w:val="24"/>
                <w:szCs w:val="24"/>
                <w:lang w:val="ro-RO"/>
              </w:rPr>
              <w:t>Se acceptă.</w:t>
            </w:r>
            <w:r w:rsidRPr="007D40FD">
              <w:rPr>
                <w:rFonts w:ascii="Times New Roman" w:hAnsi="Times New Roman"/>
                <w:sz w:val="24"/>
                <w:szCs w:val="24"/>
                <w:lang w:val="ro-RO"/>
              </w:rPr>
              <w:t xml:space="preserve"> Nota de fundamentare a fost completată la compartimentul 4.2 „Impactul financiar și argumentarea costurilor estimative”, fiind precizat că autoritățile implicate vor identifica și utiliza resursele financiare în limita alocațiilor bugetare aprobate, precum și din fondul de rezervă al Guvernului sau din asistență externă, în condițiile legii.</w:t>
            </w:r>
          </w:p>
        </w:tc>
      </w:tr>
      <w:tr w:rsidR="00D56D22" w:rsidRPr="007D40FD" w14:paraId="160BD09B" w14:textId="77777777" w:rsidTr="0006422A">
        <w:trPr>
          <w:trHeight w:val="70"/>
        </w:trPr>
        <w:tc>
          <w:tcPr>
            <w:tcW w:w="2163" w:type="dxa"/>
            <w:tcMar>
              <w:top w:w="0" w:type="dxa"/>
              <w:left w:w="108" w:type="dxa"/>
              <w:bottom w:w="0" w:type="dxa"/>
              <w:right w:w="108" w:type="dxa"/>
            </w:tcMar>
          </w:tcPr>
          <w:p w14:paraId="11DE0311" w14:textId="6794FB09" w:rsidR="00D56D22" w:rsidRPr="007D40FD" w:rsidRDefault="00D56D22"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Agenția Națională pentru Siguranța Alimentelor (aviz nr. 15-877 din 20 februarie 2026)</w:t>
            </w:r>
          </w:p>
        </w:tc>
        <w:tc>
          <w:tcPr>
            <w:tcW w:w="531" w:type="dxa"/>
            <w:tcMar>
              <w:top w:w="0" w:type="dxa"/>
              <w:left w:w="108" w:type="dxa"/>
              <w:bottom w:w="0" w:type="dxa"/>
              <w:right w:w="108" w:type="dxa"/>
            </w:tcMar>
          </w:tcPr>
          <w:p w14:paraId="2C662413" w14:textId="694B1209" w:rsidR="00D56D22" w:rsidRPr="007D40FD" w:rsidRDefault="00C1366A" w:rsidP="00225385">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sidRPr="007D40FD">
              <w:rPr>
                <w:rFonts w:ascii="Times New Roman" w:hAnsi="Times New Roman"/>
                <w:bCs/>
                <w:sz w:val="24"/>
                <w:szCs w:val="24"/>
                <w:lang w:val="ro-RO"/>
              </w:rPr>
              <w:t>12</w:t>
            </w:r>
          </w:p>
          <w:p w14:paraId="0D285515" w14:textId="7A4C605D" w:rsidR="00C1366A" w:rsidRPr="007D40FD" w:rsidRDefault="00C1366A" w:rsidP="00C1366A">
            <w:pPr>
              <w:rPr>
                <w:rFonts w:ascii="Times New Roman" w:hAnsi="Times New Roman"/>
                <w:sz w:val="24"/>
                <w:szCs w:val="24"/>
                <w:lang w:val="ro-RO"/>
              </w:rPr>
            </w:pPr>
            <w:r w:rsidRPr="007D40FD">
              <w:rPr>
                <w:rFonts w:ascii="Times New Roman" w:hAnsi="Times New Roman"/>
                <w:sz w:val="24"/>
                <w:szCs w:val="24"/>
                <w:lang w:val="ro-RO"/>
              </w:rPr>
              <w:t>1</w:t>
            </w:r>
          </w:p>
        </w:tc>
        <w:tc>
          <w:tcPr>
            <w:tcW w:w="9072" w:type="dxa"/>
          </w:tcPr>
          <w:p w14:paraId="5F54B90E" w14:textId="25B0E183" w:rsidR="00D56D22" w:rsidRPr="007D40FD" w:rsidRDefault="00DD415E" w:rsidP="00D81AA3">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Lipsă de obiecții și propuneri.</w:t>
            </w:r>
          </w:p>
        </w:tc>
        <w:tc>
          <w:tcPr>
            <w:tcW w:w="3685" w:type="dxa"/>
          </w:tcPr>
          <w:p w14:paraId="504C314A" w14:textId="77777777" w:rsidR="00D56D22" w:rsidRPr="007D40FD" w:rsidRDefault="00D56D22" w:rsidP="0072397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DD415E" w:rsidRPr="007D40FD" w14:paraId="0DEA8747" w14:textId="77777777" w:rsidTr="0006422A">
        <w:trPr>
          <w:trHeight w:val="70"/>
        </w:trPr>
        <w:tc>
          <w:tcPr>
            <w:tcW w:w="2163" w:type="dxa"/>
            <w:tcMar>
              <w:top w:w="0" w:type="dxa"/>
              <w:left w:w="108" w:type="dxa"/>
              <w:bottom w:w="0" w:type="dxa"/>
              <w:right w:w="108" w:type="dxa"/>
            </w:tcMar>
          </w:tcPr>
          <w:p w14:paraId="407FE197" w14:textId="6A3691E3" w:rsidR="00DD415E" w:rsidRPr="007D40FD" w:rsidRDefault="00DD415E" w:rsidP="00E158C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Agenția Servicii Publice (aviz nr. 01/1806 din 16 februarie 2026)</w:t>
            </w:r>
          </w:p>
        </w:tc>
        <w:tc>
          <w:tcPr>
            <w:tcW w:w="531" w:type="dxa"/>
            <w:tcMar>
              <w:top w:w="0" w:type="dxa"/>
              <w:left w:w="108" w:type="dxa"/>
              <w:bottom w:w="0" w:type="dxa"/>
              <w:right w:w="108" w:type="dxa"/>
            </w:tcMar>
          </w:tcPr>
          <w:p w14:paraId="04FE21F8" w14:textId="06739357" w:rsidR="00DD415E" w:rsidRPr="007D40FD" w:rsidRDefault="00C1366A" w:rsidP="00225385">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sidRPr="007D40FD">
              <w:rPr>
                <w:rFonts w:ascii="Times New Roman" w:hAnsi="Times New Roman"/>
                <w:bCs/>
                <w:sz w:val="24"/>
                <w:szCs w:val="24"/>
                <w:lang w:val="ro-RO"/>
              </w:rPr>
              <w:t>13</w:t>
            </w:r>
          </w:p>
        </w:tc>
        <w:tc>
          <w:tcPr>
            <w:tcW w:w="9072" w:type="dxa"/>
          </w:tcPr>
          <w:p w14:paraId="2469DED8" w14:textId="370BA4BF" w:rsidR="00DD415E" w:rsidRPr="007D40FD" w:rsidRDefault="00DD415E" w:rsidP="00D81AA3">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Lipsă de obiecții și propuneri.</w:t>
            </w:r>
          </w:p>
        </w:tc>
        <w:tc>
          <w:tcPr>
            <w:tcW w:w="3685" w:type="dxa"/>
          </w:tcPr>
          <w:p w14:paraId="0C96BD58" w14:textId="77777777" w:rsidR="00DD415E" w:rsidRPr="007D40FD" w:rsidRDefault="00DD415E" w:rsidP="0072397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F1663D" w:rsidRPr="007D40FD" w14:paraId="327DFEE0" w14:textId="77777777" w:rsidTr="0006422A">
        <w:trPr>
          <w:trHeight w:val="70"/>
        </w:trPr>
        <w:tc>
          <w:tcPr>
            <w:tcW w:w="2163" w:type="dxa"/>
            <w:tcMar>
              <w:top w:w="0" w:type="dxa"/>
              <w:left w:w="108" w:type="dxa"/>
              <w:bottom w:w="0" w:type="dxa"/>
              <w:right w:w="108" w:type="dxa"/>
            </w:tcMar>
          </w:tcPr>
          <w:p w14:paraId="05CF60A7" w14:textId="085368D2" w:rsidR="00F1663D" w:rsidRPr="007D40FD" w:rsidRDefault="00F1663D" w:rsidP="00E158C9">
            <w:pPr>
              <w:pBdr>
                <w:top w:val="none" w:sz="4" w:space="0" w:color="000000"/>
                <w:left w:val="none" w:sz="4" w:space="0" w:color="000000"/>
                <w:bottom w:val="none" w:sz="4" w:space="0" w:color="000000"/>
                <w:right w:val="none" w:sz="4" w:space="0" w:color="000000"/>
              </w:pBdr>
              <w:ind w:firstLine="22"/>
              <w:rPr>
                <w:b/>
                <w:sz w:val="24"/>
                <w:szCs w:val="24"/>
                <w:lang w:val="ro-RO"/>
              </w:rPr>
            </w:pPr>
            <w:r w:rsidRPr="007D40FD">
              <w:rPr>
                <w:rFonts w:ascii="Times New Roman" w:hAnsi="Times New Roman"/>
                <w:b/>
                <w:sz w:val="24"/>
                <w:szCs w:val="24"/>
                <w:lang w:val="ro-RO"/>
              </w:rPr>
              <w:t>Congresul Autorităților Locale din Moldova (aviz nr. 83 din 17 martie 2026)</w:t>
            </w:r>
          </w:p>
        </w:tc>
        <w:tc>
          <w:tcPr>
            <w:tcW w:w="531" w:type="dxa"/>
            <w:tcMar>
              <w:top w:w="0" w:type="dxa"/>
              <w:left w:w="108" w:type="dxa"/>
              <w:bottom w:w="0" w:type="dxa"/>
              <w:right w:w="108" w:type="dxa"/>
            </w:tcMar>
          </w:tcPr>
          <w:p w14:paraId="7FBB9186" w14:textId="0C387188" w:rsidR="00F1663D" w:rsidRPr="007D40FD" w:rsidRDefault="00C1366A" w:rsidP="00225385">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sidRPr="007D40FD">
              <w:rPr>
                <w:rFonts w:ascii="Times New Roman" w:hAnsi="Times New Roman"/>
                <w:bCs/>
                <w:sz w:val="24"/>
                <w:szCs w:val="24"/>
                <w:lang w:val="ro-RO"/>
              </w:rPr>
              <w:t>14</w:t>
            </w:r>
          </w:p>
        </w:tc>
        <w:tc>
          <w:tcPr>
            <w:tcW w:w="9072" w:type="dxa"/>
          </w:tcPr>
          <w:p w14:paraId="70158932" w14:textId="77777777" w:rsidR="00F1663D" w:rsidRPr="007D40FD" w:rsidRDefault="00F1663D" w:rsidP="00F1663D">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în rezultatul examinării Proiectului, menționează că acesta este binevenit în aspectul</w:t>
            </w:r>
          </w:p>
          <w:p w14:paraId="59CABDFC" w14:textId="053D2BB1" w:rsidR="00F1663D" w:rsidRPr="007D40FD" w:rsidRDefault="00F1663D" w:rsidP="00F1663D">
            <w:pPr>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creării unui mecanism de gestionare unitară și coerentă a situației în cazul unui aflux sporit de străini.</w:t>
            </w:r>
          </w:p>
        </w:tc>
        <w:tc>
          <w:tcPr>
            <w:tcW w:w="3685" w:type="dxa"/>
          </w:tcPr>
          <w:p w14:paraId="51E75393" w14:textId="1BFD7FB1" w:rsidR="00F1663D" w:rsidRPr="007D40FD" w:rsidRDefault="00F1663D" w:rsidP="0072397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S-a luat act.</w:t>
            </w:r>
          </w:p>
        </w:tc>
      </w:tr>
      <w:tr w:rsidR="00D971A4" w:rsidRPr="007D40FD" w14:paraId="406FE820" w14:textId="77777777" w:rsidTr="00686ACC">
        <w:trPr>
          <w:trHeight w:val="70"/>
        </w:trPr>
        <w:tc>
          <w:tcPr>
            <w:tcW w:w="15451" w:type="dxa"/>
            <w:gridSpan w:val="4"/>
            <w:tcMar>
              <w:top w:w="0" w:type="dxa"/>
              <w:left w:w="108" w:type="dxa"/>
              <w:bottom w:w="0" w:type="dxa"/>
              <w:right w:w="108" w:type="dxa"/>
            </w:tcMar>
          </w:tcPr>
          <w:p w14:paraId="2363A2F9" w14:textId="55C3BEEC" w:rsidR="00D971A4" w:rsidRPr="007D40FD" w:rsidRDefault="00D971A4" w:rsidP="00107595">
            <w:pPr>
              <w:pBdr>
                <w:top w:val="none" w:sz="4" w:space="0" w:color="000000"/>
                <w:left w:val="none" w:sz="4" w:space="0" w:color="000000"/>
                <w:bottom w:val="none" w:sz="4" w:space="0" w:color="000000"/>
                <w:right w:val="none" w:sz="4" w:space="0" w:color="000000"/>
              </w:pBdr>
              <w:shd w:val="clear" w:color="auto" w:fill="D9D9D9" w:themeFill="background1" w:themeFillShade="D9"/>
              <w:ind w:firstLine="0"/>
              <w:jc w:val="center"/>
              <w:rPr>
                <w:rFonts w:ascii="Times New Roman" w:hAnsi="Times New Roman"/>
                <w:b/>
                <w:bCs/>
                <w:sz w:val="24"/>
                <w:szCs w:val="24"/>
                <w:lang w:val="ro-RO"/>
              </w:rPr>
            </w:pPr>
            <w:r w:rsidRPr="007D40FD">
              <w:rPr>
                <w:rFonts w:ascii="Times New Roman" w:hAnsi="Times New Roman"/>
                <w:b/>
                <w:bCs/>
                <w:sz w:val="24"/>
                <w:szCs w:val="24"/>
                <w:lang w:val="ro-RO" w:eastAsia="ru-RU"/>
              </w:rPr>
              <w:t>Avizare și consultare publică repetată</w:t>
            </w:r>
          </w:p>
        </w:tc>
      </w:tr>
      <w:tr w:rsidR="00D971A4" w:rsidRPr="007D40FD" w14:paraId="6DA1A384" w14:textId="77777777" w:rsidTr="0006422A">
        <w:trPr>
          <w:trHeight w:val="70"/>
        </w:trPr>
        <w:tc>
          <w:tcPr>
            <w:tcW w:w="2163" w:type="dxa"/>
            <w:tcMar>
              <w:top w:w="0" w:type="dxa"/>
              <w:left w:w="108" w:type="dxa"/>
              <w:bottom w:w="0" w:type="dxa"/>
              <w:right w:w="108" w:type="dxa"/>
            </w:tcMar>
          </w:tcPr>
          <w:p w14:paraId="1FEC1B73" w14:textId="77777777" w:rsidR="00D971A4" w:rsidRPr="007D40FD" w:rsidRDefault="00D971A4" w:rsidP="00D971A4">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t xml:space="preserve">Ministerul Afacerilor Externe al Republicii Moldova </w:t>
            </w:r>
          </w:p>
          <w:p w14:paraId="64E2C9CA" w14:textId="3FE5D87A" w:rsidR="00D971A4" w:rsidRPr="007D40FD" w:rsidRDefault="00D971A4" w:rsidP="00D971A4">
            <w:pPr>
              <w:pBdr>
                <w:top w:val="none" w:sz="4" w:space="0" w:color="000000"/>
                <w:left w:val="none" w:sz="4" w:space="0" w:color="000000"/>
                <w:bottom w:val="none" w:sz="4" w:space="0" w:color="000000"/>
                <w:right w:val="none" w:sz="4" w:space="0" w:color="000000"/>
              </w:pBdr>
              <w:ind w:firstLine="22"/>
              <w:rPr>
                <w:b/>
                <w:sz w:val="24"/>
                <w:szCs w:val="24"/>
                <w:lang w:val="ro-RO"/>
              </w:rPr>
            </w:pPr>
            <w:r w:rsidRPr="007D40FD">
              <w:rPr>
                <w:rFonts w:ascii="Times New Roman" w:hAnsi="Times New Roman"/>
                <w:b/>
                <w:color w:val="000000" w:themeColor="text1"/>
                <w:sz w:val="24"/>
                <w:szCs w:val="24"/>
                <w:lang w:val="ro-RO"/>
              </w:rPr>
              <w:lastRenderedPageBreak/>
              <w:t>(aviz nr. DI/3/041-3773 din 31 martie 2026)</w:t>
            </w:r>
          </w:p>
        </w:tc>
        <w:tc>
          <w:tcPr>
            <w:tcW w:w="531" w:type="dxa"/>
            <w:tcMar>
              <w:top w:w="0" w:type="dxa"/>
              <w:left w:w="108" w:type="dxa"/>
              <w:bottom w:w="0" w:type="dxa"/>
              <w:right w:w="108" w:type="dxa"/>
            </w:tcMar>
          </w:tcPr>
          <w:p w14:paraId="6B64341B" w14:textId="08C9A56A" w:rsidR="00D971A4" w:rsidRPr="007D40FD" w:rsidRDefault="00ED70D6" w:rsidP="00D971A4">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sidRPr="007D40FD">
              <w:rPr>
                <w:rFonts w:ascii="Times New Roman" w:hAnsi="Times New Roman"/>
                <w:bCs/>
                <w:sz w:val="24"/>
                <w:szCs w:val="24"/>
                <w:lang w:val="ro-RO"/>
              </w:rPr>
              <w:lastRenderedPageBreak/>
              <w:t>1</w:t>
            </w:r>
          </w:p>
        </w:tc>
        <w:tc>
          <w:tcPr>
            <w:tcW w:w="9072" w:type="dxa"/>
          </w:tcPr>
          <w:p w14:paraId="6FAEA805" w14:textId="77777777" w:rsidR="00D971A4" w:rsidRPr="007D40FD" w:rsidRDefault="00D971A4" w:rsidP="00D971A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Serviciile consulare sunt, prin natura lor, atribuții suverane ale statelor, exercitate exclusiv prin misiuni diplomatice și oficii consulare (emitere documente, asistență consulară, protecție cetățeni etc). Prin urmare, ONG-urile și organismele internaționale sunt lipsite de competențe consulare directe, rolul acestora limitându-se la facilitarea accesului persoanelor către serviciile de profil.</w:t>
            </w:r>
          </w:p>
          <w:p w14:paraId="1A70B0A5" w14:textId="77777777" w:rsidR="00D971A4" w:rsidRPr="007D40FD" w:rsidRDefault="00D971A4" w:rsidP="00D971A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lastRenderedPageBreak/>
              <w:t xml:space="preserve">Din considerentele enunțate, se consideră judicioasă reformularea unor acțiuni în Planul de contingență al acțiunilor de răspuns pe sectoare de intervenție, la rubrica „Acțiuni parteneri externi (OI/ONG)”, după cum urmează: </w:t>
            </w:r>
          </w:p>
          <w:p w14:paraId="703561E9" w14:textId="77777777" w:rsidR="00D971A4" w:rsidRPr="007D40FD" w:rsidRDefault="00D971A4" w:rsidP="00D971A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40FD">
              <w:rPr>
                <w:rFonts w:ascii="Times New Roman" w:hAnsi="Times New Roman"/>
                <w:sz w:val="24"/>
                <w:szCs w:val="24"/>
                <w:lang w:val="ro-RO"/>
              </w:rPr>
              <w:t>- la pct. 2.1.10, 2.1.11, sintagma „asigurarea serviciilor consulare” se va substitui cu expresia „facilitarea accesului la servicii consulare”;</w:t>
            </w:r>
          </w:p>
          <w:p w14:paraId="7E2FD4F5" w14:textId="4AFA1BC8" w:rsidR="00D971A4" w:rsidRPr="007D40FD" w:rsidRDefault="00D971A4" w:rsidP="00D971A4">
            <w:pPr>
              <w:tabs>
                <w:tab w:val="left" w:pos="1814"/>
              </w:tabs>
              <w:autoSpaceDE w:val="0"/>
              <w:autoSpaceDN w:val="0"/>
              <w:adjustRightInd w:val="0"/>
              <w:ind w:firstLine="0"/>
              <w:rPr>
                <w:sz w:val="24"/>
                <w:szCs w:val="24"/>
                <w:lang w:val="ro-RO" w:eastAsia="ru-RU"/>
              </w:rPr>
            </w:pPr>
            <w:r w:rsidRPr="007D40FD">
              <w:rPr>
                <w:rFonts w:ascii="Times New Roman" w:hAnsi="Times New Roman"/>
                <w:sz w:val="24"/>
                <w:szCs w:val="24"/>
                <w:lang w:val="ro-RO"/>
              </w:rPr>
              <w:t>- la pct. 4.4, cuvintele „servicii consulare” vor fi înlocuite cu sintagma „facilitarea accesului la servicii consulare”.</w:t>
            </w:r>
          </w:p>
        </w:tc>
        <w:tc>
          <w:tcPr>
            <w:tcW w:w="3685" w:type="dxa"/>
          </w:tcPr>
          <w:p w14:paraId="0C09C39A" w14:textId="7808B679" w:rsidR="00D971A4" w:rsidRPr="007D40FD" w:rsidRDefault="00D971A4" w:rsidP="00D971A4">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lastRenderedPageBreak/>
              <w:t>Se acceptă.</w:t>
            </w:r>
            <w:r w:rsidRPr="007D40FD">
              <w:rPr>
                <w:rFonts w:ascii="Times New Roman" w:hAnsi="Times New Roman"/>
                <w:sz w:val="24"/>
                <w:szCs w:val="24"/>
                <w:lang w:val="ro-RO"/>
              </w:rPr>
              <w:t xml:space="preserve"> </w:t>
            </w:r>
            <w:r w:rsidRPr="007D40FD">
              <w:rPr>
                <w:rFonts w:ascii="Times New Roman" w:hAnsi="Times New Roman"/>
                <w:color w:val="000000" w:themeColor="text1"/>
                <w:sz w:val="24"/>
                <w:szCs w:val="24"/>
                <w:lang w:val="ro-RO"/>
              </w:rPr>
              <w:t>Modificările au fost operate.</w:t>
            </w:r>
          </w:p>
        </w:tc>
      </w:tr>
      <w:tr w:rsidR="008F5BA1" w:rsidRPr="007D40FD" w14:paraId="64F3590D" w14:textId="77777777" w:rsidTr="0006422A">
        <w:trPr>
          <w:trHeight w:val="70"/>
        </w:trPr>
        <w:tc>
          <w:tcPr>
            <w:tcW w:w="2163" w:type="dxa"/>
            <w:vMerge w:val="restart"/>
            <w:tcMar>
              <w:top w:w="0" w:type="dxa"/>
              <w:left w:w="108" w:type="dxa"/>
              <w:bottom w:w="0" w:type="dxa"/>
              <w:right w:w="108" w:type="dxa"/>
            </w:tcMar>
          </w:tcPr>
          <w:p w14:paraId="1B0873C8" w14:textId="0399438C" w:rsidR="008F5BA1" w:rsidRPr="007D40FD" w:rsidRDefault="008F5BA1" w:rsidP="00ED70D6">
            <w:pPr>
              <w:pBdr>
                <w:top w:val="none" w:sz="4" w:space="0" w:color="000000"/>
                <w:left w:val="none" w:sz="4" w:space="0" w:color="000000"/>
                <w:bottom w:val="none" w:sz="4" w:space="0" w:color="000000"/>
                <w:right w:val="none" w:sz="4" w:space="0" w:color="000000"/>
              </w:pBdr>
              <w:ind w:firstLine="22"/>
              <w:rPr>
                <w:b/>
                <w:sz w:val="24"/>
                <w:szCs w:val="24"/>
                <w:lang w:val="ro-RO"/>
              </w:rPr>
            </w:pPr>
            <w:r w:rsidRPr="007D40FD">
              <w:rPr>
                <w:rFonts w:ascii="Times New Roman" w:hAnsi="Times New Roman"/>
                <w:b/>
                <w:sz w:val="24"/>
                <w:szCs w:val="24"/>
                <w:lang w:val="ro-RO"/>
              </w:rPr>
              <w:t>Ministerul Muncii și Protecției Sociale (aviz nr. 13/1732 din 30 martie 2026)</w:t>
            </w:r>
          </w:p>
        </w:tc>
        <w:tc>
          <w:tcPr>
            <w:tcW w:w="531" w:type="dxa"/>
            <w:vMerge w:val="restart"/>
            <w:tcMar>
              <w:top w:w="0" w:type="dxa"/>
              <w:left w:w="108" w:type="dxa"/>
              <w:bottom w:w="0" w:type="dxa"/>
              <w:right w:w="108" w:type="dxa"/>
            </w:tcMar>
          </w:tcPr>
          <w:p w14:paraId="2E4E783B" w14:textId="3ADB96B8" w:rsidR="008F5BA1" w:rsidRPr="007D40FD" w:rsidRDefault="008F5BA1" w:rsidP="00ED70D6">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sidRPr="007D40FD">
              <w:rPr>
                <w:rFonts w:ascii="Times New Roman" w:hAnsi="Times New Roman"/>
                <w:bCs/>
                <w:sz w:val="24"/>
                <w:szCs w:val="24"/>
                <w:lang w:val="ro-RO"/>
              </w:rPr>
              <w:t>2</w:t>
            </w:r>
          </w:p>
        </w:tc>
        <w:tc>
          <w:tcPr>
            <w:tcW w:w="9072" w:type="dxa"/>
          </w:tcPr>
          <w:p w14:paraId="1367283B" w14:textId="4BD00BC4" w:rsidR="008F5BA1" w:rsidRPr="007D40FD" w:rsidRDefault="008F5BA1" w:rsidP="00ED70D6">
            <w:pPr>
              <w:tabs>
                <w:tab w:val="left" w:pos="1814"/>
              </w:tabs>
              <w:autoSpaceDE w:val="0"/>
              <w:autoSpaceDN w:val="0"/>
              <w:adjustRightInd w:val="0"/>
              <w:ind w:firstLine="0"/>
              <w:rPr>
                <w:sz w:val="24"/>
                <w:szCs w:val="24"/>
                <w:lang w:val="ro-RO" w:eastAsia="ru-RU"/>
              </w:rPr>
            </w:pPr>
            <w:r w:rsidRPr="007D40FD">
              <w:rPr>
                <w:rFonts w:ascii="Times New Roman" w:hAnsi="Times New Roman"/>
                <w:sz w:val="24"/>
                <w:szCs w:val="24"/>
                <w:lang w:val="ro-RO" w:eastAsia="ru-RU"/>
              </w:rPr>
              <w:t>Se atrage atenția că Hotărârea Guvernului nr. 1146/2017 (care urmează a fi abrogată prin prezentul proiect) reprezintă o prezentare generală a mecanismului de gestionare a unei eventuale situații de aflux de străini, indiferent de originea sau cauza acestuia. În schimb, mecanismul propus prin prezentul proiect se concentrează pe implementarea măsurilor în contextul unui potențial aflux de refugiați din Ucraina, ceea ce nu corespunde titlului mecanismului, precum și scopului și obiectivului prevăzut la pct. 3 și 4 din proiect, care vizează în mod generic „aflux sporit de străini”, fără a limita aplicabilitatea acestuia la cetățenii veniți din Ucraina. Prin utilizarea sintagmei „aflux sporit de străini”, legiuitorul consacră un domeniu de aplicare larg, ce presupune aplicabilitatea mecanismului în orice situație de creștere semnificativă a numărului de străini pe teritoriul statului. Totodată, se atrage atenția că însăși denumirea actului normativ – proiectul de hotărâre cu privire la aprobarea Mecanismului național de gestionare unitară și coerentă a situației în cazul unui aflux sporit de străini – are un caracter general și reflectă aplicabilitatea acestuia pentru toate categoriile de străini, indiferent de statul de origine. În consecință, se constată o neconcordanță între caracterul general al reglementării (reflectat în denumire, scop și obiective) și conținutul efectiv al mecanismului, care este circumscris unei situații particulare. Prin urmare, se consideră că abrogarea Hotărârii Guvernului nr. 1146/2017 nu este oportună, întrucât aceasta asigură un cadru normativ general aplicabil tuturor situațiilor de aflux de străini. Eliminarea acesteia, în lipsa instituirii unui mecanism cu același caracter general, ar putea genera lacune normative și ar limita capacitatea autorităților de a interveni eficient în alte tipuri de situații decât cele avute în vedere de prezentul proiect. Or, pentru asigurarea coerenței normative și a clarității reglementării, este necesar ca prevederile proiectului să fie aliniate cu denumirea acestuia, fie prin: menținerea caracterului general și adaptarea conținutului mecanismului pentru a acoperi toate situațiile de aflux de străini, fie prin reformularea denumirii actului și a obiectivelor acestuia, în cazul în care se urmărește reglementarea unei situații specifice.</w:t>
            </w:r>
          </w:p>
        </w:tc>
        <w:tc>
          <w:tcPr>
            <w:tcW w:w="3685" w:type="dxa"/>
          </w:tcPr>
          <w:p w14:paraId="777F2D22" w14:textId="03DE05B4" w:rsidR="008F5BA1" w:rsidRPr="007D40FD" w:rsidRDefault="008F5BA1" w:rsidP="00ED70D6">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t xml:space="preserve">Se acceptă parțial. </w:t>
            </w:r>
            <w:r w:rsidRPr="007D40FD">
              <w:rPr>
                <w:rFonts w:ascii="Times New Roman" w:hAnsi="Times New Roman"/>
                <w:sz w:val="24"/>
                <w:szCs w:val="24"/>
                <w:lang w:val="ro-RO"/>
              </w:rPr>
              <w:t>Proiectul Mecanismului național are caracter general și este aplicabil în toate situațiile de aflux sporit de străini, indiferent de statul de origine sau cauza acestuia. Referințele la anumite scenarii operaționale din Planul de contingență au caracter orientativ și sunt bazate pe experiența gestionării crizei refugiaților, însă Mecanismul național nu este limitat la o anumită categorie de străini. Referințele la anumite scenarii au caracter orientativ și nu limitează domeniul de aplicare al mecanismului național. Proiectul a fost ajustat pentru a asigura coerența între denumirea, scopul și conținutul mecanismului.</w:t>
            </w:r>
          </w:p>
        </w:tc>
      </w:tr>
      <w:tr w:rsidR="008F5BA1" w:rsidRPr="007D40FD" w14:paraId="2478EB92" w14:textId="77777777" w:rsidTr="0006422A">
        <w:trPr>
          <w:trHeight w:val="70"/>
        </w:trPr>
        <w:tc>
          <w:tcPr>
            <w:tcW w:w="2163" w:type="dxa"/>
            <w:vMerge/>
            <w:tcMar>
              <w:top w:w="0" w:type="dxa"/>
              <w:left w:w="108" w:type="dxa"/>
              <w:bottom w:w="0" w:type="dxa"/>
              <w:right w:w="108" w:type="dxa"/>
            </w:tcMar>
          </w:tcPr>
          <w:p w14:paraId="44D4530D"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2082ECF8"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59C9B85D" w14:textId="07604815" w:rsidR="008F5BA1" w:rsidRPr="007D40FD" w:rsidRDefault="008F5BA1" w:rsidP="00ED70D6">
            <w:pPr>
              <w:tabs>
                <w:tab w:val="left" w:pos="1814"/>
              </w:tabs>
              <w:autoSpaceDE w:val="0"/>
              <w:autoSpaceDN w:val="0"/>
              <w:adjustRightInd w:val="0"/>
              <w:ind w:firstLine="0"/>
              <w:rPr>
                <w:sz w:val="24"/>
                <w:szCs w:val="24"/>
                <w:lang w:val="ro-RO" w:eastAsia="ru-RU"/>
              </w:rPr>
            </w:pPr>
            <w:r w:rsidRPr="007D40FD">
              <w:rPr>
                <w:rFonts w:ascii="Times New Roman" w:hAnsi="Times New Roman"/>
                <w:sz w:val="24"/>
                <w:szCs w:val="24"/>
                <w:lang w:val="ro-RO" w:eastAsia="ru-RU"/>
              </w:rPr>
              <w:t xml:space="preserve">La anexa nr. 1 Planul de contingență, la Compartimentul 2. Frontiera de stat, Obiectivul 2.1. Managementul fluxului sporit de persoane la intrarea/ieșirea de pe teritoriul RM, la acțiunea </w:t>
            </w:r>
            <w:r w:rsidRPr="007D40FD">
              <w:rPr>
                <w:rFonts w:ascii="Times New Roman" w:hAnsi="Times New Roman"/>
                <w:sz w:val="24"/>
                <w:szCs w:val="24"/>
                <w:lang w:val="ro-RO" w:eastAsia="ru-RU"/>
              </w:rPr>
              <w:lastRenderedPageBreak/>
              <w:t xml:space="preserve">2.1.6. Evidența copiilor la intrarea și ieșirea din țară, în </w:t>
            </w:r>
            <w:proofErr w:type="spellStart"/>
            <w:r w:rsidRPr="007D40FD">
              <w:rPr>
                <w:rFonts w:ascii="Times New Roman" w:hAnsi="Times New Roman"/>
                <w:sz w:val="24"/>
                <w:szCs w:val="24"/>
                <w:lang w:val="ro-RO" w:eastAsia="ru-RU"/>
              </w:rPr>
              <w:t>colonița</w:t>
            </w:r>
            <w:proofErr w:type="spellEnd"/>
            <w:r w:rsidRPr="007D40FD">
              <w:rPr>
                <w:rFonts w:ascii="Times New Roman" w:hAnsi="Times New Roman"/>
                <w:sz w:val="24"/>
                <w:szCs w:val="24"/>
                <w:lang w:val="ro-RO" w:eastAsia="ru-RU"/>
              </w:rPr>
              <w:t xml:space="preserve"> Acțiuni structurii de suport (GOV), textul „- sprijin cu personal;” urmează a fi exclus, deoarece domeniul social nu dispune de personal pentru a asigura evidența tuturor copiilor care intră sau care ies din țară.</w:t>
            </w:r>
          </w:p>
        </w:tc>
        <w:tc>
          <w:tcPr>
            <w:tcW w:w="3685" w:type="dxa"/>
          </w:tcPr>
          <w:p w14:paraId="2AB2B28F" w14:textId="778D7EEA" w:rsidR="008F5BA1" w:rsidRPr="007D40FD" w:rsidRDefault="008F5BA1" w:rsidP="00ED70D6">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lastRenderedPageBreak/>
              <w:t>Nu se acceptă.</w:t>
            </w:r>
            <w:r w:rsidRPr="007D40FD">
              <w:rPr>
                <w:rFonts w:ascii="Times New Roman" w:hAnsi="Times New Roman"/>
                <w:sz w:val="24"/>
                <w:szCs w:val="24"/>
                <w:lang w:val="ro-RO"/>
              </w:rPr>
              <w:t xml:space="preserve"> Acțiunile de suport sunt acțiuni interinstituționale care </w:t>
            </w:r>
            <w:r w:rsidRPr="007D40FD">
              <w:rPr>
                <w:rFonts w:ascii="Times New Roman" w:hAnsi="Times New Roman"/>
                <w:sz w:val="24"/>
                <w:szCs w:val="24"/>
                <w:lang w:val="ro-RO"/>
              </w:rPr>
              <w:lastRenderedPageBreak/>
              <w:t>implică atât MMPS, cât și alte instituții, motiv pentru care formularea se menține.</w:t>
            </w:r>
          </w:p>
        </w:tc>
      </w:tr>
      <w:tr w:rsidR="008F5BA1" w:rsidRPr="007D40FD" w14:paraId="2DE3BEEA" w14:textId="77777777" w:rsidTr="0006422A">
        <w:trPr>
          <w:trHeight w:val="70"/>
        </w:trPr>
        <w:tc>
          <w:tcPr>
            <w:tcW w:w="2163" w:type="dxa"/>
            <w:vMerge/>
            <w:tcMar>
              <w:top w:w="0" w:type="dxa"/>
              <w:left w:w="108" w:type="dxa"/>
              <w:bottom w:w="0" w:type="dxa"/>
              <w:right w:w="108" w:type="dxa"/>
            </w:tcMar>
          </w:tcPr>
          <w:p w14:paraId="5B685F4A"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4E1C7106"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3428D689" w14:textId="13B9F3FF" w:rsidR="008F5BA1" w:rsidRPr="007D40FD" w:rsidRDefault="008F5BA1" w:rsidP="00ED70D6">
            <w:pPr>
              <w:tabs>
                <w:tab w:val="left" w:pos="1814"/>
              </w:tabs>
              <w:autoSpaceDE w:val="0"/>
              <w:autoSpaceDN w:val="0"/>
              <w:adjustRightInd w:val="0"/>
              <w:ind w:firstLine="0"/>
              <w:rPr>
                <w:sz w:val="24"/>
                <w:szCs w:val="24"/>
                <w:lang w:val="ro-RO" w:eastAsia="ru-RU"/>
              </w:rPr>
            </w:pPr>
            <w:r w:rsidRPr="007D40FD">
              <w:rPr>
                <w:rFonts w:ascii="Times New Roman" w:hAnsi="Times New Roman"/>
                <w:sz w:val="24"/>
                <w:szCs w:val="24"/>
                <w:lang w:val="ro-RO" w:eastAsia="ru-RU"/>
              </w:rPr>
              <w:t>La anexa nr. 1 Planul de contingență, la Compartimentul 4. Protecție, Secțiunea Domenii de interes, textul „copiii neînsoțiți/separați” urmează a fi substituit cu sintagma „copiii neînsoțiți”, or autorul proiectului nu oferă o claritate cu privire la necesitatea reflectării categoriei de copii separați în proiectul actului normativ, prezentat spre avizare.</w:t>
            </w:r>
          </w:p>
        </w:tc>
        <w:tc>
          <w:tcPr>
            <w:tcW w:w="3685" w:type="dxa"/>
          </w:tcPr>
          <w:p w14:paraId="1DBB1A11" w14:textId="0A4ABD83" w:rsidR="008F5BA1" w:rsidRPr="007D40FD" w:rsidRDefault="008F5BA1" w:rsidP="00ED70D6">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bCs/>
                <w:sz w:val="24"/>
                <w:szCs w:val="24"/>
                <w:lang w:val="ro-RO"/>
              </w:rPr>
              <w:t xml:space="preserve"> </w:t>
            </w:r>
            <w:r w:rsidRPr="007D40FD">
              <w:rPr>
                <w:rFonts w:ascii="Times New Roman" w:hAnsi="Times New Roman"/>
                <w:color w:val="000000" w:themeColor="text1"/>
                <w:sz w:val="24"/>
                <w:szCs w:val="24"/>
                <w:lang w:val="ro-RO"/>
              </w:rPr>
              <w:t>Modificările au fost operate.</w:t>
            </w:r>
          </w:p>
        </w:tc>
      </w:tr>
      <w:tr w:rsidR="008F5BA1" w:rsidRPr="007D40FD" w14:paraId="74F03822" w14:textId="77777777" w:rsidTr="0006422A">
        <w:trPr>
          <w:trHeight w:val="70"/>
        </w:trPr>
        <w:tc>
          <w:tcPr>
            <w:tcW w:w="2163" w:type="dxa"/>
            <w:vMerge/>
            <w:tcMar>
              <w:top w:w="0" w:type="dxa"/>
              <w:left w:w="108" w:type="dxa"/>
              <w:bottom w:w="0" w:type="dxa"/>
              <w:right w:w="108" w:type="dxa"/>
            </w:tcMar>
          </w:tcPr>
          <w:p w14:paraId="72A9EC9F"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7BE77C54"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5FD2311C" w14:textId="77777777" w:rsidR="008F5BA1" w:rsidRPr="007D40FD" w:rsidRDefault="008F5BA1" w:rsidP="00ED70D6">
            <w:pPr>
              <w:ind w:firstLine="0"/>
              <w:rPr>
                <w:rFonts w:ascii="Times New Roman" w:hAnsi="Times New Roman"/>
                <w:sz w:val="24"/>
                <w:szCs w:val="24"/>
                <w:lang w:val="ro-RO" w:eastAsia="ru-RU"/>
              </w:rPr>
            </w:pPr>
            <w:r w:rsidRPr="007D40FD">
              <w:rPr>
                <w:rFonts w:ascii="Times New Roman" w:hAnsi="Times New Roman"/>
                <w:sz w:val="24"/>
                <w:szCs w:val="24"/>
                <w:lang w:val="ro-RO" w:eastAsia="ru-RU"/>
              </w:rPr>
              <w:t>La anexa nr. 1 Planul de contingență, la Obiectivul 4.2. Combaterea traficului de ființe umane, reiterăm propunerea aferentă acțiunii nr. 4.2.2 Desfășurarea activităților de prevenire și combatere a traficului de ființe umane, identificarea victimelor și a traficanților, prin care se propune substituirea listei acțiunilor realizate de structurile de suport, astfel încât aceasta să reflecte în mod adecvat dimensiunea de prevenire și combatere a traficului de ființe umane, precum și identificarea victimelor și a traficanților, după cum urmează:</w:t>
            </w:r>
          </w:p>
          <w:p w14:paraId="1DB2F736" w14:textId="77777777" w:rsidR="008F5BA1" w:rsidRPr="007D40FD" w:rsidRDefault="008F5BA1" w:rsidP="00ED70D6">
            <w:pPr>
              <w:ind w:firstLine="0"/>
              <w:rPr>
                <w:rFonts w:ascii="Times New Roman" w:hAnsi="Times New Roman"/>
                <w:sz w:val="24"/>
                <w:szCs w:val="24"/>
                <w:lang w:val="ro-RO" w:eastAsia="ru-RU"/>
              </w:rPr>
            </w:pPr>
            <w:r w:rsidRPr="007D40FD">
              <w:rPr>
                <w:rFonts w:ascii="Times New Roman" w:hAnsi="Times New Roman"/>
                <w:sz w:val="24"/>
                <w:szCs w:val="24"/>
                <w:lang w:val="ro-RO" w:eastAsia="ru-RU"/>
              </w:rPr>
              <w:t>- asigurarea suportului informațional pentru persoanele aflate în situații de risc;</w:t>
            </w:r>
          </w:p>
          <w:p w14:paraId="75C285A4" w14:textId="77777777" w:rsidR="008F5BA1" w:rsidRPr="007D40FD" w:rsidRDefault="008F5BA1" w:rsidP="00ED70D6">
            <w:pPr>
              <w:ind w:firstLine="0"/>
              <w:rPr>
                <w:rFonts w:ascii="Times New Roman" w:hAnsi="Times New Roman"/>
                <w:sz w:val="24"/>
                <w:szCs w:val="24"/>
                <w:lang w:val="ro-RO" w:eastAsia="ru-RU"/>
              </w:rPr>
            </w:pPr>
            <w:r w:rsidRPr="007D40FD">
              <w:rPr>
                <w:rFonts w:ascii="Times New Roman" w:hAnsi="Times New Roman"/>
                <w:sz w:val="24"/>
                <w:szCs w:val="24"/>
                <w:lang w:val="ro-RO" w:eastAsia="ru-RU"/>
              </w:rPr>
              <w:t>- activarea mecanismelor de identificare a victimelor traficului de ființe umane;</w:t>
            </w:r>
          </w:p>
          <w:p w14:paraId="428DD92B" w14:textId="77777777" w:rsidR="008F5BA1" w:rsidRPr="007D40FD" w:rsidRDefault="008F5BA1" w:rsidP="00ED70D6">
            <w:pPr>
              <w:ind w:firstLine="0"/>
              <w:rPr>
                <w:rFonts w:ascii="Times New Roman" w:hAnsi="Times New Roman"/>
                <w:sz w:val="24"/>
                <w:szCs w:val="24"/>
                <w:lang w:val="ro-RO" w:eastAsia="ru-RU"/>
              </w:rPr>
            </w:pPr>
            <w:r w:rsidRPr="007D40FD">
              <w:rPr>
                <w:rFonts w:ascii="Times New Roman" w:hAnsi="Times New Roman"/>
                <w:sz w:val="24"/>
                <w:szCs w:val="24"/>
                <w:lang w:val="ro-RO" w:eastAsia="ru-RU"/>
              </w:rPr>
              <w:t>- dispunerea măsurilor de protecție și referirea victimelor identificate către servicii specializate;</w:t>
            </w:r>
          </w:p>
          <w:p w14:paraId="56D1125F" w14:textId="77777777" w:rsidR="008F5BA1" w:rsidRPr="007D40FD" w:rsidRDefault="008F5BA1" w:rsidP="00ED70D6">
            <w:pPr>
              <w:ind w:firstLine="0"/>
              <w:rPr>
                <w:rFonts w:ascii="Times New Roman" w:hAnsi="Times New Roman"/>
                <w:sz w:val="24"/>
                <w:szCs w:val="24"/>
                <w:lang w:val="ro-RO" w:eastAsia="ru-RU"/>
              </w:rPr>
            </w:pPr>
            <w:r w:rsidRPr="007D40FD">
              <w:rPr>
                <w:rFonts w:ascii="Times New Roman" w:hAnsi="Times New Roman"/>
                <w:sz w:val="24"/>
                <w:szCs w:val="24"/>
                <w:lang w:val="ro-RO" w:eastAsia="ru-RU"/>
              </w:rPr>
              <w:t>- intensificarea măsurilor de identificare și documentare a persoanelor implicate în traficul de ființe umane;</w:t>
            </w:r>
          </w:p>
          <w:p w14:paraId="7A99AA5B" w14:textId="2DBAB8DB" w:rsidR="008F5BA1" w:rsidRPr="007D40FD" w:rsidRDefault="008F5BA1" w:rsidP="00ED70D6">
            <w:pPr>
              <w:tabs>
                <w:tab w:val="left" w:pos="1814"/>
              </w:tabs>
              <w:autoSpaceDE w:val="0"/>
              <w:autoSpaceDN w:val="0"/>
              <w:adjustRightInd w:val="0"/>
              <w:ind w:firstLine="0"/>
              <w:rPr>
                <w:sz w:val="24"/>
                <w:szCs w:val="24"/>
                <w:lang w:val="ro-RO" w:eastAsia="ru-RU"/>
              </w:rPr>
            </w:pPr>
            <w:r w:rsidRPr="007D40FD">
              <w:rPr>
                <w:rFonts w:ascii="Times New Roman" w:hAnsi="Times New Roman"/>
                <w:sz w:val="24"/>
                <w:szCs w:val="24"/>
                <w:lang w:val="ro-RO" w:eastAsia="ru-RU"/>
              </w:rPr>
              <w:t>- consolidarea schimbului de informații între autoritățile competente.</w:t>
            </w:r>
          </w:p>
        </w:tc>
        <w:tc>
          <w:tcPr>
            <w:tcW w:w="3685" w:type="dxa"/>
          </w:tcPr>
          <w:p w14:paraId="74297165" w14:textId="705510A5" w:rsidR="008F5BA1" w:rsidRPr="007D40FD" w:rsidRDefault="008F5BA1" w:rsidP="00ED70D6">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06BF9DD9" w14:textId="77777777" w:rsidTr="0006422A">
        <w:trPr>
          <w:trHeight w:val="70"/>
        </w:trPr>
        <w:tc>
          <w:tcPr>
            <w:tcW w:w="2163" w:type="dxa"/>
            <w:vMerge/>
            <w:tcMar>
              <w:top w:w="0" w:type="dxa"/>
              <w:left w:w="108" w:type="dxa"/>
              <w:bottom w:w="0" w:type="dxa"/>
              <w:right w:w="108" w:type="dxa"/>
            </w:tcMar>
          </w:tcPr>
          <w:p w14:paraId="3F1F5844"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3089F5CE"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37A7B627" w14:textId="6F526413" w:rsidR="008F5BA1" w:rsidRPr="007D40FD" w:rsidRDefault="008F5BA1" w:rsidP="00ED70D6">
            <w:pPr>
              <w:tabs>
                <w:tab w:val="left" w:pos="1814"/>
              </w:tabs>
              <w:autoSpaceDE w:val="0"/>
              <w:autoSpaceDN w:val="0"/>
              <w:adjustRightInd w:val="0"/>
              <w:ind w:firstLine="0"/>
              <w:rPr>
                <w:sz w:val="24"/>
                <w:szCs w:val="24"/>
                <w:lang w:val="ro-RO" w:eastAsia="ru-RU"/>
              </w:rPr>
            </w:pPr>
            <w:r w:rsidRPr="007D40FD">
              <w:rPr>
                <w:rFonts w:ascii="Times New Roman" w:hAnsi="Times New Roman"/>
                <w:sz w:val="24"/>
                <w:szCs w:val="24"/>
                <w:lang w:val="ro-RO" w:eastAsia="ru-RU"/>
              </w:rPr>
              <w:t xml:space="preserve">La anexa nr. 1 Planul de contingență, la Compartimentul 6. Transport, Obiectivul 6.3 Organizarea fluxului de transport aerian pentru relocarea persoanelor strămutate (refugiate), în </w:t>
            </w:r>
            <w:proofErr w:type="spellStart"/>
            <w:r w:rsidRPr="007D40FD">
              <w:rPr>
                <w:rFonts w:ascii="Times New Roman" w:hAnsi="Times New Roman"/>
                <w:sz w:val="24"/>
                <w:szCs w:val="24"/>
                <w:lang w:val="ro-RO" w:eastAsia="ru-RU"/>
              </w:rPr>
              <w:t>colonița</w:t>
            </w:r>
            <w:proofErr w:type="spellEnd"/>
            <w:r w:rsidRPr="007D40FD">
              <w:rPr>
                <w:rFonts w:ascii="Times New Roman" w:hAnsi="Times New Roman"/>
                <w:sz w:val="24"/>
                <w:szCs w:val="24"/>
                <w:lang w:val="ro-RO" w:eastAsia="ru-RU"/>
              </w:rPr>
              <w:t xml:space="preserve"> „Acțiuni parteneri externi (OI/ONG)”, textul „- însoțirea copiilor strămutați (refugiați) neînsoțiți într-o țară terță de destinație;” urmează a fi exclus, deoarece contravine prevederilor legale. Pentru a se deplasa într-o țară terță copilul urmează a fi însoțit de către reprezentantul său legal sau de către o persoană împuternicită de către reprezentantul legal al copilului în acest scop.</w:t>
            </w:r>
          </w:p>
        </w:tc>
        <w:tc>
          <w:tcPr>
            <w:tcW w:w="3685" w:type="dxa"/>
          </w:tcPr>
          <w:p w14:paraId="3803D999" w14:textId="0A6C83C7" w:rsidR="008F5BA1" w:rsidRPr="007D40FD" w:rsidRDefault="008F5BA1" w:rsidP="00ED70D6">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7C6A25D3" w14:textId="77777777" w:rsidTr="0006422A">
        <w:trPr>
          <w:trHeight w:val="70"/>
        </w:trPr>
        <w:tc>
          <w:tcPr>
            <w:tcW w:w="2163" w:type="dxa"/>
            <w:vMerge/>
            <w:tcMar>
              <w:top w:w="0" w:type="dxa"/>
              <w:left w:w="108" w:type="dxa"/>
              <w:bottom w:w="0" w:type="dxa"/>
              <w:right w:w="108" w:type="dxa"/>
            </w:tcMar>
          </w:tcPr>
          <w:p w14:paraId="069EB4AC"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1185D3C6"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561A09A0" w14:textId="46D627C9" w:rsidR="008F5BA1" w:rsidRPr="007D40FD" w:rsidRDefault="008F5BA1" w:rsidP="00ED70D6">
            <w:pPr>
              <w:tabs>
                <w:tab w:val="left" w:pos="1814"/>
              </w:tabs>
              <w:autoSpaceDE w:val="0"/>
              <w:autoSpaceDN w:val="0"/>
              <w:adjustRightInd w:val="0"/>
              <w:ind w:firstLine="0"/>
              <w:rPr>
                <w:sz w:val="24"/>
                <w:szCs w:val="24"/>
                <w:lang w:val="ro-RO" w:eastAsia="ru-RU"/>
              </w:rPr>
            </w:pPr>
            <w:r w:rsidRPr="007D40FD">
              <w:rPr>
                <w:rFonts w:ascii="Times New Roman" w:hAnsi="Times New Roman"/>
                <w:sz w:val="24"/>
                <w:szCs w:val="24"/>
                <w:lang w:val="ro-RO" w:eastAsia="ru-RU"/>
              </w:rPr>
              <w:t xml:space="preserve">La anexa nr. 1 Planul de contingență, la Compartimentul 9. Sănătate, Obiectivul 9.5. Sănătate mintală și asistență psihologică, în </w:t>
            </w:r>
            <w:proofErr w:type="spellStart"/>
            <w:r w:rsidRPr="007D40FD">
              <w:rPr>
                <w:rFonts w:ascii="Times New Roman" w:hAnsi="Times New Roman"/>
                <w:sz w:val="24"/>
                <w:szCs w:val="24"/>
                <w:lang w:val="ro-RO" w:eastAsia="ru-RU"/>
              </w:rPr>
              <w:t>colonița</w:t>
            </w:r>
            <w:proofErr w:type="spellEnd"/>
            <w:r w:rsidRPr="007D40FD">
              <w:rPr>
                <w:rFonts w:ascii="Times New Roman" w:hAnsi="Times New Roman"/>
                <w:sz w:val="24"/>
                <w:szCs w:val="24"/>
                <w:lang w:val="ro-RO" w:eastAsia="ru-RU"/>
              </w:rPr>
              <w:t xml:space="preserve"> „Acțiuni structuri de suport (GOV)”, acțiunile „-activarea rețelei de servicii de sănătate mintală;” și „-screening pentru tulburări de stres post-traumatic, depresie, anxietate, în special la copii și persoanele aflate în situații de risc sau vulnerabilitate;” propunem a fi excluse, deoarece depășesc competențele Ministerului Muncii și Protecției Sociale, or urmează a fi examinată oportunitatea reflectării acestora în </w:t>
            </w:r>
            <w:proofErr w:type="spellStart"/>
            <w:r w:rsidRPr="007D40FD">
              <w:rPr>
                <w:rFonts w:ascii="Times New Roman" w:hAnsi="Times New Roman"/>
                <w:sz w:val="24"/>
                <w:szCs w:val="24"/>
                <w:lang w:val="ro-RO" w:eastAsia="ru-RU"/>
              </w:rPr>
              <w:t>colonița</w:t>
            </w:r>
            <w:proofErr w:type="spellEnd"/>
            <w:r w:rsidRPr="007D40FD">
              <w:rPr>
                <w:rFonts w:ascii="Times New Roman" w:hAnsi="Times New Roman"/>
                <w:sz w:val="24"/>
                <w:szCs w:val="24"/>
                <w:lang w:val="ro-RO" w:eastAsia="ru-RU"/>
              </w:rPr>
              <w:t xml:space="preserve"> „Acțiuni” în coordonare cu Ministerul Sănătății.</w:t>
            </w:r>
          </w:p>
        </w:tc>
        <w:tc>
          <w:tcPr>
            <w:tcW w:w="3685" w:type="dxa"/>
          </w:tcPr>
          <w:p w14:paraId="3FF02FE4" w14:textId="00082A43" w:rsidR="008F5BA1" w:rsidRPr="007D40FD" w:rsidRDefault="008F5BA1" w:rsidP="00ED70D6">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763157B5" w14:textId="77777777" w:rsidTr="0006422A">
        <w:trPr>
          <w:trHeight w:val="70"/>
        </w:trPr>
        <w:tc>
          <w:tcPr>
            <w:tcW w:w="2163" w:type="dxa"/>
            <w:vMerge/>
            <w:tcMar>
              <w:top w:w="0" w:type="dxa"/>
              <w:left w:w="108" w:type="dxa"/>
              <w:bottom w:w="0" w:type="dxa"/>
              <w:right w:w="108" w:type="dxa"/>
            </w:tcMar>
          </w:tcPr>
          <w:p w14:paraId="6CFB27D5"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7A33FC81" w14:textId="77777777" w:rsidR="008F5BA1" w:rsidRPr="007D40FD" w:rsidRDefault="008F5BA1" w:rsidP="00ED70D6">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376AD0E2" w14:textId="20C11FAA" w:rsidR="008F5BA1" w:rsidRPr="007D40FD" w:rsidRDefault="008F5BA1" w:rsidP="00ED70D6">
            <w:pPr>
              <w:tabs>
                <w:tab w:val="left" w:pos="1814"/>
              </w:tabs>
              <w:autoSpaceDE w:val="0"/>
              <w:autoSpaceDN w:val="0"/>
              <w:adjustRightInd w:val="0"/>
              <w:ind w:firstLine="0"/>
              <w:rPr>
                <w:sz w:val="24"/>
                <w:szCs w:val="24"/>
                <w:lang w:val="ro-RO" w:eastAsia="ru-RU"/>
              </w:rPr>
            </w:pPr>
            <w:r w:rsidRPr="007D40FD">
              <w:rPr>
                <w:rFonts w:ascii="Times New Roman" w:hAnsi="Times New Roman"/>
                <w:sz w:val="24"/>
                <w:szCs w:val="24"/>
                <w:lang w:val="ro-RO" w:eastAsia="ru-RU"/>
              </w:rPr>
              <w:t>Racordarea Notei de fundamentare la Propunerile înaintate supra.</w:t>
            </w:r>
          </w:p>
        </w:tc>
        <w:tc>
          <w:tcPr>
            <w:tcW w:w="3685" w:type="dxa"/>
          </w:tcPr>
          <w:p w14:paraId="17DC36DC" w14:textId="5449EBF5" w:rsidR="008F5BA1" w:rsidRPr="007D40FD" w:rsidRDefault="008F5BA1" w:rsidP="00ED70D6">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t>S-a luat act.</w:t>
            </w:r>
          </w:p>
        </w:tc>
      </w:tr>
      <w:tr w:rsidR="008F5BA1" w:rsidRPr="007D40FD" w14:paraId="4614EB0C" w14:textId="77777777" w:rsidTr="0006422A">
        <w:trPr>
          <w:trHeight w:val="70"/>
        </w:trPr>
        <w:tc>
          <w:tcPr>
            <w:tcW w:w="2163" w:type="dxa"/>
            <w:vMerge w:val="restart"/>
            <w:tcMar>
              <w:top w:w="0" w:type="dxa"/>
              <w:left w:w="108" w:type="dxa"/>
              <w:bottom w:w="0" w:type="dxa"/>
              <w:right w:w="108" w:type="dxa"/>
            </w:tcMar>
          </w:tcPr>
          <w:p w14:paraId="351D4526" w14:textId="77777777" w:rsidR="008F5BA1" w:rsidRPr="007D40FD" w:rsidRDefault="008F5BA1" w:rsidP="000E1055">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7D40FD">
              <w:rPr>
                <w:rFonts w:ascii="Times New Roman" w:hAnsi="Times New Roman"/>
                <w:b/>
                <w:sz w:val="24"/>
                <w:szCs w:val="24"/>
                <w:lang w:val="ro-RO"/>
              </w:rPr>
              <w:lastRenderedPageBreak/>
              <w:t>Ministerul Finanțelor</w:t>
            </w:r>
          </w:p>
          <w:p w14:paraId="7898CC7A" w14:textId="1F02F1AC" w:rsidR="008F5BA1" w:rsidRPr="007D40FD" w:rsidRDefault="008F5BA1" w:rsidP="000E1055">
            <w:pPr>
              <w:pBdr>
                <w:top w:val="none" w:sz="4" w:space="0" w:color="000000"/>
                <w:left w:val="none" w:sz="4" w:space="0" w:color="000000"/>
                <w:bottom w:val="none" w:sz="4" w:space="0" w:color="000000"/>
                <w:right w:val="none" w:sz="4" w:space="0" w:color="000000"/>
              </w:pBdr>
              <w:ind w:firstLine="22"/>
              <w:rPr>
                <w:b/>
                <w:sz w:val="24"/>
                <w:szCs w:val="24"/>
                <w:lang w:val="ro-RO"/>
              </w:rPr>
            </w:pPr>
            <w:r w:rsidRPr="007D40FD">
              <w:rPr>
                <w:rFonts w:ascii="Times New Roman" w:hAnsi="Times New Roman"/>
                <w:b/>
                <w:sz w:val="24"/>
                <w:szCs w:val="24"/>
                <w:lang w:val="ro-RO"/>
              </w:rPr>
              <w:t>(din Platforma „Legiferare”)</w:t>
            </w:r>
          </w:p>
        </w:tc>
        <w:tc>
          <w:tcPr>
            <w:tcW w:w="531" w:type="dxa"/>
            <w:vMerge w:val="restart"/>
            <w:tcMar>
              <w:top w:w="0" w:type="dxa"/>
              <w:left w:w="108" w:type="dxa"/>
              <w:bottom w:w="0" w:type="dxa"/>
              <w:right w:w="108" w:type="dxa"/>
            </w:tcMar>
          </w:tcPr>
          <w:p w14:paraId="18E94A3A" w14:textId="4EFE1053" w:rsidR="008F5BA1" w:rsidRPr="007D40FD" w:rsidRDefault="008F5BA1" w:rsidP="00ED70D6">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sidRPr="007D40FD">
              <w:rPr>
                <w:rFonts w:ascii="Times New Roman" w:hAnsi="Times New Roman"/>
                <w:bCs/>
                <w:sz w:val="24"/>
                <w:szCs w:val="24"/>
                <w:lang w:val="ro-RO"/>
              </w:rPr>
              <w:t>3</w:t>
            </w:r>
          </w:p>
        </w:tc>
        <w:tc>
          <w:tcPr>
            <w:tcW w:w="9072" w:type="dxa"/>
          </w:tcPr>
          <w:p w14:paraId="48D147BF" w14:textId="5F55CA1D" w:rsidR="008F5BA1" w:rsidRPr="007D40FD" w:rsidRDefault="008F5BA1" w:rsidP="000E1055">
            <w:pPr>
              <w:tabs>
                <w:tab w:val="left" w:pos="1814"/>
              </w:tabs>
              <w:autoSpaceDE w:val="0"/>
              <w:autoSpaceDN w:val="0"/>
              <w:adjustRightInd w:val="0"/>
              <w:ind w:firstLine="0"/>
              <w:rPr>
                <w:sz w:val="24"/>
                <w:szCs w:val="24"/>
                <w:lang w:val="ro-RO" w:eastAsia="ru-RU"/>
              </w:rPr>
            </w:pPr>
            <w:r w:rsidRPr="007D40FD">
              <w:rPr>
                <w:rFonts w:ascii="Times New Roman" w:hAnsi="Times New Roman"/>
                <w:sz w:val="24"/>
                <w:szCs w:val="24"/>
                <w:lang w:val="ro-RO" w:eastAsia="ru-RU"/>
              </w:rPr>
              <w:t>Referitor la Anexa nr.1 ,,Planul de contingență</w:t>
            </w:r>
            <w:r>
              <w:rPr>
                <w:rFonts w:ascii="Times New Roman" w:hAnsi="Times New Roman"/>
                <w:sz w:val="24"/>
                <w:szCs w:val="24"/>
                <w:lang w:val="ro-RO" w:eastAsia="ru-RU"/>
              </w:rPr>
              <w:t>”</w:t>
            </w:r>
            <w:r w:rsidRPr="007D40FD">
              <w:rPr>
                <w:rFonts w:ascii="Times New Roman" w:hAnsi="Times New Roman"/>
                <w:sz w:val="24"/>
                <w:szCs w:val="24"/>
                <w:lang w:val="ro-RO" w:eastAsia="ru-RU"/>
              </w:rPr>
              <w:t>, acțiunea 1.4.1 se va expune în următoarea redacție: ,,1.4.1 Informarea Guvernului cu privire la necesarul de resurse</w:t>
            </w:r>
            <w:r>
              <w:rPr>
                <w:rFonts w:ascii="Times New Roman" w:hAnsi="Times New Roman"/>
                <w:sz w:val="24"/>
                <w:szCs w:val="24"/>
                <w:lang w:val="ro-RO" w:eastAsia="ru-RU"/>
              </w:rPr>
              <w:t>”</w:t>
            </w:r>
            <w:r w:rsidRPr="007D40FD">
              <w:rPr>
                <w:rFonts w:ascii="Times New Roman" w:hAnsi="Times New Roman"/>
                <w:sz w:val="24"/>
                <w:szCs w:val="24"/>
                <w:lang w:val="ro-RO" w:eastAsia="ru-RU"/>
              </w:rPr>
              <w:t xml:space="preserve">, or redacția propusă în proiectul de hotărâre </w:t>
            </w:r>
            <w:proofErr w:type="spellStart"/>
            <w:r w:rsidRPr="007D40FD">
              <w:rPr>
                <w:rFonts w:ascii="Times New Roman" w:hAnsi="Times New Roman"/>
                <w:sz w:val="24"/>
                <w:szCs w:val="24"/>
                <w:lang w:val="ro-RO" w:eastAsia="ru-RU"/>
              </w:rPr>
              <w:t>excede</w:t>
            </w:r>
            <w:proofErr w:type="spellEnd"/>
            <w:r w:rsidRPr="007D40FD">
              <w:rPr>
                <w:rFonts w:ascii="Times New Roman" w:hAnsi="Times New Roman"/>
                <w:sz w:val="24"/>
                <w:szCs w:val="24"/>
                <w:lang w:val="ro-RO" w:eastAsia="ru-RU"/>
              </w:rPr>
              <w:t xml:space="preserve"> prevederile Legii privind managementul situațiilor de criză nr.248/2025 și nu este în concordanță cu rolurile şi atribuțiile autorităților publice centrale stabilite în Legea nr.181/2014 privind finanțele publice și responsabilității bugetar-fiscale.</w:t>
            </w:r>
          </w:p>
        </w:tc>
        <w:tc>
          <w:tcPr>
            <w:tcW w:w="3685" w:type="dxa"/>
          </w:tcPr>
          <w:p w14:paraId="1FBA3877" w14:textId="05106F7F" w:rsidR="008F5BA1" w:rsidRPr="007D40FD" w:rsidRDefault="008F5BA1" w:rsidP="00ED70D6">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3BA71098" w14:textId="77777777" w:rsidTr="0006422A">
        <w:trPr>
          <w:trHeight w:val="70"/>
        </w:trPr>
        <w:tc>
          <w:tcPr>
            <w:tcW w:w="2163" w:type="dxa"/>
            <w:vMerge/>
            <w:tcMar>
              <w:top w:w="0" w:type="dxa"/>
              <w:left w:w="108" w:type="dxa"/>
              <w:bottom w:w="0" w:type="dxa"/>
              <w:right w:w="108" w:type="dxa"/>
            </w:tcMar>
          </w:tcPr>
          <w:p w14:paraId="3786918B" w14:textId="77777777" w:rsidR="008F5BA1" w:rsidRPr="007D40FD" w:rsidRDefault="008F5BA1" w:rsidP="001145A9">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408A4E26" w14:textId="77777777" w:rsidR="008F5BA1" w:rsidRPr="007D40FD" w:rsidRDefault="008F5BA1" w:rsidP="001145A9">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14E4DAAE" w14:textId="63F93BE8" w:rsidR="008F5BA1" w:rsidRPr="007D40FD" w:rsidRDefault="008F5BA1" w:rsidP="001145A9">
            <w:pPr>
              <w:tabs>
                <w:tab w:val="left" w:pos="1814"/>
              </w:tabs>
              <w:autoSpaceDE w:val="0"/>
              <w:autoSpaceDN w:val="0"/>
              <w:adjustRightInd w:val="0"/>
              <w:ind w:firstLine="0"/>
              <w:rPr>
                <w:rFonts w:ascii="Times New Roman" w:hAnsi="Times New Roman"/>
                <w:sz w:val="24"/>
                <w:szCs w:val="24"/>
                <w:lang w:val="ro-RO" w:eastAsia="ru-RU"/>
              </w:rPr>
            </w:pPr>
            <w:r w:rsidRPr="007D40FD">
              <w:rPr>
                <w:rFonts w:ascii="Times New Roman" w:hAnsi="Times New Roman"/>
                <w:sz w:val="24"/>
                <w:szCs w:val="24"/>
                <w:lang w:val="ro-RO" w:eastAsia="ru-RU"/>
              </w:rPr>
              <w:t>La acțiunea 10.1.5, la rubrica</w:t>
            </w:r>
            <w:r>
              <w:rPr>
                <w:rFonts w:ascii="Times New Roman" w:hAnsi="Times New Roman"/>
                <w:sz w:val="24"/>
                <w:szCs w:val="24"/>
                <w:lang w:val="ro-RO" w:eastAsia="ru-RU"/>
              </w:rPr>
              <w:t xml:space="preserve"> „</w:t>
            </w:r>
            <w:r w:rsidRPr="007D40FD">
              <w:rPr>
                <w:rFonts w:ascii="Times New Roman" w:hAnsi="Times New Roman"/>
                <w:sz w:val="24"/>
                <w:szCs w:val="24"/>
                <w:lang w:val="ro-RO" w:eastAsia="ru-RU"/>
              </w:rPr>
              <w:t>Instituție de sprijin (GOV)</w:t>
            </w:r>
            <w:r>
              <w:rPr>
                <w:rFonts w:ascii="Times New Roman" w:hAnsi="Times New Roman"/>
                <w:sz w:val="24"/>
                <w:szCs w:val="24"/>
                <w:lang w:val="ro-RO" w:eastAsia="ru-RU"/>
              </w:rPr>
              <w:t>”</w:t>
            </w:r>
            <w:r w:rsidRPr="007D40FD">
              <w:rPr>
                <w:rFonts w:ascii="Times New Roman" w:hAnsi="Times New Roman"/>
                <w:sz w:val="24"/>
                <w:szCs w:val="24"/>
                <w:lang w:val="ro-RO" w:eastAsia="ru-RU"/>
              </w:rPr>
              <w:t>, se va examina oportunitatea includerii Ministerului Afacerilor Externe şi se va exclude Ministerul Finanțelor.</w:t>
            </w:r>
          </w:p>
        </w:tc>
        <w:tc>
          <w:tcPr>
            <w:tcW w:w="3685" w:type="dxa"/>
          </w:tcPr>
          <w:p w14:paraId="2AA5F4A4" w14:textId="54381E81" w:rsidR="008F5BA1" w:rsidRPr="007D40FD" w:rsidRDefault="008F5BA1" w:rsidP="001145A9">
            <w:pPr>
              <w:pBdr>
                <w:top w:val="none" w:sz="4" w:space="0" w:color="000000"/>
                <w:left w:val="none" w:sz="4" w:space="0" w:color="000000"/>
                <w:bottom w:val="none" w:sz="4" w:space="0" w:color="000000"/>
                <w:right w:val="none" w:sz="4" w:space="0" w:color="000000"/>
              </w:pBdr>
              <w:ind w:firstLine="0"/>
              <w:rPr>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783A22" w:rsidRPr="007D40FD" w14:paraId="201453DF" w14:textId="77777777" w:rsidTr="0006422A">
        <w:trPr>
          <w:trHeight w:val="70"/>
        </w:trPr>
        <w:tc>
          <w:tcPr>
            <w:tcW w:w="2163" w:type="dxa"/>
            <w:tcMar>
              <w:top w:w="0" w:type="dxa"/>
              <w:left w:w="108" w:type="dxa"/>
              <w:bottom w:w="0" w:type="dxa"/>
              <w:right w:w="108" w:type="dxa"/>
            </w:tcMar>
          </w:tcPr>
          <w:p w14:paraId="1E43D00B" w14:textId="4CAF75F0" w:rsidR="00783A22" w:rsidRPr="00107595" w:rsidRDefault="00783A22" w:rsidP="001145A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107595">
              <w:rPr>
                <w:rFonts w:ascii="Times New Roman" w:hAnsi="Times New Roman"/>
                <w:b/>
                <w:sz w:val="24"/>
                <w:szCs w:val="24"/>
                <w:lang w:val="ro-RO"/>
              </w:rPr>
              <w:t>Agenția Națională pentru Siguranța Alimentelor (din Platforma „Legiferare”)</w:t>
            </w:r>
          </w:p>
        </w:tc>
        <w:tc>
          <w:tcPr>
            <w:tcW w:w="531" w:type="dxa"/>
            <w:tcMar>
              <w:top w:w="0" w:type="dxa"/>
              <w:left w:w="108" w:type="dxa"/>
              <w:bottom w:w="0" w:type="dxa"/>
              <w:right w:w="108" w:type="dxa"/>
            </w:tcMar>
          </w:tcPr>
          <w:p w14:paraId="2A91075F" w14:textId="6C1AB325" w:rsidR="00783A22" w:rsidRPr="00107595" w:rsidRDefault="00107595" w:rsidP="001145A9">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t>4</w:t>
            </w:r>
          </w:p>
        </w:tc>
        <w:tc>
          <w:tcPr>
            <w:tcW w:w="9072" w:type="dxa"/>
          </w:tcPr>
          <w:p w14:paraId="18D48508" w14:textId="1AD6437B" w:rsidR="00783A22" w:rsidRPr="00107595" w:rsidRDefault="00783A22" w:rsidP="001145A9">
            <w:pPr>
              <w:tabs>
                <w:tab w:val="left" w:pos="1814"/>
              </w:tabs>
              <w:autoSpaceDE w:val="0"/>
              <w:autoSpaceDN w:val="0"/>
              <w:adjustRightInd w:val="0"/>
              <w:ind w:firstLine="0"/>
              <w:rPr>
                <w:rFonts w:ascii="Times New Roman" w:hAnsi="Times New Roman"/>
                <w:sz w:val="24"/>
                <w:szCs w:val="24"/>
                <w:lang w:val="ro-RO" w:eastAsia="ru-RU"/>
              </w:rPr>
            </w:pPr>
            <w:r w:rsidRPr="00107595">
              <w:rPr>
                <w:rFonts w:ascii="Times New Roman" w:hAnsi="Times New Roman"/>
                <w:sz w:val="24"/>
                <w:szCs w:val="24"/>
                <w:lang w:val="ro-RO" w:eastAsia="ru-RU"/>
              </w:rPr>
              <w:t>A notificat susținerea proiectului.</w:t>
            </w:r>
          </w:p>
        </w:tc>
        <w:tc>
          <w:tcPr>
            <w:tcW w:w="3685" w:type="dxa"/>
          </w:tcPr>
          <w:p w14:paraId="2C003C41" w14:textId="77777777" w:rsidR="00783A22" w:rsidRPr="00107595" w:rsidRDefault="00783A22" w:rsidP="001145A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783A22" w:rsidRPr="007D40FD" w14:paraId="4F91EF8A" w14:textId="77777777" w:rsidTr="0006422A">
        <w:trPr>
          <w:trHeight w:val="70"/>
        </w:trPr>
        <w:tc>
          <w:tcPr>
            <w:tcW w:w="2163" w:type="dxa"/>
            <w:tcMar>
              <w:top w:w="0" w:type="dxa"/>
              <w:left w:w="108" w:type="dxa"/>
              <w:bottom w:w="0" w:type="dxa"/>
              <w:right w:w="108" w:type="dxa"/>
            </w:tcMar>
          </w:tcPr>
          <w:p w14:paraId="1A4832CD" w14:textId="4A7C4C39" w:rsidR="00783A22" w:rsidRPr="00107595" w:rsidRDefault="00783A22" w:rsidP="001145A9">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107595">
              <w:rPr>
                <w:rFonts w:ascii="Times New Roman" w:hAnsi="Times New Roman"/>
                <w:b/>
                <w:sz w:val="24"/>
                <w:szCs w:val="24"/>
                <w:lang w:val="ro-RO"/>
              </w:rPr>
              <w:t>Agenția Servicii Publice (</w:t>
            </w:r>
            <w:r w:rsidR="003074B8" w:rsidRPr="00107595">
              <w:rPr>
                <w:rFonts w:ascii="Times New Roman" w:hAnsi="Times New Roman"/>
                <w:b/>
                <w:sz w:val="24"/>
                <w:szCs w:val="24"/>
                <w:lang w:val="ro-RO"/>
              </w:rPr>
              <w:t>aviz nr. 01/2793 din 31 martie 2026)</w:t>
            </w:r>
          </w:p>
        </w:tc>
        <w:tc>
          <w:tcPr>
            <w:tcW w:w="531" w:type="dxa"/>
            <w:tcMar>
              <w:top w:w="0" w:type="dxa"/>
              <w:left w:w="108" w:type="dxa"/>
              <w:bottom w:w="0" w:type="dxa"/>
              <w:right w:w="108" w:type="dxa"/>
            </w:tcMar>
          </w:tcPr>
          <w:p w14:paraId="5ED19B31" w14:textId="5757963D" w:rsidR="00783A22" w:rsidRPr="00107595" w:rsidRDefault="00107595" w:rsidP="001145A9">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t>5</w:t>
            </w:r>
          </w:p>
        </w:tc>
        <w:tc>
          <w:tcPr>
            <w:tcW w:w="9072" w:type="dxa"/>
          </w:tcPr>
          <w:p w14:paraId="2A3B93E6" w14:textId="75783EE4" w:rsidR="00783A22" w:rsidRPr="00107595" w:rsidRDefault="003074B8" w:rsidP="001145A9">
            <w:pPr>
              <w:tabs>
                <w:tab w:val="left" w:pos="1814"/>
              </w:tabs>
              <w:autoSpaceDE w:val="0"/>
              <w:autoSpaceDN w:val="0"/>
              <w:adjustRightInd w:val="0"/>
              <w:ind w:firstLine="0"/>
              <w:rPr>
                <w:rFonts w:ascii="Times New Roman" w:hAnsi="Times New Roman"/>
                <w:sz w:val="24"/>
                <w:szCs w:val="24"/>
                <w:lang w:val="ro-RO" w:eastAsia="ru-RU"/>
              </w:rPr>
            </w:pPr>
            <w:r w:rsidRPr="00107595">
              <w:rPr>
                <w:rFonts w:ascii="Times New Roman" w:hAnsi="Times New Roman"/>
                <w:sz w:val="24"/>
                <w:szCs w:val="24"/>
                <w:lang w:val="ro-RO" w:eastAsia="ru-RU"/>
              </w:rPr>
              <w:t>A prezentat lipsa propunerilor și obiecțiilor.</w:t>
            </w:r>
          </w:p>
        </w:tc>
        <w:tc>
          <w:tcPr>
            <w:tcW w:w="3685" w:type="dxa"/>
          </w:tcPr>
          <w:p w14:paraId="4AA5A403" w14:textId="77777777" w:rsidR="00783A22" w:rsidRPr="00107595" w:rsidRDefault="00783A22" w:rsidP="001145A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25510F" w:rsidRPr="007D40FD" w14:paraId="12C64A8D" w14:textId="77777777" w:rsidTr="0006422A">
        <w:trPr>
          <w:trHeight w:val="70"/>
        </w:trPr>
        <w:tc>
          <w:tcPr>
            <w:tcW w:w="2163" w:type="dxa"/>
            <w:tcMar>
              <w:top w:w="0" w:type="dxa"/>
              <w:left w:w="108" w:type="dxa"/>
              <w:bottom w:w="0" w:type="dxa"/>
              <w:right w:w="108" w:type="dxa"/>
            </w:tcMar>
          </w:tcPr>
          <w:p w14:paraId="1F773D28" w14:textId="7E2D25D5" w:rsidR="0025510F" w:rsidRPr="00107595" w:rsidRDefault="0025510F"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107595">
              <w:rPr>
                <w:rFonts w:ascii="Times New Roman" w:hAnsi="Times New Roman"/>
                <w:b/>
                <w:sz w:val="24"/>
                <w:szCs w:val="24"/>
                <w:lang w:val="ro-RO"/>
              </w:rPr>
              <w:t>Centrul pentru Comunicare Strategică și Contracarare a Dezinformării (din Platforma „Legiferare”)</w:t>
            </w:r>
          </w:p>
        </w:tc>
        <w:tc>
          <w:tcPr>
            <w:tcW w:w="531" w:type="dxa"/>
            <w:tcMar>
              <w:top w:w="0" w:type="dxa"/>
              <w:left w:w="108" w:type="dxa"/>
              <w:bottom w:w="0" w:type="dxa"/>
              <w:right w:w="108" w:type="dxa"/>
            </w:tcMar>
          </w:tcPr>
          <w:p w14:paraId="3C71DDEE" w14:textId="562B8F7B" w:rsidR="0025510F" w:rsidRPr="00107595" w:rsidRDefault="00107595"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t>6</w:t>
            </w:r>
          </w:p>
        </w:tc>
        <w:tc>
          <w:tcPr>
            <w:tcW w:w="9072" w:type="dxa"/>
          </w:tcPr>
          <w:p w14:paraId="775BC85A" w14:textId="71D9ACA4" w:rsidR="0025510F" w:rsidRPr="00107595" w:rsidRDefault="0025510F" w:rsidP="0025510F">
            <w:pPr>
              <w:tabs>
                <w:tab w:val="left" w:pos="1814"/>
              </w:tabs>
              <w:autoSpaceDE w:val="0"/>
              <w:autoSpaceDN w:val="0"/>
              <w:adjustRightInd w:val="0"/>
              <w:ind w:firstLine="0"/>
              <w:rPr>
                <w:rFonts w:ascii="Times New Roman" w:hAnsi="Times New Roman"/>
                <w:sz w:val="24"/>
                <w:szCs w:val="24"/>
                <w:lang w:val="ro-RO" w:eastAsia="ru-RU"/>
              </w:rPr>
            </w:pPr>
            <w:r w:rsidRPr="00107595">
              <w:rPr>
                <w:rFonts w:ascii="Times New Roman" w:hAnsi="Times New Roman"/>
                <w:sz w:val="24"/>
                <w:szCs w:val="24"/>
                <w:lang w:val="ro-RO" w:eastAsia="ru-RU"/>
              </w:rPr>
              <w:t>A notificat susținerea proiectului.</w:t>
            </w:r>
          </w:p>
        </w:tc>
        <w:tc>
          <w:tcPr>
            <w:tcW w:w="3685" w:type="dxa"/>
          </w:tcPr>
          <w:p w14:paraId="17221D2F" w14:textId="77777777" w:rsidR="0025510F" w:rsidRPr="00107595" w:rsidRDefault="0025510F" w:rsidP="0025510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25510F" w:rsidRPr="007D40FD" w14:paraId="30F2DAEF" w14:textId="77777777" w:rsidTr="0006422A">
        <w:trPr>
          <w:trHeight w:val="70"/>
        </w:trPr>
        <w:tc>
          <w:tcPr>
            <w:tcW w:w="2163" w:type="dxa"/>
            <w:tcMar>
              <w:top w:w="0" w:type="dxa"/>
              <w:left w:w="108" w:type="dxa"/>
              <w:bottom w:w="0" w:type="dxa"/>
              <w:right w:w="108" w:type="dxa"/>
            </w:tcMar>
          </w:tcPr>
          <w:p w14:paraId="09BCDCDC" w14:textId="25DF6139" w:rsidR="0025510F" w:rsidRPr="00107595" w:rsidRDefault="0025510F"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107595">
              <w:rPr>
                <w:rFonts w:ascii="Times New Roman" w:hAnsi="Times New Roman"/>
                <w:b/>
                <w:sz w:val="24"/>
                <w:szCs w:val="24"/>
                <w:lang w:val="ro-RO"/>
              </w:rPr>
              <w:t>Cancelaria de Stat (din Platforma „Legiferare”)</w:t>
            </w:r>
          </w:p>
        </w:tc>
        <w:tc>
          <w:tcPr>
            <w:tcW w:w="531" w:type="dxa"/>
            <w:tcMar>
              <w:top w:w="0" w:type="dxa"/>
              <w:left w:w="108" w:type="dxa"/>
              <w:bottom w:w="0" w:type="dxa"/>
              <w:right w:w="108" w:type="dxa"/>
            </w:tcMar>
          </w:tcPr>
          <w:p w14:paraId="2D719B38" w14:textId="602C3C0C" w:rsidR="0025510F" w:rsidRPr="00107595" w:rsidRDefault="00107595"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t>7</w:t>
            </w:r>
          </w:p>
        </w:tc>
        <w:tc>
          <w:tcPr>
            <w:tcW w:w="9072" w:type="dxa"/>
          </w:tcPr>
          <w:p w14:paraId="7A5C8F21" w14:textId="2EE277C0" w:rsidR="0025510F" w:rsidRPr="00107595" w:rsidRDefault="0025510F" w:rsidP="0025510F">
            <w:pPr>
              <w:tabs>
                <w:tab w:val="left" w:pos="1814"/>
              </w:tabs>
              <w:autoSpaceDE w:val="0"/>
              <w:autoSpaceDN w:val="0"/>
              <w:adjustRightInd w:val="0"/>
              <w:ind w:firstLine="0"/>
              <w:rPr>
                <w:rFonts w:ascii="Times New Roman" w:hAnsi="Times New Roman"/>
                <w:sz w:val="24"/>
                <w:szCs w:val="24"/>
                <w:lang w:val="ro-RO" w:eastAsia="ru-RU"/>
              </w:rPr>
            </w:pPr>
            <w:r w:rsidRPr="00107595">
              <w:rPr>
                <w:rFonts w:ascii="Times New Roman" w:hAnsi="Times New Roman"/>
                <w:sz w:val="24"/>
                <w:szCs w:val="24"/>
                <w:lang w:val="ro-RO" w:eastAsia="ru-RU"/>
              </w:rPr>
              <w:t>A prezentat lipsa propunerilor și obiecțiilor.</w:t>
            </w:r>
          </w:p>
        </w:tc>
        <w:tc>
          <w:tcPr>
            <w:tcW w:w="3685" w:type="dxa"/>
          </w:tcPr>
          <w:p w14:paraId="4BEBD262" w14:textId="77777777" w:rsidR="0025510F" w:rsidRPr="00107595" w:rsidRDefault="0025510F" w:rsidP="0025510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25510F" w:rsidRPr="007D40FD" w14:paraId="2A5BC0C6" w14:textId="77777777" w:rsidTr="0006422A">
        <w:trPr>
          <w:trHeight w:val="70"/>
        </w:trPr>
        <w:tc>
          <w:tcPr>
            <w:tcW w:w="2163" w:type="dxa"/>
            <w:tcMar>
              <w:top w:w="0" w:type="dxa"/>
              <w:left w:w="108" w:type="dxa"/>
              <w:bottom w:w="0" w:type="dxa"/>
              <w:right w:w="108" w:type="dxa"/>
            </w:tcMar>
          </w:tcPr>
          <w:p w14:paraId="3210E8A5" w14:textId="0CBB2929" w:rsidR="0025510F" w:rsidRPr="00107595" w:rsidRDefault="0025510F"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107595">
              <w:rPr>
                <w:rFonts w:ascii="Times New Roman" w:hAnsi="Times New Roman"/>
                <w:b/>
                <w:sz w:val="24"/>
                <w:szCs w:val="24"/>
                <w:lang w:val="ro-RO"/>
              </w:rPr>
              <w:t>Ministerul Apărării (aviz nr. 11/512 din 01 aprilie 2026)</w:t>
            </w:r>
          </w:p>
        </w:tc>
        <w:tc>
          <w:tcPr>
            <w:tcW w:w="531" w:type="dxa"/>
            <w:tcMar>
              <w:top w:w="0" w:type="dxa"/>
              <w:left w:w="108" w:type="dxa"/>
              <w:bottom w:w="0" w:type="dxa"/>
              <w:right w:w="108" w:type="dxa"/>
            </w:tcMar>
          </w:tcPr>
          <w:p w14:paraId="4DB9C7ED" w14:textId="1C087473" w:rsidR="0025510F" w:rsidRPr="00107595" w:rsidRDefault="00107595"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t>8</w:t>
            </w:r>
          </w:p>
        </w:tc>
        <w:tc>
          <w:tcPr>
            <w:tcW w:w="9072" w:type="dxa"/>
          </w:tcPr>
          <w:p w14:paraId="6B379B99" w14:textId="62671D86" w:rsidR="0025510F" w:rsidRPr="00107595" w:rsidRDefault="001E7AC7" w:rsidP="001E7AC7">
            <w:pPr>
              <w:tabs>
                <w:tab w:val="left" w:pos="1814"/>
              </w:tabs>
              <w:autoSpaceDE w:val="0"/>
              <w:autoSpaceDN w:val="0"/>
              <w:adjustRightInd w:val="0"/>
              <w:ind w:firstLine="0"/>
              <w:rPr>
                <w:rFonts w:ascii="Times New Roman" w:hAnsi="Times New Roman"/>
                <w:sz w:val="24"/>
                <w:szCs w:val="24"/>
                <w:lang w:val="ro-RO" w:eastAsia="ru-RU"/>
              </w:rPr>
            </w:pPr>
            <w:r w:rsidRPr="00107595">
              <w:rPr>
                <w:rFonts w:ascii="Times New Roman" w:hAnsi="Times New Roman"/>
                <w:sz w:val="24"/>
                <w:szCs w:val="24"/>
                <w:lang w:val="ro-RO" w:eastAsia="ru-RU"/>
              </w:rPr>
              <w:t>În Sinteza la proiectului hotărârii Guvernului s-a luat act și au fost acceptate propunerile instituției, acestea nu au fost introduse în proiect.</w:t>
            </w:r>
          </w:p>
        </w:tc>
        <w:tc>
          <w:tcPr>
            <w:tcW w:w="3685" w:type="dxa"/>
          </w:tcPr>
          <w:p w14:paraId="4F5927E1" w14:textId="16A7B829" w:rsidR="0025510F" w:rsidRPr="00107595" w:rsidRDefault="001E7AC7" w:rsidP="0025510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107595">
              <w:rPr>
                <w:rFonts w:ascii="Times New Roman" w:hAnsi="Times New Roman"/>
                <w:b/>
                <w:bCs/>
                <w:sz w:val="24"/>
                <w:szCs w:val="24"/>
                <w:lang w:val="ro-RO"/>
              </w:rPr>
              <w:t>Se acceptă.</w:t>
            </w:r>
            <w:r w:rsidRPr="00107595">
              <w:rPr>
                <w:rFonts w:ascii="Times New Roman" w:hAnsi="Times New Roman"/>
                <w:color w:val="000000" w:themeColor="text1"/>
                <w:sz w:val="24"/>
                <w:szCs w:val="24"/>
                <w:lang w:val="ro-RO"/>
              </w:rPr>
              <w:t xml:space="preserve"> Modificările au fost operate </w:t>
            </w:r>
            <w:r w:rsidR="00870A8B" w:rsidRPr="00107595">
              <w:rPr>
                <w:rFonts w:ascii="Times New Roman" w:hAnsi="Times New Roman"/>
                <w:color w:val="000000" w:themeColor="text1"/>
                <w:sz w:val="24"/>
                <w:szCs w:val="24"/>
                <w:lang w:val="ro-RO"/>
              </w:rPr>
              <w:t xml:space="preserve">în conformitate cu </w:t>
            </w:r>
            <w:r w:rsidRPr="00107595">
              <w:rPr>
                <w:rFonts w:ascii="Times New Roman" w:hAnsi="Times New Roman"/>
                <w:color w:val="000000" w:themeColor="text1"/>
                <w:sz w:val="24"/>
                <w:szCs w:val="24"/>
                <w:lang w:val="ro-RO"/>
              </w:rPr>
              <w:t>avizul MA nr. 11/318 din 02 martie 2026.</w:t>
            </w:r>
          </w:p>
        </w:tc>
      </w:tr>
      <w:tr w:rsidR="00870A8B" w:rsidRPr="007D40FD" w14:paraId="27AFC851" w14:textId="77777777" w:rsidTr="0006422A">
        <w:trPr>
          <w:trHeight w:val="70"/>
        </w:trPr>
        <w:tc>
          <w:tcPr>
            <w:tcW w:w="2163" w:type="dxa"/>
            <w:tcMar>
              <w:top w:w="0" w:type="dxa"/>
              <w:left w:w="108" w:type="dxa"/>
              <w:bottom w:w="0" w:type="dxa"/>
              <w:right w:w="108" w:type="dxa"/>
            </w:tcMar>
          </w:tcPr>
          <w:p w14:paraId="27FB50A9" w14:textId="26360EA0" w:rsidR="00870A8B" w:rsidRPr="00107595" w:rsidRDefault="00870A8B"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107595">
              <w:rPr>
                <w:rFonts w:ascii="Times New Roman" w:hAnsi="Times New Roman"/>
                <w:b/>
                <w:sz w:val="24"/>
                <w:szCs w:val="24"/>
                <w:lang w:val="ro-RO"/>
              </w:rPr>
              <w:t xml:space="preserve">Ministerul Educației și Cercetării (din </w:t>
            </w:r>
            <w:r w:rsidRPr="00107595">
              <w:rPr>
                <w:rFonts w:ascii="Times New Roman" w:hAnsi="Times New Roman"/>
                <w:b/>
                <w:sz w:val="24"/>
                <w:szCs w:val="24"/>
                <w:lang w:val="ro-RO"/>
              </w:rPr>
              <w:lastRenderedPageBreak/>
              <w:t>Platforma „Legiferare”)</w:t>
            </w:r>
          </w:p>
        </w:tc>
        <w:tc>
          <w:tcPr>
            <w:tcW w:w="531" w:type="dxa"/>
            <w:tcMar>
              <w:top w:w="0" w:type="dxa"/>
              <w:left w:w="108" w:type="dxa"/>
              <w:bottom w:w="0" w:type="dxa"/>
              <w:right w:w="108" w:type="dxa"/>
            </w:tcMar>
          </w:tcPr>
          <w:p w14:paraId="6F522986" w14:textId="0B681C53" w:rsidR="00870A8B" w:rsidRPr="00107595" w:rsidRDefault="00107595"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lastRenderedPageBreak/>
              <w:t>9</w:t>
            </w:r>
          </w:p>
        </w:tc>
        <w:tc>
          <w:tcPr>
            <w:tcW w:w="9072" w:type="dxa"/>
          </w:tcPr>
          <w:p w14:paraId="3E0FFA7B" w14:textId="183DBDD4" w:rsidR="00870A8B" w:rsidRPr="00107595" w:rsidRDefault="00870A8B" w:rsidP="001E7AC7">
            <w:pPr>
              <w:tabs>
                <w:tab w:val="left" w:pos="1814"/>
              </w:tabs>
              <w:autoSpaceDE w:val="0"/>
              <w:autoSpaceDN w:val="0"/>
              <w:adjustRightInd w:val="0"/>
              <w:ind w:firstLine="0"/>
              <w:rPr>
                <w:rFonts w:ascii="Times New Roman" w:hAnsi="Times New Roman"/>
                <w:sz w:val="24"/>
                <w:szCs w:val="24"/>
                <w:lang w:val="ro-RO" w:eastAsia="ru-RU"/>
              </w:rPr>
            </w:pPr>
            <w:r w:rsidRPr="00107595">
              <w:rPr>
                <w:rFonts w:ascii="Times New Roman" w:hAnsi="Times New Roman"/>
                <w:sz w:val="24"/>
                <w:szCs w:val="24"/>
                <w:lang w:val="ro-RO" w:eastAsia="ru-RU"/>
              </w:rPr>
              <w:t>A prezentat lipsa propunerilor și obiecțiilor.</w:t>
            </w:r>
          </w:p>
        </w:tc>
        <w:tc>
          <w:tcPr>
            <w:tcW w:w="3685" w:type="dxa"/>
          </w:tcPr>
          <w:p w14:paraId="060923D1" w14:textId="77777777" w:rsidR="00870A8B" w:rsidRPr="00107595" w:rsidRDefault="00870A8B" w:rsidP="0025510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870A8B" w:rsidRPr="007D40FD" w14:paraId="4FFFE66E" w14:textId="77777777" w:rsidTr="0006422A">
        <w:trPr>
          <w:trHeight w:val="70"/>
        </w:trPr>
        <w:tc>
          <w:tcPr>
            <w:tcW w:w="2163" w:type="dxa"/>
            <w:tcMar>
              <w:top w:w="0" w:type="dxa"/>
              <w:left w:w="108" w:type="dxa"/>
              <w:bottom w:w="0" w:type="dxa"/>
              <w:right w:w="108" w:type="dxa"/>
            </w:tcMar>
          </w:tcPr>
          <w:p w14:paraId="5C3B6903" w14:textId="0D43D03F" w:rsidR="00870A8B" w:rsidRPr="00107595" w:rsidRDefault="00870A8B"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107595">
              <w:rPr>
                <w:rFonts w:ascii="Times New Roman" w:hAnsi="Times New Roman"/>
                <w:b/>
                <w:sz w:val="24"/>
                <w:szCs w:val="24"/>
                <w:lang w:val="ro-RO"/>
              </w:rPr>
              <w:t>Ministerul Infrastructurii și Dezvoltării Regionale (din Platforma „Legiferare”)</w:t>
            </w:r>
          </w:p>
        </w:tc>
        <w:tc>
          <w:tcPr>
            <w:tcW w:w="531" w:type="dxa"/>
            <w:tcMar>
              <w:top w:w="0" w:type="dxa"/>
              <w:left w:w="108" w:type="dxa"/>
              <w:bottom w:w="0" w:type="dxa"/>
              <w:right w:w="108" w:type="dxa"/>
            </w:tcMar>
          </w:tcPr>
          <w:p w14:paraId="6E388FF9" w14:textId="6289B4AD" w:rsidR="00870A8B" w:rsidRPr="00107595" w:rsidRDefault="00107595"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t>10</w:t>
            </w:r>
          </w:p>
        </w:tc>
        <w:tc>
          <w:tcPr>
            <w:tcW w:w="9072" w:type="dxa"/>
          </w:tcPr>
          <w:p w14:paraId="0AF83547" w14:textId="320A83F3" w:rsidR="00870A8B" w:rsidRPr="00107595" w:rsidRDefault="00107595" w:rsidP="001E7AC7">
            <w:pPr>
              <w:tabs>
                <w:tab w:val="left" w:pos="1814"/>
              </w:tabs>
              <w:autoSpaceDE w:val="0"/>
              <w:autoSpaceDN w:val="0"/>
              <w:adjustRightInd w:val="0"/>
              <w:ind w:firstLine="0"/>
              <w:rPr>
                <w:rFonts w:ascii="Times New Roman" w:hAnsi="Times New Roman"/>
                <w:sz w:val="24"/>
                <w:szCs w:val="24"/>
                <w:lang w:val="ro-RO" w:eastAsia="ru-RU"/>
              </w:rPr>
            </w:pPr>
            <w:r w:rsidRPr="00107595">
              <w:rPr>
                <w:rFonts w:ascii="Times New Roman" w:hAnsi="Times New Roman"/>
                <w:sz w:val="24"/>
                <w:szCs w:val="24"/>
                <w:lang w:val="ro-RO" w:eastAsia="ru-RU"/>
              </w:rPr>
              <w:t>A prezentat lipsa propunerilor și obiecțiilor.</w:t>
            </w:r>
          </w:p>
        </w:tc>
        <w:tc>
          <w:tcPr>
            <w:tcW w:w="3685" w:type="dxa"/>
          </w:tcPr>
          <w:p w14:paraId="6F2094F8" w14:textId="77777777" w:rsidR="00870A8B" w:rsidRPr="00107595" w:rsidRDefault="00870A8B" w:rsidP="0025510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107595" w:rsidRPr="007D40FD" w14:paraId="2182BF75" w14:textId="77777777" w:rsidTr="0006422A">
        <w:trPr>
          <w:trHeight w:val="70"/>
        </w:trPr>
        <w:tc>
          <w:tcPr>
            <w:tcW w:w="2163" w:type="dxa"/>
            <w:tcMar>
              <w:top w:w="0" w:type="dxa"/>
              <w:left w:w="108" w:type="dxa"/>
              <w:bottom w:w="0" w:type="dxa"/>
              <w:right w:w="108" w:type="dxa"/>
            </w:tcMar>
          </w:tcPr>
          <w:p w14:paraId="51770622" w14:textId="14B65623" w:rsidR="00107595" w:rsidRPr="00107595" w:rsidRDefault="00107595"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107595">
              <w:rPr>
                <w:rFonts w:ascii="Times New Roman" w:hAnsi="Times New Roman"/>
                <w:b/>
                <w:sz w:val="24"/>
                <w:szCs w:val="24"/>
                <w:lang w:val="ro-RO"/>
              </w:rPr>
              <w:t>Ministerul Sănătății din Platforma „Legiferare”)</w:t>
            </w:r>
          </w:p>
        </w:tc>
        <w:tc>
          <w:tcPr>
            <w:tcW w:w="531" w:type="dxa"/>
            <w:tcMar>
              <w:top w:w="0" w:type="dxa"/>
              <w:left w:w="108" w:type="dxa"/>
              <w:bottom w:w="0" w:type="dxa"/>
              <w:right w:w="108" w:type="dxa"/>
            </w:tcMar>
          </w:tcPr>
          <w:p w14:paraId="5E332429" w14:textId="12B0F96A" w:rsidR="00107595" w:rsidRPr="00107595" w:rsidRDefault="00107595"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t>11</w:t>
            </w:r>
          </w:p>
        </w:tc>
        <w:tc>
          <w:tcPr>
            <w:tcW w:w="9072" w:type="dxa"/>
          </w:tcPr>
          <w:p w14:paraId="6AFF229E" w14:textId="1512EE88" w:rsidR="00107595" w:rsidRPr="00107595" w:rsidRDefault="00107595" w:rsidP="001E7AC7">
            <w:pPr>
              <w:tabs>
                <w:tab w:val="left" w:pos="1814"/>
              </w:tabs>
              <w:autoSpaceDE w:val="0"/>
              <w:autoSpaceDN w:val="0"/>
              <w:adjustRightInd w:val="0"/>
              <w:ind w:firstLine="0"/>
              <w:rPr>
                <w:rFonts w:ascii="Times New Roman" w:hAnsi="Times New Roman"/>
                <w:sz w:val="24"/>
                <w:szCs w:val="24"/>
                <w:lang w:val="ro-RO" w:eastAsia="ru-RU"/>
              </w:rPr>
            </w:pPr>
            <w:r w:rsidRPr="00107595">
              <w:rPr>
                <w:rFonts w:ascii="Times New Roman" w:hAnsi="Times New Roman"/>
                <w:sz w:val="24"/>
                <w:szCs w:val="24"/>
                <w:lang w:val="ro-RO" w:eastAsia="ru-RU"/>
              </w:rPr>
              <w:t>A prezentat lipsa propunerilor și obiecțiilor.</w:t>
            </w:r>
          </w:p>
        </w:tc>
        <w:tc>
          <w:tcPr>
            <w:tcW w:w="3685" w:type="dxa"/>
          </w:tcPr>
          <w:p w14:paraId="58DFEC8D" w14:textId="77777777" w:rsidR="00107595" w:rsidRPr="00107595" w:rsidRDefault="00107595" w:rsidP="0025510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p>
        </w:tc>
      </w:tr>
      <w:tr w:rsidR="008F5BA1" w:rsidRPr="007D40FD" w14:paraId="5E0F9CE5" w14:textId="77777777" w:rsidTr="0006422A">
        <w:trPr>
          <w:trHeight w:val="70"/>
        </w:trPr>
        <w:tc>
          <w:tcPr>
            <w:tcW w:w="2163" w:type="dxa"/>
            <w:tcMar>
              <w:top w:w="0" w:type="dxa"/>
              <w:left w:w="108" w:type="dxa"/>
              <w:bottom w:w="0" w:type="dxa"/>
              <w:right w:w="108" w:type="dxa"/>
            </w:tcMar>
          </w:tcPr>
          <w:p w14:paraId="5489F76E" w14:textId="1C163639" w:rsidR="008F5BA1" w:rsidRPr="008F5BA1" w:rsidRDefault="008F5BA1"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8F5BA1">
              <w:rPr>
                <w:rFonts w:ascii="Times New Roman" w:hAnsi="Times New Roman"/>
                <w:b/>
                <w:sz w:val="24"/>
                <w:szCs w:val="24"/>
                <w:lang w:val="ro-RO"/>
              </w:rPr>
              <w:t>Centrul Național de Management al Crizelor</w:t>
            </w:r>
          </w:p>
        </w:tc>
        <w:tc>
          <w:tcPr>
            <w:tcW w:w="531" w:type="dxa"/>
            <w:tcMar>
              <w:top w:w="0" w:type="dxa"/>
              <w:left w:w="108" w:type="dxa"/>
              <w:bottom w:w="0" w:type="dxa"/>
              <w:right w:w="108" w:type="dxa"/>
            </w:tcMar>
          </w:tcPr>
          <w:p w14:paraId="4BE618AB" w14:textId="784783EB" w:rsidR="008F5BA1" w:rsidRPr="008F5BA1" w:rsidRDefault="008F5BA1"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sidRPr="008F5BA1">
              <w:rPr>
                <w:rFonts w:ascii="Times New Roman" w:hAnsi="Times New Roman"/>
                <w:bCs/>
                <w:sz w:val="24"/>
                <w:szCs w:val="24"/>
                <w:lang w:val="ro-RO"/>
              </w:rPr>
              <w:t>12</w:t>
            </w:r>
          </w:p>
        </w:tc>
        <w:tc>
          <w:tcPr>
            <w:tcW w:w="9072" w:type="dxa"/>
          </w:tcPr>
          <w:p w14:paraId="554D2C90" w14:textId="677801E0" w:rsidR="008F5BA1" w:rsidRPr="008F5BA1" w:rsidRDefault="008F5BA1" w:rsidP="001E7AC7">
            <w:pPr>
              <w:tabs>
                <w:tab w:val="left" w:pos="1814"/>
              </w:tabs>
              <w:autoSpaceDE w:val="0"/>
              <w:autoSpaceDN w:val="0"/>
              <w:adjustRightInd w:val="0"/>
              <w:ind w:firstLine="0"/>
              <w:rPr>
                <w:rFonts w:ascii="Times New Roman" w:hAnsi="Times New Roman"/>
                <w:sz w:val="24"/>
                <w:szCs w:val="24"/>
                <w:lang w:val="ro-RO" w:eastAsia="ru-RU"/>
              </w:rPr>
            </w:pPr>
            <w:r w:rsidRPr="008F5BA1">
              <w:rPr>
                <w:rFonts w:ascii="Times New Roman" w:hAnsi="Times New Roman"/>
                <w:sz w:val="24"/>
                <w:szCs w:val="24"/>
                <w:lang w:val="ro-RO" w:eastAsia="ru-RU"/>
              </w:rPr>
              <w:t>Nu a prezentat aviz.</w:t>
            </w:r>
          </w:p>
        </w:tc>
        <w:tc>
          <w:tcPr>
            <w:tcW w:w="3685" w:type="dxa"/>
          </w:tcPr>
          <w:p w14:paraId="0CB3855B" w14:textId="77777777" w:rsidR="008F5BA1" w:rsidRPr="00107595" w:rsidRDefault="008F5BA1" w:rsidP="0025510F">
            <w:pPr>
              <w:pBdr>
                <w:top w:val="none" w:sz="4" w:space="0" w:color="000000"/>
                <w:left w:val="none" w:sz="4" w:space="0" w:color="000000"/>
                <w:bottom w:val="none" w:sz="4" w:space="0" w:color="000000"/>
                <w:right w:val="none" w:sz="4" w:space="0" w:color="000000"/>
              </w:pBdr>
              <w:ind w:firstLine="0"/>
              <w:rPr>
                <w:b/>
                <w:bCs/>
                <w:sz w:val="24"/>
                <w:szCs w:val="24"/>
                <w:lang w:val="ro-RO"/>
              </w:rPr>
            </w:pPr>
          </w:p>
        </w:tc>
      </w:tr>
      <w:tr w:rsidR="008F5BA1" w:rsidRPr="007D40FD" w14:paraId="5E7D103E" w14:textId="77777777" w:rsidTr="0006422A">
        <w:trPr>
          <w:trHeight w:val="70"/>
        </w:trPr>
        <w:tc>
          <w:tcPr>
            <w:tcW w:w="2163" w:type="dxa"/>
            <w:tcMar>
              <w:top w:w="0" w:type="dxa"/>
              <w:left w:w="108" w:type="dxa"/>
              <w:bottom w:w="0" w:type="dxa"/>
              <w:right w:w="108" w:type="dxa"/>
            </w:tcMar>
          </w:tcPr>
          <w:p w14:paraId="2F048F11" w14:textId="77777777" w:rsidR="008F5BA1" w:rsidRPr="008F5BA1" w:rsidRDefault="008F5BA1" w:rsidP="008F5BA1">
            <w:pPr>
              <w:ind w:firstLine="0"/>
              <w:rPr>
                <w:rFonts w:ascii="Times New Roman" w:hAnsi="Times New Roman"/>
              </w:rPr>
            </w:pPr>
            <w:r w:rsidRPr="008F5BA1">
              <w:rPr>
                <w:rFonts w:ascii="Times New Roman" w:hAnsi="Times New Roman"/>
                <w:b/>
                <w:sz w:val="24"/>
                <w:szCs w:val="24"/>
                <w:lang w:val="ro-RO"/>
              </w:rPr>
              <w:t xml:space="preserve">Serviciul de Informații și Securitate </w:t>
            </w:r>
          </w:p>
          <w:p w14:paraId="5C22B1A6" w14:textId="77777777" w:rsidR="008F5BA1" w:rsidRPr="008F5BA1" w:rsidRDefault="008F5BA1" w:rsidP="008F5BA1">
            <w:pPr>
              <w:ind w:firstLine="0"/>
              <w:rPr>
                <w:rFonts w:ascii="Times New Roman" w:hAnsi="Times New Roman"/>
                <w:b/>
                <w:sz w:val="24"/>
                <w:szCs w:val="24"/>
                <w:lang w:val="ro-RO"/>
              </w:rPr>
            </w:pPr>
          </w:p>
        </w:tc>
        <w:tc>
          <w:tcPr>
            <w:tcW w:w="531" w:type="dxa"/>
            <w:tcMar>
              <w:top w:w="0" w:type="dxa"/>
              <w:left w:w="108" w:type="dxa"/>
              <w:bottom w:w="0" w:type="dxa"/>
              <w:right w:w="108" w:type="dxa"/>
            </w:tcMar>
          </w:tcPr>
          <w:p w14:paraId="3A060A71" w14:textId="094FA7E8" w:rsidR="008F5BA1" w:rsidRPr="008F5BA1" w:rsidRDefault="008F5BA1" w:rsidP="008F5BA1">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t>13</w:t>
            </w:r>
          </w:p>
        </w:tc>
        <w:tc>
          <w:tcPr>
            <w:tcW w:w="9072" w:type="dxa"/>
          </w:tcPr>
          <w:p w14:paraId="14CB626D" w14:textId="7394CAC0" w:rsidR="008F5BA1" w:rsidRPr="008F5BA1" w:rsidRDefault="008F5BA1" w:rsidP="008F5BA1">
            <w:pPr>
              <w:tabs>
                <w:tab w:val="left" w:pos="1814"/>
              </w:tabs>
              <w:autoSpaceDE w:val="0"/>
              <w:autoSpaceDN w:val="0"/>
              <w:adjustRightInd w:val="0"/>
              <w:ind w:firstLine="0"/>
              <w:rPr>
                <w:rFonts w:ascii="Times New Roman" w:hAnsi="Times New Roman"/>
                <w:sz w:val="24"/>
                <w:szCs w:val="24"/>
                <w:lang w:val="ro-RO" w:eastAsia="ru-RU"/>
              </w:rPr>
            </w:pPr>
            <w:r w:rsidRPr="008F5BA1">
              <w:rPr>
                <w:rFonts w:ascii="Times New Roman" w:hAnsi="Times New Roman"/>
                <w:sz w:val="24"/>
                <w:szCs w:val="24"/>
                <w:lang w:val="ro-RO" w:eastAsia="ru-RU"/>
              </w:rPr>
              <w:t>Nu a prezentat aviz.</w:t>
            </w:r>
          </w:p>
        </w:tc>
        <w:tc>
          <w:tcPr>
            <w:tcW w:w="3685" w:type="dxa"/>
          </w:tcPr>
          <w:p w14:paraId="598BAD1D" w14:textId="77777777" w:rsidR="008F5BA1" w:rsidRPr="00107595" w:rsidRDefault="008F5BA1" w:rsidP="008F5BA1">
            <w:pPr>
              <w:pBdr>
                <w:top w:val="none" w:sz="4" w:space="0" w:color="000000"/>
                <w:left w:val="none" w:sz="4" w:space="0" w:color="000000"/>
                <w:bottom w:val="none" w:sz="4" w:space="0" w:color="000000"/>
                <w:right w:val="none" w:sz="4" w:space="0" w:color="000000"/>
              </w:pBdr>
              <w:ind w:firstLine="0"/>
              <w:rPr>
                <w:b/>
                <w:bCs/>
                <w:sz w:val="24"/>
                <w:szCs w:val="24"/>
                <w:lang w:val="ro-RO"/>
              </w:rPr>
            </w:pPr>
          </w:p>
        </w:tc>
      </w:tr>
      <w:tr w:rsidR="008F5BA1" w:rsidRPr="007D40FD" w14:paraId="224D4599" w14:textId="77777777" w:rsidTr="0006422A">
        <w:trPr>
          <w:trHeight w:val="70"/>
        </w:trPr>
        <w:tc>
          <w:tcPr>
            <w:tcW w:w="2163" w:type="dxa"/>
            <w:tcMar>
              <w:top w:w="0" w:type="dxa"/>
              <w:left w:w="108" w:type="dxa"/>
              <w:bottom w:w="0" w:type="dxa"/>
              <w:right w:w="108" w:type="dxa"/>
            </w:tcMar>
          </w:tcPr>
          <w:p w14:paraId="50E8221E" w14:textId="77777777" w:rsidR="008F5BA1" w:rsidRPr="008F5BA1" w:rsidRDefault="008F5BA1" w:rsidP="008F5BA1">
            <w:pPr>
              <w:ind w:firstLine="0"/>
              <w:rPr>
                <w:rFonts w:ascii="Times New Roman" w:hAnsi="Times New Roman"/>
              </w:rPr>
            </w:pPr>
            <w:r w:rsidRPr="008F5BA1">
              <w:rPr>
                <w:rFonts w:ascii="Times New Roman" w:hAnsi="Times New Roman"/>
                <w:b/>
                <w:sz w:val="24"/>
                <w:szCs w:val="24"/>
                <w:lang w:val="ro-RO"/>
              </w:rPr>
              <w:t xml:space="preserve">Congresul Autorităților Locale din Moldova </w:t>
            </w:r>
          </w:p>
          <w:p w14:paraId="0AED6532" w14:textId="77777777" w:rsidR="008F5BA1" w:rsidRPr="008F5BA1" w:rsidRDefault="008F5BA1" w:rsidP="008F5BA1">
            <w:pPr>
              <w:ind w:firstLine="0"/>
              <w:rPr>
                <w:rFonts w:ascii="Times New Roman" w:hAnsi="Times New Roman"/>
                <w:b/>
                <w:sz w:val="24"/>
                <w:szCs w:val="24"/>
                <w:lang w:val="ro-RO"/>
              </w:rPr>
            </w:pPr>
          </w:p>
        </w:tc>
        <w:tc>
          <w:tcPr>
            <w:tcW w:w="531" w:type="dxa"/>
            <w:tcMar>
              <w:top w:w="0" w:type="dxa"/>
              <w:left w:w="108" w:type="dxa"/>
              <w:bottom w:w="0" w:type="dxa"/>
              <w:right w:w="108" w:type="dxa"/>
            </w:tcMar>
          </w:tcPr>
          <w:p w14:paraId="504FED47" w14:textId="3E9F35DF" w:rsidR="008F5BA1" w:rsidRPr="008F5BA1" w:rsidRDefault="008F5BA1" w:rsidP="008F5BA1">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t>14</w:t>
            </w:r>
          </w:p>
        </w:tc>
        <w:tc>
          <w:tcPr>
            <w:tcW w:w="9072" w:type="dxa"/>
          </w:tcPr>
          <w:p w14:paraId="254EACE3" w14:textId="2E332388" w:rsidR="008F5BA1" w:rsidRPr="008F5BA1" w:rsidRDefault="008F5BA1" w:rsidP="008F5BA1">
            <w:pPr>
              <w:tabs>
                <w:tab w:val="left" w:pos="1814"/>
              </w:tabs>
              <w:autoSpaceDE w:val="0"/>
              <w:autoSpaceDN w:val="0"/>
              <w:adjustRightInd w:val="0"/>
              <w:ind w:firstLine="0"/>
              <w:rPr>
                <w:rFonts w:ascii="Times New Roman" w:hAnsi="Times New Roman"/>
                <w:sz w:val="24"/>
                <w:szCs w:val="24"/>
                <w:lang w:val="ro-RO" w:eastAsia="ru-RU"/>
              </w:rPr>
            </w:pPr>
            <w:r w:rsidRPr="008F5BA1">
              <w:rPr>
                <w:rFonts w:ascii="Times New Roman" w:hAnsi="Times New Roman"/>
                <w:sz w:val="24"/>
                <w:szCs w:val="24"/>
                <w:lang w:val="ro-RO" w:eastAsia="ru-RU"/>
              </w:rPr>
              <w:t>Nu a prezentat aviz.</w:t>
            </w:r>
          </w:p>
        </w:tc>
        <w:tc>
          <w:tcPr>
            <w:tcW w:w="3685" w:type="dxa"/>
          </w:tcPr>
          <w:p w14:paraId="564B501D" w14:textId="77777777" w:rsidR="008F5BA1" w:rsidRPr="00107595" w:rsidRDefault="008F5BA1" w:rsidP="008F5BA1">
            <w:pPr>
              <w:pBdr>
                <w:top w:val="none" w:sz="4" w:space="0" w:color="000000"/>
                <w:left w:val="none" w:sz="4" w:space="0" w:color="000000"/>
                <w:bottom w:val="none" w:sz="4" w:space="0" w:color="000000"/>
                <w:right w:val="none" w:sz="4" w:space="0" w:color="000000"/>
              </w:pBdr>
              <w:ind w:firstLine="0"/>
              <w:rPr>
                <w:b/>
                <w:bCs/>
                <w:sz w:val="24"/>
                <w:szCs w:val="24"/>
                <w:lang w:val="ro-RO"/>
              </w:rPr>
            </w:pPr>
          </w:p>
        </w:tc>
      </w:tr>
      <w:tr w:rsidR="0025510F" w:rsidRPr="007D40FD" w14:paraId="083733FA" w14:textId="77777777" w:rsidTr="00F52DB1">
        <w:trPr>
          <w:trHeight w:val="70"/>
        </w:trPr>
        <w:tc>
          <w:tcPr>
            <w:tcW w:w="15451" w:type="dxa"/>
            <w:gridSpan w:val="4"/>
            <w:tcMar>
              <w:top w:w="0" w:type="dxa"/>
              <w:left w:w="108" w:type="dxa"/>
              <w:bottom w:w="0" w:type="dxa"/>
              <w:right w:w="108" w:type="dxa"/>
            </w:tcMar>
          </w:tcPr>
          <w:p w14:paraId="09366E6E" w14:textId="420ADA0E" w:rsidR="0025510F" w:rsidRPr="00107595" w:rsidRDefault="0025510F"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07595">
              <w:rPr>
                <w:rFonts w:ascii="Times New Roman" w:hAnsi="Times New Roman"/>
                <w:b/>
                <w:bCs/>
                <w:sz w:val="24"/>
                <w:szCs w:val="24"/>
                <w:lang w:val="ro-RO"/>
              </w:rPr>
              <w:t>Expertizare</w:t>
            </w:r>
          </w:p>
        </w:tc>
      </w:tr>
      <w:tr w:rsidR="008F5BA1" w:rsidRPr="007D40FD" w14:paraId="235F9608" w14:textId="77777777" w:rsidTr="0006422A">
        <w:trPr>
          <w:trHeight w:val="70"/>
        </w:trPr>
        <w:tc>
          <w:tcPr>
            <w:tcW w:w="2163" w:type="dxa"/>
            <w:vMerge w:val="restart"/>
            <w:tcMar>
              <w:top w:w="0" w:type="dxa"/>
              <w:left w:w="108" w:type="dxa"/>
              <w:bottom w:w="0" w:type="dxa"/>
              <w:right w:w="108" w:type="dxa"/>
            </w:tcMar>
          </w:tcPr>
          <w:p w14:paraId="4ADAF9BC" w14:textId="466958C7" w:rsidR="008F5BA1" w:rsidRPr="00107595" w:rsidRDefault="008F5BA1"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Pr>
                <w:rFonts w:ascii="Times New Roman" w:hAnsi="Times New Roman"/>
                <w:b/>
                <w:sz w:val="24"/>
                <w:szCs w:val="24"/>
                <w:lang w:val="ro-RO"/>
              </w:rPr>
              <w:t xml:space="preserve">Centrul Național Anticorupție </w:t>
            </w:r>
            <w:r w:rsidRPr="00107595">
              <w:rPr>
                <w:rFonts w:ascii="Times New Roman" w:hAnsi="Times New Roman"/>
                <w:b/>
                <w:sz w:val="24"/>
                <w:szCs w:val="24"/>
                <w:lang w:val="ro-RO"/>
              </w:rPr>
              <w:t xml:space="preserve">(aviz nr. </w:t>
            </w:r>
            <w:r>
              <w:rPr>
                <w:rFonts w:ascii="Times New Roman" w:hAnsi="Times New Roman"/>
                <w:b/>
                <w:sz w:val="24"/>
                <w:szCs w:val="24"/>
                <w:lang w:val="ro-RO"/>
              </w:rPr>
              <w:t>06/2/6335</w:t>
            </w:r>
            <w:r w:rsidRPr="00107595">
              <w:rPr>
                <w:rFonts w:ascii="Times New Roman" w:hAnsi="Times New Roman"/>
                <w:b/>
                <w:sz w:val="24"/>
                <w:szCs w:val="24"/>
                <w:lang w:val="ro-RO"/>
              </w:rPr>
              <w:t xml:space="preserve"> din </w:t>
            </w:r>
            <w:r>
              <w:rPr>
                <w:rFonts w:ascii="Times New Roman" w:hAnsi="Times New Roman"/>
                <w:b/>
                <w:sz w:val="24"/>
                <w:szCs w:val="24"/>
                <w:lang w:val="ro-RO"/>
              </w:rPr>
              <w:t>07</w:t>
            </w:r>
            <w:r w:rsidRPr="00107595">
              <w:rPr>
                <w:rFonts w:ascii="Times New Roman" w:hAnsi="Times New Roman"/>
                <w:b/>
                <w:sz w:val="24"/>
                <w:szCs w:val="24"/>
                <w:lang w:val="ro-RO"/>
              </w:rPr>
              <w:t xml:space="preserve"> aprilie 2026)</w:t>
            </w:r>
          </w:p>
        </w:tc>
        <w:tc>
          <w:tcPr>
            <w:tcW w:w="531" w:type="dxa"/>
            <w:vMerge w:val="restart"/>
            <w:tcMar>
              <w:top w:w="0" w:type="dxa"/>
              <w:left w:w="108" w:type="dxa"/>
              <w:bottom w:w="0" w:type="dxa"/>
              <w:right w:w="108" w:type="dxa"/>
            </w:tcMar>
          </w:tcPr>
          <w:p w14:paraId="4DAB7F1B" w14:textId="19DC865E" w:rsidR="008F5BA1" w:rsidRPr="00107595" w:rsidRDefault="008F5BA1"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Pr>
                <w:rFonts w:ascii="Times New Roman" w:hAnsi="Times New Roman"/>
                <w:bCs/>
                <w:sz w:val="24"/>
                <w:szCs w:val="24"/>
                <w:lang w:val="ro-RO"/>
              </w:rPr>
              <w:t>15</w:t>
            </w:r>
          </w:p>
        </w:tc>
        <w:tc>
          <w:tcPr>
            <w:tcW w:w="9072" w:type="dxa"/>
          </w:tcPr>
          <w:p w14:paraId="024EC8AE" w14:textId="77777777" w:rsidR="008F5BA1" w:rsidRPr="00494E92" w:rsidRDefault="008F5BA1" w:rsidP="00494E92">
            <w:pPr>
              <w:tabs>
                <w:tab w:val="left" w:pos="1814"/>
              </w:tabs>
              <w:autoSpaceDE w:val="0"/>
              <w:autoSpaceDN w:val="0"/>
              <w:adjustRightInd w:val="0"/>
              <w:ind w:firstLine="0"/>
              <w:rPr>
                <w:rFonts w:ascii="Times New Roman" w:hAnsi="Times New Roman"/>
                <w:sz w:val="24"/>
                <w:szCs w:val="24"/>
                <w:lang w:val="ro-RO" w:eastAsia="ru-RU"/>
              </w:rPr>
            </w:pPr>
            <w:r w:rsidRPr="00494E92">
              <w:rPr>
                <w:rFonts w:ascii="Times New Roman" w:hAnsi="Times New Roman"/>
                <w:sz w:val="24"/>
                <w:szCs w:val="24"/>
                <w:lang w:val="ro-RO" w:eastAsia="ru-RU"/>
              </w:rPr>
              <w:t>Textul proiectului în mare parte este expus într-un limbaj simplu, clar şi concis, cu respectarea</w:t>
            </w:r>
          </w:p>
          <w:p w14:paraId="23757B47" w14:textId="03659D3C" w:rsidR="008F5BA1" w:rsidRPr="00494E92" w:rsidRDefault="008F5BA1" w:rsidP="00494E92">
            <w:pPr>
              <w:tabs>
                <w:tab w:val="left" w:pos="1814"/>
              </w:tabs>
              <w:autoSpaceDE w:val="0"/>
              <w:autoSpaceDN w:val="0"/>
              <w:adjustRightInd w:val="0"/>
              <w:ind w:firstLine="0"/>
              <w:rPr>
                <w:rFonts w:ascii="Times New Roman" w:hAnsi="Times New Roman"/>
                <w:sz w:val="24"/>
                <w:szCs w:val="24"/>
                <w:lang w:val="ro-RO" w:eastAsia="ru-RU"/>
              </w:rPr>
            </w:pPr>
            <w:r w:rsidRPr="00494E92">
              <w:rPr>
                <w:rFonts w:ascii="Times New Roman" w:hAnsi="Times New Roman"/>
                <w:sz w:val="24"/>
                <w:szCs w:val="24"/>
                <w:lang w:val="ro-RO" w:eastAsia="ru-RU"/>
              </w:rPr>
              <w:t>regulilor gramaticale şi de ortografie, întrunind cerințele prevăzute de art.54 din Legea nr.100/2017.</w:t>
            </w:r>
          </w:p>
          <w:p w14:paraId="47381888" w14:textId="6A4543CD" w:rsidR="008F5BA1" w:rsidRPr="00107595" w:rsidRDefault="008F5BA1" w:rsidP="00494E92">
            <w:pPr>
              <w:tabs>
                <w:tab w:val="left" w:pos="1814"/>
              </w:tabs>
              <w:autoSpaceDE w:val="0"/>
              <w:autoSpaceDN w:val="0"/>
              <w:adjustRightInd w:val="0"/>
              <w:ind w:firstLine="0"/>
              <w:rPr>
                <w:rFonts w:ascii="Times New Roman" w:hAnsi="Times New Roman"/>
                <w:sz w:val="24"/>
                <w:szCs w:val="24"/>
                <w:lang w:val="ro-RO" w:eastAsia="ru-RU"/>
              </w:rPr>
            </w:pPr>
            <w:r w:rsidRPr="00494E92">
              <w:rPr>
                <w:rFonts w:ascii="Times New Roman" w:hAnsi="Times New Roman"/>
                <w:sz w:val="24"/>
                <w:szCs w:val="24"/>
                <w:lang w:val="ro-RO" w:eastAsia="ru-RU"/>
              </w:rPr>
              <w:t>În acest sens, autorul urmează să indice, la pct. 17 din Anexa la proiectul de Hotărâre, denumirea</w:t>
            </w:r>
            <w:r>
              <w:rPr>
                <w:rFonts w:ascii="Times New Roman" w:hAnsi="Times New Roman"/>
                <w:sz w:val="24"/>
                <w:szCs w:val="24"/>
                <w:lang w:val="ro-RO" w:eastAsia="ru-RU"/>
              </w:rPr>
              <w:t xml:space="preserve"> </w:t>
            </w:r>
            <w:r w:rsidRPr="00494E92">
              <w:rPr>
                <w:rFonts w:ascii="Times New Roman" w:hAnsi="Times New Roman"/>
                <w:sz w:val="24"/>
                <w:szCs w:val="24"/>
                <w:lang w:val="ro-RO" w:eastAsia="ru-RU"/>
              </w:rPr>
              <w:t>integrală a „Programului național 2025–2027”, în vederea asigurării unei identificări clare a actului la</w:t>
            </w:r>
            <w:r>
              <w:rPr>
                <w:rFonts w:ascii="Times New Roman" w:hAnsi="Times New Roman"/>
                <w:sz w:val="24"/>
                <w:szCs w:val="24"/>
                <w:lang w:val="ro-RO" w:eastAsia="ru-RU"/>
              </w:rPr>
              <w:t xml:space="preserve"> </w:t>
            </w:r>
            <w:r w:rsidRPr="00494E92">
              <w:rPr>
                <w:rFonts w:ascii="Times New Roman" w:hAnsi="Times New Roman"/>
                <w:sz w:val="24"/>
                <w:szCs w:val="24"/>
                <w:lang w:val="ro-RO" w:eastAsia="ru-RU"/>
              </w:rPr>
              <w:t>care se face trimitere, având în vedere că acesta vizează fazele de răspuns și recuperare în domeniile</w:t>
            </w:r>
            <w:r>
              <w:rPr>
                <w:rFonts w:ascii="Times New Roman" w:hAnsi="Times New Roman"/>
                <w:sz w:val="24"/>
                <w:szCs w:val="24"/>
                <w:lang w:val="ro-RO" w:eastAsia="ru-RU"/>
              </w:rPr>
              <w:t xml:space="preserve"> </w:t>
            </w:r>
            <w:r w:rsidRPr="00494E92">
              <w:rPr>
                <w:rFonts w:ascii="Times New Roman" w:hAnsi="Times New Roman"/>
                <w:sz w:val="24"/>
                <w:szCs w:val="24"/>
                <w:lang w:val="ro-RO" w:eastAsia="ru-RU"/>
              </w:rPr>
              <w:t>sănătății, educației și locuințelor. Aceeași recomandare rămâne valabilă pe tot parcursul proiectului.</w:t>
            </w:r>
          </w:p>
        </w:tc>
        <w:tc>
          <w:tcPr>
            <w:tcW w:w="3685" w:type="dxa"/>
          </w:tcPr>
          <w:p w14:paraId="4E11FE8F" w14:textId="7EA4CD71" w:rsidR="008F5BA1" w:rsidRPr="00107595" w:rsidRDefault="008F5BA1" w:rsidP="0025510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7D40FD">
              <w:rPr>
                <w:rFonts w:ascii="Times New Roman" w:hAnsi="Times New Roman"/>
                <w:b/>
                <w:bCs/>
                <w:sz w:val="24"/>
                <w:szCs w:val="24"/>
                <w:lang w:val="ro-RO"/>
              </w:rPr>
              <w:t>Se acceptă.</w:t>
            </w:r>
            <w:r w:rsidRPr="007D40FD">
              <w:rPr>
                <w:rFonts w:ascii="Times New Roman" w:hAnsi="Times New Roman"/>
                <w:color w:val="000000" w:themeColor="text1"/>
                <w:sz w:val="24"/>
                <w:szCs w:val="24"/>
                <w:lang w:val="ro-RO"/>
              </w:rPr>
              <w:t xml:space="preserve"> Modificările au fost operate.</w:t>
            </w:r>
          </w:p>
        </w:tc>
      </w:tr>
      <w:tr w:rsidR="008F5BA1" w:rsidRPr="007D40FD" w14:paraId="06F7FAD1" w14:textId="77777777" w:rsidTr="0006422A">
        <w:trPr>
          <w:trHeight w:val="70"/>
        </w:trPr>
        <w:tc>
          <w:tcPr>
            <w:tcW w:w="2163" w:type="dxa"/>
            <w:vMerge/>
            <w:tcMar>
              <w:top w:w="0" w:type="dxa"/>
              <w:left w:w="108" w:type="dxa"/>
              <w:bottom w:w="0" w:type="dxa"/>
              <w:right w:w="108" w:type="dxa"/>
            </w:tcMar>
          </w:tcPr>
          <w:p w14:paraId="1A06EF3E" w14:textId="77777777" w:rsidR="008F5BA1"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1714EC6D" w14:textId="77777777" w:rsidR="008F5BA1"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tbl>
            <w:tblPr>
              <w:tblStyle w:val="afa"/>
              <w:tblW w:w="0" w:type="auto"/>
              <w:tblLayout w:type="fixed"/>
              <w:tblLook w:val="04A0" w:firstRow="1" w:lastRow="0" w:firstColumn="1" w:lastColumn="0" w:noHBand="0" w:noVBand="1"/>
            </w:tblPr>
            <w:tblGrid>
              <w:gridCol w:w="8846"/>
            </w:tblGrid>
            <w:tr w:rsidR="008F5BA1" w:rsidRPr="00514916" w14:paraId="3A7E0C97" w14:textId="77777777" w:rsidTr="00E2022B">
              <w:tc>
                <w:tcPr>
                  <w:tcW w:w="8846" w:type="dxa"/>
                </w:tcPr>
                <w:p w14:paraId="6FF58F0E" w14:textId="0FF7F645" w:rsidR="008F5BA1" w:rsidRPr="00514916" w:rsidRDefault="008F5BA1" w:rsidP="006F7298">
                  <w:pPr>
                    <w:tabs>
                      <w:tab w:val="left" w:pos="1814"/>
                    </w:tabs>
                    <w:autoSpaceDE w:val="0"/>
                    <w:autoSpaceDN w:val="0"/>
                    <w:adjustRightInd w:val="0"/>
                    <w:ind w:firstLine="0"/>
                    <w:jc w:val="center"/>
                    <w:rPr>
                      <w:rFonts w:ascii="Times New Roman" w:hAnsi="Times New Roman"/>
                      <w:sz w:val="24"/>
                      <w:szCs w:val="24"/>
                      <w:lang w:val="ro-RO" w:eastAsia="ru-RU"/>
                    </w:rPr>
                  </w:pPr>
                  <w:r w:rsidRPr="00514916">
                    <w:rPr>
                      <w:rFonts w:ascii="Times New Roman" w:hAnsi="Times New Roman"/>
                      <w:sz w:val="24"/>
                      <w:szCs w:val="24"/>
                      <w:lang w:val="ro-RO" w:eastAsia="ru-RU"/>
                    </w:rPr>
                    <w:t>1</w:t>
                  </w:r>
                </w:p>
              </w:tc>
            </w:tr>
            <w:tr w:rsidR="008F5BA1" w:rsidRPr="00514916" w14:paraId="28315C69" w14:textId="77777777" w:rsidTr="00E2022B">
              <w:tc>
                <w:tcPr>
                  <w:tcW w:w="8846" w:type="dxa"/>
                </w:tcPr>
                <w:p w14:paraId="45B573B8" w14:textId="77777777" w:rsidR="008F5BA1" w:rsidRPr="00514916" w:rsidRDefault="008F5BA1" w:rsidP="006F7298">
                  <w:pPr>
                    <w:tabs>
                      <w:tab w:val="left" w:pos="1814"/>
                    </w:tabs>
                    <w:autoSpaceDE w:val="0"/>
                    <w:autoSpaceDN w:val="0"/>
                    <w:adjustRightInd w:val="0"/>
                    <w:ind w:firstLine="0"/>
                    <w:rPr>
                      <w:rFonts w:ascii="Times New Roman" w:hAnsi="Times New Roman"/>
                      <w:b/>
                      <w:bCs/>
                      <w:color w:val="1F497D" w:themeColor="text2"/>
                      <w:sz w:val="24"/>
                      <w:szCs w:val="24"/>
                      <w:lang w:val="ro-RO" w:eastAsia="ru-RU"/>
                    </w:rPr>
                  </w:pPr>
                  <w:r w:rsidRPr="00514916">
                    <w:rPr>
                      <w:rFonts w:ascii="Times New Roman" w:hAnsi="Times New Roman"/>
                      <w:b/>
                      <w:bCs/>
                      <w:color w:val="1F497D" w:themeColor="text2"/>
                      <w:sz w:val="24"/>
                      <w:szCs w:val="24"/>
                      <w:lang w:val="ro-RO" w:eastAsia="ru-RU"/>
                    </w:rPr>
                    <w:lastRenderedPageBreak/>
                    <w:t>Pct. 10 și pct. 63 din Anexa la proiectul de Hotărâre</w:t>
                  </w:r>
                </w:p>
                <w:p w14:paraId="3BCD25E5" w14:textId="561A5472" w:rsidR="008F5BA1" w:rsidRPr="00514916" w:rsidRDefault="008F5BA1" w:rsidP="006F7298">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10. Declanșarea Mecanismului național are loc în baza deciziei Prim-ministrului privind constatarea crizei sau a crizei majore, adoptată în condițiile Legii nr. 248/2025 privind managementul situațiilor de criză, la propunerea Centrului Național de Management al Crizelor. Aplicarea integrală a măsurilor prevăzute de Mecanismul național se realizează, după caz, în contextul constatării crizei sau a crizei majore, iar instituirea stării de alertă ori a stării de urgență se dispune în condițiile legii, în funcție de nivelul de gravitate și impact al situației.[...]</w:t>
                  </w:r>
                </w:p>
                <w:p w14:paraId="300E4B9E" w14:textId="77777777" w:rsidR="008F5BA1" w:rsidRDefault="008F5BA1" w:rsidP="006F7298">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63. Prezentul Mecanism național încetează a fi aplicat în baza deciziei Prim-ministrului privind încetarea crizei, în condițiile Legii nr. 248/2025 privind managementul situațiilor de criză. [...]</w:t>
                  </w:r>
                </w:p>
                <w:p w14:paraId="1F2B38C9" w14:textId="77777777" w:rsidR="008F5BA1" w:rsidRDefault="008F5BA1" w:rsidP="006F7298">
                  <w:pPr>
                    <w:tabs>
                      <w:tab w:val="left" w:pos="1814"/>
                    </w:tabs>
                    <w:autoSpaceDE w:val="0"/>
                    <w:autoSpaceDN w:val="0"/>
                    <w:adjustRightInd w:val="0"/>
                    <w:ind w:firstLine="0"/>
                    <w:rPr>
                      <w:rFonts w:ascii="Times New Roman" w:hAnsi="Times New Roman"/>
                      <w:sz w:val="24"/>
                      <w:szCs w:val="24"/>
                      <w:lang w:val="ro-RO" w:eastAsia="ru-RU"/>
                    </w:rPr>
                  </w:pPr>
                </w:p>
                <w:p w14:paraId="10B5C41E" w14:textId="2F77BA1A" w:rsidR="008F5BA1" w:rsidRPr="00514916" w:rsidRDefault="008F5BA1" w:rsidP="006F7298">
                  <w:pPr>
                    <w:tabs>
                      <w:tab w:val="left" w:pos="1814"/>
                    </w:tabs>
                    <w:autoSpaceDE w:val="0"/>
                    <w:autoSpaceDN w:val="0"/>
                    <w:adjustRightInd w:val="0"/>
                    <w:ind w:firstLine="0"/>
                    <w:rPr>
                      <w:rFonts w:ascii="Times New Roman" w:hAnsi="Times New Roman"/>
                      <w:sz w:val="24"/>
                      <w:szCs w:val="24"/>
                      <w:lang w:val="ro-RO" w:eastAsia="ru-RU"/>
                    </w:rPr>
                  </w:pPr>
                </w:p>
              </w:tc>
            </w:tr>
            <w:tr w:rsidR="008F5BA1" w:rsidRPr="00514916" w14:paraId="5B499EFF" w14:textId="77777777" w:rsidTr="00E2022B">
              <w:tc>
                <w:tcPr>
                  <w:tcW w:w="8846" w:type="dxa"/>
                </w:tcPr>
                <w:p w14:paraId="7742372D" w14:textId="77777777" w:rsidR="008F5BA1" w:rsidRPr="00514916" w:rsidRDefault="008F5BA1" w:rsidP="000374B6">
                  <w:pPr>
                    <w:tabs>
                      <w:tab w:val="left" w:pos="1814"/>
                    </w:tabs>
                    <w:autoSpaceDE w:val="0"/>
                    <w:autoSpaceDN w:val="0"/>
                    <w:adjustRightInd w:val="0"/>
                    <w:ind w:firstLine="0"/>
                    <w:rPr>
                      <w:rFonts w:ascii="Times New Roman" w:hAnsi="Times New Roman"/>
                      <w:b/>
                      <w:bCs/>
                      <w:sz w:val="24"/>
                      <w:szCs w:val="24"/>
                      <w:lang w:val="ro-RO" w:eastAsia="ru-RU"/>
                    </w:rPr>
                  </w:pPr>
                  <w:r w:rsidRPr="00514916">
                    <w:rPr>
                      <w:rFonts w:ascii="Times New Roman" w:hAnsi="Times New Roman"/>
                      <w:b/>
                      <w:bCs/>
                      <w:sz w:val="24"/>
                      <w:szCs w:val="24"/>
                      <w:lang w:val="ro-RO" w:eastAsia="ru-RU"/>
                    </w:rPr>
                    <w:t>Obiecții:</w:t>
                  </w:r>
                </w:p>
                <w:p w14:paraId="1076F3A1" w14:textId="7B05A056" w:rsidR="008F5BA1" w:rsidRPr="00514916" w:rsidRDefault="008F5BA1" w:rsidP="000374B6">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Norma citată indică momentul declanșării mecanismului național de gestionare unitară și coerentă a situației în cazul unui aflux sporit de străini. În acest sens, autorul precizează că mecanismul se declanșează prin decizia Prim-ministrului privind constatarea crizei sau a crizei majore, adoptată în condițiile Legii nr.248/2025 privind managementul situațiilor de criză, la propunerea Centrului Național de Management al Crizelor.</w:t>
                  </w:r>
                </w:p>
                <w:p w14:paraId="4DF4AE47" w14:textId="1885BB15" w:rsidR="008F5BA1" w:rsidRPr="00514916" w:rsidRDefault="008F5BA1" w:rsidP="000374B6">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Potrivit legii menționate, prin criză se înțelege o urgență internă sau externă, ale cărei consecințe pe teritoriul Republicii Moldova au o asemenea amploare și intensitate încât nu pot fi gestionate prin resursele disponibile ale instituției principale, fiind necesare decizii și coordonare instituțională la nivel național. Prin criză majoră se înțelege o criză de amploare și intensitate semnificative, generată de un pericol natural sau artificial, inclusiv de un dezastru ori de o amenințare la adresa securității naționale, care poate destabiliza societatea, pune în pericol iminent viața și sănătatea unui număr mare de persoane sau cauza daune majore economiei naționale, bunurilor ori mediului.</w:t>
                  </w:r>
                </w:p>
                <w:p w14:paraId="1963EFD2" w14:textId="4CBB3299" w:rsidR="008F5BA1" w:rsidRPr="00514916" w:rsidRDefault="008F5BA1" w:rsidP="000374B6">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Suplimentar, potrivit art. 34 din legea vizată, una dintre responsabilitățile Comisiei Naționale de Management al Crizelor constă în:</w:t>
                  </w:r>
                </w:p>
                <w:p w14:paraId="1383D438" w14:textId="094AF9BC" w:rsidR="008F5BA1" w:rsidRPr="00514916" w:rsidRDefault="008F5BA1" w:rsidP="000374B6">
                  <w:pPr>
                    <w:tabs>
                      <w:tab w:val="left" w:pos="1814"/>
                    </w:tabs>
                    <w:autoSpaceDE w:val="0"/>
                    <w:autoSpaceDN w:val="0"/>
                    <w:adjustRightInd w:val="0"/>
                    <w:ind w:firstLine="0"/>
                    <w:rPr>
                      <w:rFonts w:ascii="Times New Roman" w:hAnsi="Times New Roman"/>
                      <w:i/>
                      <w:iCs/>
                      <w:sz w:val="24"/>
                      <w:szCs w:val="24"/>
                      <w:lang w:val="ro-RO" w:eastAsia="ru-RU"/>
                    </w:rPr>
                  </w:pPr>
                  <w:r w:rsidRPr="00514916">
                    <w:rPr>
                      <w:rFonts w:ascii="Times New Roman" w:hAnsi="Times New Roman"/>
                      <w:i/>
                      <w:iCs/>
                      <w:sz w:val="24"/>
                      <w:szCs w:val="24"/>
                      <w:lang w:val="ro-RO" w:eastAsia="ru-RU"/>
                    </w:rPr>
                    <w:t>a) decizia, pe baza propunerilor Centrului Național de Management al Crizelor, asupra opțiunilor strategice de pregătire sau de răspuns la crize iminente ori manifestate, inclusiv în domeniul comunicării publice;</w:t>
                  </w:r>
                </w:p>
                <w:p w14:paraId="16E99F9B" w14:textId="6A8F8B77" w:rsidR="008F5BA1" w:rsidRPr="00514916" w:rsidRDefault="008F5BA1" w:rsidP="000374B6">
                  <w:pPr>
                    <w:tabs>
                      <w:tab w:val="left" w:pos="1814"/>
                    </w:tabs>
                    <w:autoSpaceDE w:val="0"/>
                    <w:autoSpaceDN w:val="0"/>
                    <w:adjustRightInd w:val="0"/>
                    <w:ind w:firstLine="0"/>
                    <w:rPr>
                      <w:rFonts w:ascii="Times New Roman" w:hAnsi="Times New Roman"/>
                      <w:i/>
                      <w:iCs/>
                      <w:sz w:val="24"/>
                      <w:szCs w:val="24"/>
                      <w:lang w:val="ro-RO" w:eastAsia="ru-RU"/>
                    </w:rPr>
                  </w:pPr>
                  <w:r w:rsidRPr="00514916">
                    <w:rPr>
                      <w:rFonts w:ascii="Times New Roman" w:hAnsi="Times New Roman"/>
                      <w:i/>
                      <w:iCs/>
                      <w:sz w:val="24"/>
                      <w:szCs w:val="24"/>
                      <w:lang w:val="ro-RO" w:eastAsia="ru-RU"/>
                    </w:rPr>
                    <w:t>b) emiterea de decizii obligatorii pentru conducătorii autorităților și instituțiilor publice, operatorii economici și alte entități, precum și pentru persoane, în vederea asigurării coordonării strategice a răspunsului și a procesului de recuperare post-criză.[...]</w:t>
                  </w:r>
                </w:p>
                <w:p w14:paraId="16AEE2D2" w14:textId="6446D6E8" w:rsidR="008F5BA1" w:rsidRPr="00514916" w:rsidRDefault="008F5BA1" w:rsidP="000374B6">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lastRenderedPageBreak/>
                    <w:t>Totodată, conform imperativelor legii, Comisia Națională de Management al Crizelor este prezidată de Prim--ministru și include în componența sa directorul general al Centrului Național de Management al Crizelor, conducătorul operațiilor, miniștri, precum și conducători ai autorităților și instituțiilor publice relevante, în funcție de natura crizei. În context, un alt mecanism de gestionare a crizelor, prevăzut de lege, este Platforma Națională de Răspuns la Crize, care se activează la constatarea unei crize, prin decizia Prim-ministrului, și este compusă din experți desemnați de instituțiile implicate în managementul crizei.</w:t>
                  </w:r>
                </w:p>
                <w:p w14:paraId="567E8A35" w14:textId="77777777" w:rsidR="008F5BA1" w:rsidRPr="00514916" w:rsidRDefault="008F5BA1" w:rsidP="00C25252">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Prin urmare, autorul urmează să coreleze procesul de declanșare a mecanismului propus cu normele primare ale legii, în vederea asigurării corectitudinii și consecvenței deciziilor.</w:t>
                  </w:r>
                </w:p>
                <w:p w14:paraId="6C633A80" w14:textId="797B8A07" w:rsidR="008F5BA1" w:rsidRPr="00514916" w:rsidRDefault="008F5BA1" w:rsidP="00C25252">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Astfel, atribuirea Prim-ministrului a competenței de declanșare a mecanismului de răspuns la criză este necorelată cu cadrul normativ primar, or regimurile speciale prevăzute de lege, starea de alertă, ca regim special de răspuns la o criză, instituită de Guvern, și starea de urgență, ca regim special de răspuns la o criză majoră, instituită de Parlament.</w:t>
                  </w:r>
                </w:p>
                <w:p w14:paraId="112114BC" w14:textId="5D0042CD" w:rsidR="008F5BA1" w:rsidRPr="00514916" w:rsidRDefault="008F5BA1" w:rsidP="00C25252">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Un alt element care necesită a fi analizat concomitent cu propunerea de declanșare a mecanismului național prin decizia Prim-ministrului este norma prevăzută la pct. 63, potrivit căreia mecanismul încetează a fi aplicat, de asemenea, în baza deciziei Prim-ministrului. În acest context, devine neclar atât procesul de declanșare, cât și cel de încetare a mecanismului, precum și natura acestuia ca instrument de răspuns la o criză sau la o criză majoră, în condițiile în care, potrivit cadrului legal existent, astfel de intervenții sunt condiționate de regimurile speciale instituite, starea de alertă și starea de urgență.</w:t>
                  </w:r>
                </w:p>
                <w:p w14:paraId="3E22FFD7" w14:textId="52F3C455" w:rsidR="008F5BA1" w:rsidRPr="00514916" w:rsidRDefault="008F5BA1" w:rsidP="00C25252">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În acest sens, soluția propusă nu asigură o corelare a mecanismelor de gestionare a situațiilor de criză și nu delimitează suficient rolurile și responsabilitățile instituționale, ceea ce poate afecta eficiența intervenției și capacitatea de reacție coordonată a autorităților publice responsabile.</w:t>
                  </w:r>
                </w:p>
                <w:p w14:paraId="61999081" w14:textId="6BF9D26F" w:rsidR="008F5BA1" w:rsidRPr="00514916" w:rsidRDefault="008F5BA1" w:rsidP="00514916">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În ceea ce privește cea de-a doua propoziție de la pct. 10, se recomandă excluderea sau reformularea acesteia, având în vedere analiza descrisă.</w:t>
                  </w:r>
                </w:p>
              </w:tc>
            </w:tr>
            <w:tr w:rsidR="008F5BA1" w:rsidRPr="00514916" w14:paraId="09C3421E" w14:textId="77777777" w:rsidTr="00E2022B">
              <w:tc>
                <w:tcPr>
                  <w:tcW w:w="8846" w:type="dxa"/>
                </w:tcPr>
                <w:p w14:paraId="6A105AAB" w14:textId="77777777" w:rsidR="008F5BA1" w:rsidRPr="00514916" w:rsidRDefault="008F5BA1" w:rsidP="00514916">
                  <w:pPr>
                    <w:tabs>
                      <w:tab w:val="left" w:pos="1814"/>
                    </w:tabs>
                    <w:autoSpaceDE w:val="0"/>
                    <w:autoSpaceDN w:val="0"/>
                    <w:adjustRightInd w:val="0"/>
                    <w:ind w:firstLine="0"/>
                    <w:rPr>
                      <w:rFonts w:ascii="Times New Roman" w:hAnsi="Times New Roman"/>
                      <w:b/>
                      <w:bCs/>
                      <w:sz w:val="24"/>
                      <w:szCs w:val="24"/>
                      <w:lang w:val="ro-RO" w:eastAsia="ru-RU"/>
                    </w:rPr>
                  </w:pPr>
                  <w:r w:rsidRPr="00514916">
                    <w:rPr>
                      <w:rFonts w:ascii="Times New Roman" w:hAnsi="Times New Roman"/>
                      <w:b/>
                      <w:bCs/>
                      <w:sz w:val="24"/>
                      <w:szCs w:val="24"/>
                      <w:lang w:val="ro-RO" w:eastAsia="ru-RU"/>
                    </w:rPr>
                    <w:lastRenderedPageBreak/>
                    <w:t>Recomandări:</w:t>
                  </w:r>
                </w:p>
                <w:p w14:paraId="511D704F" w14:textId="10AA1C8B" w:rsidR="008F5BA1" w:rsidRPr="00514916" w:rsidRDefault="008F5BA1" w:rsidP="00514916">
                  <w:pPr>
                    <w:tabs>
                      <w:tab w:val="left" w:pos="1814"/>
                    </w:tabs>
                    <w:autoSpaceDE w:val="0"/>
                    <w:autoSpaceDN w:val="0"/>
                    <w:adjustRightInd w:val="0"/>
                    <w:ind w:firstLine="0"/>
                    <w:rPr>
                      <w:rFonts w:ascii="Times New Roman" w:hAnsi="Times New Roman"/>
                      <w:sz w:val="24"/>
                      <w:szCs w:val="24"/>
                      <w:lang w:val="ro-RO" w:eastAsia="ru-RU"/>
                    </w:rPr>
                  </w:pPr>
                  <w:r w:rsidRPr="00514916">
                    <w:rPr>
                      <w:rFonts w:ascii="Times New Roman" w:hAnsi="Times New Roman"/>
                      <w:sz w:val="24"/>
                      <w:szCs w:val="24"/>
                      <w:lang w:val="ro-RO" w:eastAsia="ru-RU"/>
                    </w:rPr>
                    <w:t>Reformularea pct. 10 sub aspectul reglementării condițiilor de declanșare a mecanismului național în cazul constatării unui aflux sporit de străini, inclusiv prin examinarea posibilității activării mecanismului prin intermediul Platformei Naționale de Răspuns la Crize, în situația constatării iminenței sau manifestării unei situații de criză.</w:t>
                  </w:r>
                </w:p>
                <w:p w14:paraId="3FADCDF7" w14:textId="044C5F1A" w:rsidR="008F5BA1" w:rsidRPr="00514916" w:rsidRDefault="008F5BA1" w:rsidP="00514916">
                  <w:pPr>
                    <w:tabs>
                      <w:tab w:val="left" w:pos="1814"/>
                    </w:tabs>
                    <w:autoSpaceDE w:val="0"/>
                    <w:autoSpaceDN w:val="0"/>
                    <w:adjustRightInd w:val="0"/>
                    <w:ind w:firstLine="0"/>
                    <w:rPr>
                      <w:rFonts w:ascii="Times New Roman" w:hAnsi="Times New Roman"/>
                      <w:b/>
                      <w:bCs/>
                      <w:sz w:val="24"/>
                      <w:szCs w:val="24"/>
                      <w:lang w:val="ro-RO" w:eastAsia="ru-RU"/>
                    </w:rPr>
                  </w:pPr>
                  <w:r w:rsidRPr="00514916">
                    <w:rPr>
                      <w:rFonts w:ascii="Times New Roman" w:hAnsi="Times New Roman"/>
                      <w:sz w:val="24"/>
                      <w:szCs w:val="24"/>
                      <w:lang w:val="ro-RO" w:eastAsia="ru-RU"/>
                    </w:rPr>
                    <w:t>În cazul în care autorul va reconsidera actul de declanșare a mecanismului în conformitate cu recomandarea formulată, pct. 63 urmează a fi ajustat în mod corespunzător.</w:t>
                  </w:r>
                </w:p>
              </w:tc>
            </w:tr>
          </w:tbl>
          <w:p w14:paraId="18BECF57" w14:textId="77777777" w:rsidR="008F5BA1" w:rsidRPr="00494E92" w:rsidRDefault="008F5BA1" w:rsidP="00494E92">
            <w:pPr>
              <w:tabs>
                <w:tab w:val="left" w:pos="1814"/>
              </w:tabs>
              <w:autoSpaceDE w:val="0"/>
              <w:autoSpaceDN w:val="0"/>
              <w:adjustRightInd w:val="0"/>
              <w:ind w:firstLine="0"/>
              <w:rPr>
                <w:sz w:val="24"/>
                <w:szCs w:val="24"/>
                <w:lang w:val="ro-RO" w:eastAsia="ru-RU"/>
              </w:rPr>
            </w:pPr>
          </w:p>
        </w:tc>
        <w:tc>
          <w:tcPr>
            <w:tcW w:w="3685" w:type="dxa"/>
          </w:tcPr>
          <w:p w14:paraId="6B2509DB" w14:textId="5C24598C" w:rsidR="008F5BA1" w:rsidRPr="00514916" w:rsidRDefault="008F5BA1" w:rsidP="008D1C25">
            <w:pPr>
              <w:pBdr>
                <w:top w:val="none" w:sz="4" w:space="0" w:color="000000"/>
                <w:left w:val="none" w:sz="4" w:space="0" w:color="000000"/>
                <w:bottom w:val="none" w:sz="4" w:space="0" w:color="000000"/>
                <w:right w:val="none" w:sz="4" w:space="0" w:color="000000"/>
              </w:pBdr>
              <w:ind w:firstLine="0"/>
              <w:rPr>
                <w:sz w:val="24"/>
                <w:szCs w:val="24"/>
                <w:lang w:val="ro-RO"/>
              </w:rPr>
            </w:pPr>
            <w:r w:rsidRPr="00514916">
              <w:rPr>
                <w:rFonts w:ascii="Times New Roman" w:hAnsi="Times New Roman"/>
                <w:b/>
                <w:bCs/>
                <w:sz w:val="24"/>
                <w:szCs w:val="24"/>
                <w:lang w:val="ro-RO"/>
              </w:rPr>
              <w:lastRenderedPageBreak/>
              <w:t>Se acceptă parțial.</w:t>
            </w:r>
            <w:r>
              <w:rPr>
                <w:rFonts w:ascii="Times New Roman" w:hAnsi="Times New Roman"/>
                <w:b/>
                <w:bCs/>
                <w:sz w:val="24"/>
                <w:szCs w:val="24"/>
                <w:lang w:val="ro-RO"/>
              </w:rPr>
              <w:t xml:space="preserve"> </w:t>
            </w:r>
            <w:r w:rsidRPr="00514916">
              <w:rPr>
                <w:rFonts w:ascii="Times New Roman" w:hAnsi="Times New Roman"/>
                <w:sz w:val="24"/>
                <w:szCs w:val="24"/>
                <w:lang w:val="ro-RO"/>
              </w:rPr>
              <w:t xml:space="preserve">Pct. 10 și pct. 63 au fost reformulate pentru corelare </w:t>
            </w:r>
            <w:r w:rsidRPr="00514916">
              <w:rPr>
                <w:rFonts w:ascii="Times New Roman" w:hAnsi="Times New Roman"/>
                <w:sz w:val="24"/>
                <w:szCs w:val="24"/>
                <w:lang w:val="ro-RO"/>
              </w:rPr>
              <w:lastRenderedPageBreak/>
              <w:t>cu Legea nr. 248/2025, fiind exclusă referirea la declanșarea/încetarea Mecanismului național printr-o decizie distinctă a Prim-ministrului și precizat că aplicarea acestuia are loc în cadrul sistemului național de management al crizelor, potrivit competențelor și actelor adoptate în condițiile legii.</w:t>
            </w:r>
          </w:p>
        </w:tc>
      </w:tr>
      <w:tr w:rsidR="008F5BA1" w:rsidRPr="007D40FD" w14:paraId="08D34A1B" w14:textId="77777777" w:rsidTr="0006422A">
        <w:trPr>
          <w:trHeight w:val="70"/>
        </w:trPr>
        <w:tc>
          <w:tcPr>
            <w:tcW w:w="2163" w:type="dxa"/>
            <w:vMerge/>
            <w:tcMar>
              <w:top w:w="0" w:type="dxa"/>
              <w:left w:w="108" w:type="dxa"/>
              <w:bottom w:w="0" w:type="dxa"/>
              <w:right w:w="108" w:type="dxa"/>
            </w:tcMar>
          </w:tcPr>
          <w:p w14:paraId="395EDF64" w14:textId="77777777" w:rsidR="008F5BA1" w:rsidRPr="00107595" w:rsidRDefault="008F5BA1"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p>
        </w:tc>
        <w:tc>
          <w:tcPr>
            <w:tcW w:w="531" w:type="dxa"/>
            <w:vMerge/>
            <w:tcMar>
              <w:top w:w="0" w:type="dxa"/>
              <w:left w:w="108" w:type="dxa"/>
              <w:bottom w:w="0" w:type="dxa"/>
              <w:right w:w="108" w:type="dxa"/>
            </w:tcMar>
          </w:tcPr>
          <w:p w14:paraId="07ACCAA3" w14:textId="77777777" w:rsidR="008F5BA1" w:rsidRPr="00107595" w:rsidRDefault="008F5BA1"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p>
        </w:tc>
        <w:tc>
          <w:tcPr>
            <w:tcW w:w="9072" w:type="dxa"/>
          </w:tcPr>
          <w:tbl>
            <w:tblPr>
              <w:tblStyle w:val="afa"/>
              <w:tblW w:w="0" w:type="auto"/>
              <w:tblLayout w:type="fixed"/>
              <w:tblLook w:val="04A0" w:firstRow="1" w:lastRow="0" w:firstColumn="1" w:lastColumn="0" w:noHBand="0" w:noVBand="1"/>
            </w:tblPr>
            <w:tblGrid>
              <w:gridCol w:w="8846"/>
            </w:tblGrid>
            <w:tr w:rsidR="008F5BA1" w14:paraId="1A731E62" w14:textId="77777777" w:rsidTr="00514916">
              <w:tc>
                <w:tcPr>
                  <w:tcW w:w="8846" w:type="dxa"/>
                </w:tcPr>
                <w:p w14:paraId="3ABA5C49" w14:textId="582E397B" w:rsidR="008F5BA1" w:rsidRPr="002F0DCE" w:rsidRDefault="008F5BA1" w:rsidP="002F0DCE">
                  <w:pPr>
                    <w:tabs>
                      <w:tab w:val="left" w:pos="1814"/>
                    </w:tabs>
                    <w:autoSpaceDE w:val="0"/>
                    <w:autoSpaceDN w:val="0"/>
                    <w:adjustRightInd w:val="0"/>
                    <w:ind w:firstLine="0"/>
                    <w:jc w:val="center"/>
                    <w:rPr>
                      <w:rFonts w:ascii="Times New Roman" w:hAnsi="Times New Roman"/>
                      <w:sz w:val="24"/>
                      <w:szCs w:val="24"/>
                      <w:lang w:val="ro-RO" w:eastAsia="ru-RU"/>
                    </w:rPr>
                  </w:pPr>
                  <w:r w:rsidRPr="002F0DCE">
                    <w:rPr>
                      <w:rFonts w:ascii="Times New Roman" w:hAnsi="Times New Roman"/>
                      <w:sz w:val="24"/>
                      <w:szCs w:val="24"/>
                      <w:lang w:val="ro-RO" w:eastAsia="ru-RU"/>
                    </w:rPr>
                    <w:t>2</w:t>
                  </w:r>
                </w:p>
              </w:tc>
            </w:tr>
            <w:tr w:rsidR="008F5BA1" w14:paraId="2C0BCA19" w14:textId="77777777" w:rsidTr="00514916">
              <w:tc>
                <w:tcPr>
                  <w:tcW w:w="8846" w:type="dxa"/>
                </w:tcPr>
                <w:p w14:paraId="4D61627A" w14:textId="700369CE" w:rsidR="008F5BA1" w:rsidRPr="002F0DCE" w:rsidRDefault="008F5BA1" w:rsidP="0025510F">
                  <w:pPr>
                    <w:tabs>
                      <w:tab w:val="left" w:pos="1814"/>
                    </w:tabs>
                    <w:autoSpaceDE w:val="0"/>
                    <w:autoSpaceDN w:val="0"/>
                    <w:adjustRightInd w:val="0"/>
                    <w:ind w:firstLine="0"/>
                    <w:rPr>
                      <w:rFonts w:ascii="Times New Roman" w:hAnsi="Times New Roman"/>
                      <w:b/>
                      <w:bCs/>
                      <w:color w:val="1F497D" w:themeColor="text2"/>
                      <w:sz w:val="24"/>
                      <w:szCs w:val="24"/>
                      <w:lang w:val="ro-RO" w:eastAsia="ru-RU"/>
                    </w:rPr>
                  </w:pPr>
                  <w:r w:rsidRPr="002F0DCE">
                    <w:rPr>
                      <w:rFonts w:ascii="Times New Roman" w:hAnsi="Times New Roman"/>
                      <w:b/>
                      <w:bCs/>
                      <w:color w:val="1F497D" w:themeColor="text2"/>
                      <w:sz w:val="24"/>
                      <w:szCs w:val="24"/>
                      <w:lang w:val="ro-RO" w:eastAsia="ru-RU"/>
                    </w:rPr>
                    <w:t>Obiecție generală</w:t>
                  </w:r>
                </w:p>
              </w:tc>
            </w:tr>
            <w:tr w:rsidR="008F5BA1" w14:paraId="63B57DBA" w14:textId="77777777" w:rsidTr="00514916">
              <w:tc>
                <w:tcPr>
                  <w:tcW w:w="8846" w:type="dxa"/>
                </w:tcPr>
                <w:p w14:paraId="63F04953" w14:textId="77777777" w:rsidR="008F5BA1" w:rsidRPr="002F0DCE" w:rsidRDefault="008F5BA1" w:rsidP="002F0DCE">
                  <w:pPr>
                    <w:tabs>
                      <w:tab w:val="left" w:pos="1814"/>
                    </w:tabs>
                    <w:autoSpaceDE w:val="0"/>
                    <w:autoSpaceDN w:val="0"/>
                    <w:adjustRightInd w:val="0"/>
                    <w:ind w:firstLine="0"/>
                    <w:rPr>
                      <w:rFonts w:ascii="Times New Roman" w:hAnsi="Times New Roman"/>
                      <w:b/>
                      <w:bCs/>
                      <w:sz w:val="24"/>
                      <w:szCs w:val="24"/>
                      <w:lang w:val="ro-RO" w:eastAsia="ru-RU"/>
                    </w:rPr>
                  </w:pPr>
                  <w:r w:rsidRPr="002F0DCE">
                    <w:rPr>
                      <w:rFonts w:ascii="Times New Roman" w:hAnsi="Times New Roman"/>
                      <w:b/>
                      <w:bCs/>
                      <w:sz w:val="24"/>
                      <w:szCs w:val="24"/>
                      <w:lang w:val="ro-RO" w:eastAsia="ru-RU"/>
                    </w:rPr>
                    <w:t>Obiecții:</w:t>
                  </w:r>
                </w:p>
                <w:p w14:paraId="1439D8BC" w14:textId="77777777" w:rsidR="008F5BA1" w:rsidRPr="002F0DCE" w:rsidRDefault="008F5BA1" w:rsidP="002F0DCE">
                  <w:pPr>
                    <w:tabs>
                      <w:tab w:val="left" w:pos="1814"/>
                    </w:tabs>
                    <w:autoSpaceDE w:val="0"/>
                    <w:autoSpaceDN w:val="0"/>
                    <w:adjustRightInd w:val="0"/>
                    <w:ind w:firstLine="0"/>
                    <w:rPr>
                      <w:rFonts w:ascii="Times New Roman" w:hAnsi="Times New Roman"/>
                      <w:sz w:val="24"/>
                      <w:szCs w:val="24"/>
                      <w:lang w:val="ro-RO" w:eastAsia="ru-RU"/>
                    </w:rPr>
                  </w:pPr>
                  <w:r w:rsidRPr="002F0DCE">
                    <w:rPr>
                      <w:rFonts w:ascii="Times New Roman" w:hAnsi="Times New Roman"/>
                      <w:sz w:val="24"/>
                      <w:szCs w:val="24"/>
                      <w:lang w:val="ro-RO" w:eastAsia="ru-RU"/>
                    </w:rPr>
                    <w:t>Potrivit notei de fundamentare, mecanismul propus reprezintă un instrument de guvernanță a situațiilor de criză generate de un aflux sporit de străini, care valorifică resursele statului și ale partenerilor în vederea asigurării unui răspuns umanitar și de securitate multidimensional, centrat pe protejarea interesului public și a drepturilor fundamentale ale omului.</w:t>
                  </w:r>
                </w:p>
                <w:p w14:paraId="0A3C6723" w14:textId="77777777" w:rsidR="008F5BA1" w:rsidRPr="002F0DCE" w:rsidRDefault="008F5BA1" w:rsidP="002F0DCE">
                  <w:pPr>
                    <w:tabs>
                      <w:tab w:val="left" w:pos="1814"/>
                    </w:tabs>
                    <w:autoSpaceDE w:val="0"/>
                    <w:autoSpaceDN w:val="0"/>
                    <w:adjustRightInd w:val="0"/>
                    <w:ind w:firstLine="0"/>
                    <w:rPr>
                      <w:rFonts w:ascii="Times New Roman" w:hAnsi="Times New Roman"/>
                      <w:sz w:val="24"/>
                      <w:szCs w:val="24"/>
                      <w:lang w:val="ro-RO" w:eastAsia="ru-RU"/>
                    </w:rPr>
                  </w:pPr>
                  <w:r w:rsidRPr="002F0DCE">
                    <w:rPr>
                      <w:rFonts w:ascii="Times New Roman" w:hAnsi="Times New Roman"/>
                      <w:sz w:val="24"/>
                      <w:szCs w:val="24"/>
                      <w:lang w:val="ro-RO" w:eastAsia="ru-RU"/>
                    </w:rPr>
                    <w:t>Astfel, Capitolul I „Dispoziții generale” din Mecanismul național de gestionare unitară și coerentă a situației în cazul unui aflux sporit de străini este reglementat în contextul geopolitic actual la nivel regional și global, inclusiv în contextul declanșării conflictului armat din Ucraina.</w:t>
                  </w:r>
                </w:p>
                <w:p w14:paraId="4A4D5E17" w14:textId="77777777" w:rsidR="008F5BA1" w:rsidRPr="002F0DCE" w:rsidRDefault="008F5BA1" w:rsidP="002F0DCE">
                  <w:pPr>
                    <w:tabs>
                      <w:tab w:val="left" w:pos="1814"/>
                    </w:tabs>
                    <w:autoSpaceDE w:val="0"/>
                    <w:autoSpaceDN w:val="0"/>
                    <w:adjustRightInd w:val="0"/>
                    <w:ind w:firstLine="0"/>
                    <w:rPr>
                      <w:rFonts w:ascii="Times New Roman" w:hAnsi="Times New Roman"/>
                      <w:sz w:val="24"/>
                      <w:szCs w:val="24"/>
                      <w:lang w:val="ro-RO" w:eastAsia="ru-RU"/>
                    </w:rPr>
                  </w:pPr>
                  <w:r w:rsidRPr="002F0DCE">
                    <w:rPr>
                      <w:rFonts w:ascii="Times New Roman" w:hAnsi="Times New Roman"/>
                      <w:sz w:val="24"/>
                      <w:szCs w:val="24"/>
                      <w:lang w:val="ro-RO" w:eastAsia="ru-RU"/>
                    </w:rPr>
                    <w:t>Însă, în Capitolul IV, autorul reglementează scenariul privind profilul persoanelor refugiate, care este preponderent axat pe analiza refugiaților din Ucraina, ceea ce poate crea impresia unei limitări a aplicabilității mecanismului la o anumită categorie de străini, în detrimentul unei abordări generale aplicabile tuturor situațiilor de aflux sporit.</w:t>
                  </w:r>
                </w:p>
                <w:p w14:paraId="151F70EC" w14:textId="77777777" w:rsidR="008F5BA1" w:rsidRPr="002F0DCE" w:rsidRDefault="008F5BA1" w:rsidP="002F0DCE">
                  <w:pPr>
                    <w:tabs>
                      <w:tab w:val="left" w:pos="1814"/>
                    </w:tabs>
                    <w:autoSpaceDE w:val="0"/>
                    <w:autoSpaceDN w:val="0"/>
                    <w:adjustRightInd w:val="0"/>
                    <w:ind w:firstLine="0"/>
                    <w:rPr>
                      <w:rFonts w:ascii="Times New Roman" w:hAnsi="Times New Roman"/>
                      <w:sz w:val="24"/>
                      <w:szCs w:val="24"/>
                      <w:lang w:val="ro-RO" w:eastAsia="ru-RU"/>
                    </w:rPr>
                  </w:pPr>
                  <w:r w:rsidRPr="002F0DCE">
                    <w:rPr>
                      <w:rFonts w:ascii="Times New Roman" w:hAnsi="Times New Roman"/>
                      <w:sz w:val="24"/>
                      <w:szCs w:val="24"/>
                      <w:lang w:val="ro-RO" w:eastAsia="ru-RU"/>
                    </w:rPr>
                    <w:t>În acest sens, se constată că mecanismul supus abrogării nu este axat pe o anumită categorie de persoane, precum cetățenii ucraineni, ci abordează în mod general situațiile care pot genera un aflux sporit de străini, precum: contextul generat de crize umanitare, lipsa unui control efectiv asupra fluxurilor migraționale din raioanele de est ale țării, conflictele armate existente pe plan internațional, afluxul brusc de străini sau de persoane care necesită protecție internațională, apariția sau declanșarea unor noi situații umanitare ori conflicte în regiune, alte situații susceptibile de a genera un aflux masiv de străini. Prin urmare, se constată că mecanismul în vigoare are un caracter general, în timp ce mecanismul propus spre expertizare este orientat, în mod specific, asupra străinilor veniți din Ucraina.</w:t>
                  </w:r>
                </w:p>
                <w:p w14:paraId="723BDC08" w14:textId="77777777" w:rsidR="008F5BA1" w:rsidRPr="002F0DCE" w:rsidRDefault="008F5BA1" w:rsidP="002F0DCE">
                  <w:pPr>
                    <w:tabs>
                      <w:tab w:val="left" w:pos="1814"/>
                    </w:tabs>
                    <w:autoSpaceDE w:val="0"/>
                    <w:autoSpaceDN w:val="0"/>
                    <w:adjustRightInd w:val="0"/>
                    <w:ind w:firstLine="0"/>
                    <w:rPr>
                      <w:rFonts w:ascii="Times New Roman" w:hAnsi="Times New Roman"/>
                      <w:sz w:val="24"/>
                      <w:szCs w:val="24"/>
                      <w:lang w:val="ro-RO" w:eastAsia="ru-RU"/>
                    </w:rPr>
                  </w:pPr>
                  <w:r w:rsidRPr="002F0DCE">
                    <w:rPr>
                      <w:rFonts w:ascii="Times New Roman" w:hAnsi="Times New Roman"/>
                      <w:sz w:val="24"/>
                      <w:szCs w:val="24"/>
                      <w:lang w:val="ro-RO" w:eastAsia="ru-RU"/>
                    </w:rPr>
                    <w:t xml:space="preserve">Un alt aspect care urmează a fi avut în vedere de către autor îl constituie enumerarea autorităților responsabile prevăzute în Planul de contingență al acțiunilor de răspuns pe sectoare de intervenție, în special atribuirea activităților executive ( de ex. coordonarea procesului de sprijin a familiilor cetățenilor RM care găzduiesc persoane strămutate (refugiate), transparentizarea cheltuielilor și a utilizării ajutoarelor umanitare destinate persoanelor strămutate, implementarea deciziilor autorităților competente) în sarcina Comisiei Naționale de Management al Crizelor, care potrivit Legii privind managementul situațiilor de criză nr. 248/2025, are rolul de definire a efectelor strategice ce se doresc a fi obținute ca urmare a răspunsului la criză și a recuperării după criză, de asigurare a deciziei la nivel strategic a autorităților și instituțiilor publice responsabile de răspunsul la criză și </w:t>
                  </w:r>
                  <w:r w:rsidRPr="002F0DCE">
                    <w:rPr>
                      <w:rFonts w:ascii="Times New Roman" w:hAnsi="Times New Roman"/>
                      <w:sz w:val="24"/>
                      <w:szCs w:val="24"/>
                      <w:lang w:val="ro-RO" w:eastAsia="ru-RU"/>
                    </w:rPr>
                    <w:lastRenderedPageBreak/>
                    <w:t>de recuperarea după criză, precum și de adoptarea deciziilor cu caracter excepțional necesare pentru a răspunde la crize.</w:t>
                  </w:r>
                </w:p>
                <w:p w14:paraId="7D7517FD" w14:textId="77777777" w:rsidR="008F5BA1" w:rsidRPr="002F0DCE" w:rsidRDefault="008F5BA1" w:rsidP="002F0DCE">
                  <w:pPr>
                    <w:tabs>
                      <w:tab w:val="left" w:pos="1814"/>
                    </w:tabs>
                    <w:autoSpaceDE w:val="0"/>
                    <w:autoSpaceDN w:val="0"/>
                    <w:adjustRightInd w:val="0"/>
                    <w:ind w:firstLine="0"/>
                    <w:rPr>
                      <w:rFonts w:ascii="Times New Roman" w:hAnsi="Times New Roman"/>
                      <w:sz w:val="24"/>
                      <w:szCs w:val="24"/>
                      <w:lang w:val="ro-RO" w:eastAsia="ru-RU"/>
                    </w:rPr>
                  </w:pPr>
                  <w:r w:rsidRPr="002F0DCE">
                    <w:rPr>
                      <w:rFonts w:ascii="Times New Roman" w:hAnsi="Times New Roman"/>
                      <w:sz w:val="24"/>
                      <w:szCs w:val="24"/>
                      <w:lang w:val="ro-RO" w:eastAsia="ru-RU"/>
                    </w:rPr>
                    <w:t>Suplimentar, autorul menționează la pct. 23 că, în cazul crizei generate de un aflux sporit de străini, instituția responsabilă de conducerea operațiilor la nivel național, prin conducătorul operațiilor, este Ministerul Afacerilor Interne.</w:t>
                  </w:r>
                </w:p>
                <w:p w14:paraId="5B54EA83" w14:textId="10263322" w:rsidR="008F5BA1" w:rsidRPr="002F0DCE" w:rsidRDefault="008F5BA1" w:rsidP="002F0DCE">
                  <w:pPr>
                    <w:tabs>
                      <w:tab w:val="left" w:pos="1814"/>
                    </w:tabs>
                    <w:autoSpaceDE w:val="0"/>
                    <w:autoSpaceDN w:val="0"/>
                    <w:adjustRightInd w:val="0"/>
                    <w:ind w:firstLine="0"/>
                    <w:rPr>
                      <w:rFonts w:ascii="Times New Roman" w:hAnsi="Times New Roman"/>
                      <w:sz w:val="24"/>
                      <w:szCs w:val="24"/>
                      <w:lang w:val="ro-RO" w:eastAsia="ru-RU"/>
                    </w:rPr>
                  </w:pPr>
                  <w:r w:rsidRPr="002F0DCE">
                    <w:rPr>
                      <w:rFonts w:ascii="Times New Roman" w:hAnsi="Times New Roman"/>
                      <w:sz w:val="24"/>
                      <w:szCs w:val="24"/>
                      <w:lang w:val="ro-RO" w:eastAsia="ru-RU"/>
                    </w:rPr>
                    <w:t>Prin urmare, autorul urmează să examineze suplimentar atribuțiile conferite autorităților în planul de contingență.</w:t>
                  </w:r>
                </w:p>
              </w:tc>
            </w:tr>
            <w:tr w:rsidR="008F5BA1" w14:paraId="1119E5CF" w14:textId="77777777" w:rsidTr="00514916">
              <w:tc>
                <w:tcPr>
                  <w:tcW w:w="8846" w:type="dxa"/>
                </w:tcPr>
                <w:p w14:paraId="2DD1AE2C" w14:textId="77777777" w:rsidR="008F5BA1" w:rsidRPr="002F0DCE" w:rsidRDefault="008F5BA1" w:rsidP="002F0DCE">
                  <w:pPr>
                    <w:tabs>
                      <w:tab w:val="left" w:pos="1814"/>
                    </w:tabs>
                    <w:autoSpaceDE w:val="0"/>
                    <w:autoSpaceDN w:val="0"/>
                    <w:adjustRightInd w:val="0"/>
                    <w:ind w:firstLine="0"/>
                    <w:rPr>
                      <w:rFonts w:ascii="Times New Roman" w:hAnsi="Times New Roman"/>
                      <w:b/>
                      <w:bCs/>
                      <w:sz w:val="24"/>
                      <w:szCs w:val="24"/>
                      <w:lang w:val="ro-RO" w:eastAsia="ru-RU"/>
                    </w:rPr>
                  </w:pPr>
                  <w:r w:rsidRPr="002F0DCE">
                    <w:rPr>
                      <w:rFonts w:ascii="Times New Roman" w:hAnsi="Times New Roman"/>
                      <w:b/>
                      <w:bCs/>
                      <w:sz w:val="24"/>
                      <w:szCs w:val="24"/>
                      <w:lang w:val="ro-RO" w:eastAsia="ru-RU"/>
                    </w:rPr>
                    <w:lastRenderedPageBreak/>
                    <w:t>Recomandări:</w:t>
                  </w:r>
                </w:p>
                <w:p w14:paraId="6013A1E7" w14:textId="77777777" w:rsidR="008F5BA1" w:rsidRPr="002F0DCE" w:rsidRDefault="008F5BA1" w:rsidP="002F0DCE">
                  <w:pPr>
                    <w:tabs>
                      <w:tab w:val="left" w:pos="1814"/>
                    </w:tabs>
                    <w:autoSpaceDE w:val="0"/>
                    <w:autoSpaceDN w:val="0"/>
                    <w:adjustRightInd w:val="0"/>
                    <w:ind w:firstLine="0"/>
                    <w:rPr>
                      <w:rFonts w:ascii="Times New Roman" w:hAnsi="Times New Roman"/>
                      <w:sz w:val="24"/>
                      <w:szCs w:val="24"/>
                      <w:lang w:val="ro-RO" w:eastAsia="ru-RU"/>
                    </w:rPr>
                  </w:pPr>
                  <w:r w:rsidRPr="002F0DCE">
                    <w:rPr>
                      <w:rFonts w:ascii="Times New Roman" w:hAnsi="Times New Roman"/>
                      <w:sz w:val="24"/>
                      <w:szCs w:val="24"/>
                      <w:lang w:val="ro-RO" w:eastAsia="ru-RU"/>
                    </w:rPr>
                    <w:t>Examinarea suplimentară a Capitolului III din mecanism, sub aspectul indicatorilor de declanșare a mecanismului.</w:t>
                  </w:r>
                </w:p>
                <w:p w14:paraId="44A5361E" w14:textId="6C37058A" w:rsidR="008F5BA1" w:rsidRPr="002F0DCE" w:rsidRDefault="008F5BA1" w:rsidP="002F0DCE">
                  <w:pPr>
                    <w:tabs>
                      <w:tab w:val="left" w:pos="1814"/>
                    </w:tabs>
                    <w:autoSpaceDE w:val="0"/>
                    <w:autoSpaceDN w:val="0"/>
                    <w:adjustRightInd w:val="0"/>
                    <w:ind w:firstLine="0"/>
                    <w:rPr>
                      <w:rFonts w:ascii="Times New Roman" w:hAnsi="Times New Roman"/>
                      <w:sz w:val="24"/>
                      <w:szCs w:val="24"/>
                      <w:lang w:val="ro-RO" w:eastAsia="ru-RU"/>
                    </w:rPr>
                  </w:pPr>
                  <w:r w:rsidRPr="002F0DCE">
                    <w:rPr>
                      <w:rFonts w:ascii="Times New Roman" w:hAnsi="Times New Roman"/>
                      <w:sz w:val="24"/>
                      <w:szCs w:val="24"/>
                      <w:lang w:val="ro-RO" w:eastAsia="ru-RU"/>
                    </w:rPr>
                    <w:t>Reconsiderarea competențelor atribuite entităților în planul de contingență privind acțiunile de răspuns pe sectoare de intervenție.</w:t>
                  </w:r>
                </w:p>
              </w:tc>
            </w:tr>
          </w:tbl>
          <w:p w14:paraId="0AE67163" w14:textId="77777777" w:rsidR="008F5BA1" w:rsidRPr="00107595" w:rsidRDefault="008F5BA1" w:rsidP="0025510F">
            <w:pPr>
              <w:tabs>
                <w:tab w:val="left" w:pos="1814"/>
              </w:tabs>
              <w:autoSpaceDE w:val="0"/>
              <w:autoSpaceDN w:val="0"/>
              <w:adjustRightInd w:val="0"/>
              <w:ind w:firstLine="0"/>
              <w:rPr>
                <w:rFonts w:ascii="Times New Roman" w:hAnsi="Times New Roman"/>
                <w:sz w:val="24"/>
                <w:szCs w:val="24"/>
                <w:lang w:val="ro-RO" w:eastAsia="ru-RU"/>
              </w:rPr>
            </w:pPr>
          </w:p>
        </w:tc>
        <w:tc>
          <w:tcPr>
            <w:tcW w:w="3685" w:type="dxa"/>
          </w:tcPr>
          <w:p w14:paraId="42883E11" w14:textId="517909DD" w:rsidR="008F5BA1" w:rsidRPr="003E1C14"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E1C14">
              <w:rPr>
                <w:rFonts w:ascii="Times New Roman" w:hAnsi="Times New Roman"/>
                <w:b/>
                <w:bCs/>
                <w:sz w:val="24"/>
                <w:szCs w:val="24"/>
                <w:lang w:val="ro-RO"/>
              </w:rPr>
              <w:lastRenderedPageBreak/>
              <w:t>Se acceptă parțial.</w:t>
            </w:r>
            <w:r>
              <w:rPr>
                <w:rFonts w:ascii="Times New Roman" w:hAnsi="Times New Roman"/>
                <w:b/>
                <w:bCs/>
                <w:sz w:val="24"/>
                <w:szCs w:val="24"/>
                <w:lang w:val="ro-RO"/>
              </w:rPr>
              <w:t xml:space="preserve"> </w:t>
            </w:r>
            <w:r w:rsidRPr="003E1C14">
              <w:rPr>
                <w:rFonts w:ascii="Times New Roman" w:hAnsi="Times New Roman"/>
                <w:sz w:val="24"/>
                <w:szCs w:val="24"/>
                <w:lang w:val="ro-RO"/>
              </w:rPr>
              <w:t>Capitolul IV a fost ajustat în vederea asigurării caracterului general al Mecanismului național, prin reformularea profilului persoanelor vizate, astfel încât acesta să acopere toate situațiile de aflux sporit de străini, cu menținerea referințelor la contextul actual ca exemplu.</w:t>
            </w:r>
          </w:p>
          <w:p w14:paraId="7FC1E771" w14:textId="77777777" w:rsidR="008F5BA1" w:rsidRPr="003E1C14"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CD8CF03" w14:textId="6C2D0A28" w:rsidR="008F5BA1" w:rsidRPr="003E1C14"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E1C14">
              <w:rPr>
                <w:rFonts w:ascii="Times New Roman" w:hAnsi="Times New Roman"/>
                <w:sz w:val="24"/>
                <w:szCs w:val="24"/>
                <w:lang w:val="ro-RO"/>
              </w:rPr>
              <w:t>Totodată, competențele autorităților prevăzute în Planul de contingență au fost revizuite pentru delimitarea clară între nivelul strategic și cel operațional, în conformitate cu prevederile Legii nr. 248/2025</w:t>
            </w:r>
            <w:r>
              <w:rPr>
                <w:rFonts w:ascii="Times New Roman" w:hAnsi="Times New Roman"/>
                <w:sz w:val="24"/>
                <w:szCs w:val="24"/>
                <w:lang w:val="ro-RO"/>
              </w:rPr>
              <w:t xml:space="preserve"> privind managementul situațiilor de criză</w:t>
            </w:r>
            <w:r w:rsidRPr="003E1C14">
              <w:rPr>
                <w:rFonts w:ascii="Times New Roman" w:hAnsi="Times New Roman"/>
                <w:sz w:val="24"/>
                <w:szCs w:val="24"/>
                <w:lang w:val="ro-RO"/>
              </w:rPr>
              <w:t>, fiind excluse atribuțiile cu caracter executiv din competența Comisiei Naționale de Management al Crizelor și repartizate autorităților responsabile de implementare.</w:t>
            </w:r>
          </w:p>
          <w:p w14:paraId="348A94C3" w14:textId="77777777" w:rsidR="008F5BA1" w:rsidRPr="003E1C14"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45988FD9" w14:textId="4379BB2E" w:rsidR="008F5BA1" w:rsidRPr="00107595"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3E1C14">
              <w:rPr>
                <w:rFonts w:ascii="Times New Roman" w:hAnsi="Times New Roman"/>
                <w:sz w:val="24"/>
                <w:szCs w:val="24"/>
                <w:lang w:val="ro-RO"/>
              </w:rPr>
              <w:t>Indicatorii de declanșare au fost precizați ca având caracter orientativ, în corelare cu procedurile prevăzute de legislația privind managementul situațiilor de criză.</w:t>
            </w:r>
          </w:p>
        </w:tc>
      </w:tr>
      <w:tr w:rsidR="008F5BA1" w:rsidRPr="007D40FD" w14:paraId="0818FC53" w14:textId="77777777" w:rsidTr="0006422A">
        <w:trPr>
          <w:trHeight w:val="70"/>
        </w:trPr>
        <w:tc>
          <w:tcPr>
            <w:tcW w:w="2163" w:type="dxa"/>
            <w:vMerge w:val="restart"/>
            <w:tcMar>
              <w:top w:w="0" w:type="dxa"/>
              <w:left w:w="108" w:type="dxa"/>
              <w:bottom w:w="0" w:type="dxa"/>
              <w:right w:w="108" w:type="dxa"/>
            </w:tcMar>
          </w:tcPr>
          <w:p w14:paraId="07FB4D92" w14:textId="2F7F05A5" w:rsidR="008F5BA1" w:rsidRPr="00F47EB4" w:rsidRDefault="008F5BA1"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r w:rsidRPr="00F47EB4">
              <w:rPr>
                <w:rFonts w:ascii="Times New Roman" w:hAnsi="Times New Roman"/>
                <w:b/>
                <w:sz w:val="24"/>
                <w:szCs w:val="24"/>
                <w:lang w:val="ro-RO"/>
              </w:rPr>
              <w:lastRenderedPageBreak/>
              <w:t>Ministerul Justiției (aviz nr.04/1-3876 din 8 aprilie 2026)</w:t>
            </w:r>
          </w:p>
        </w:tc>
        <w:tc>
          <w:tcPr>
            <w:tcW w:w="531" w:type="dxa"/>
            <w:vMerge w:val="restart"/>
            <w:tcMar>
              <w:top w:w="0" w:type="dxa"/>
              <w:left w:w="108" w:type="dxa"/>
              <w:bottom w:w="0" w:type="dxa"/>
              <w:right w:w="108" w:type="dxa"/>
            </w:tcMar>
          </w:tcPr>
          <w:p w14:paraId="4EDB868C" w14:textId="58609BD4"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r w:rsidRPr="00F47EB4">
              <w:rPr>
                <w:rFonts w:ascii="Times New Roman" w:hAnsi="Times New Roman"/>
                <w:bCs/>
                <w:sz w:val="24"/>
                <w:szCs w:val="24"/>
                <w:lang w:val="ro-RO"/>
              </w:rPr>
              <w:t>1</w:t>
            </w:r>
            <w:r>
              <w:rPr>
                <w:rFonts w:ascii="Times New Roman" w:hAnsi="Times New Roman"/>
                <w:bCs/>
                <w:sz w:val="24"/>
                <w:szCs w:val="24"/>
                <w:lang w:val="ro-RO"/>
              </w:rPr>
              <w:t>6</w:t>
            </w:r>
          </w:p>
        </w:tc>
        <w:tc>
          <w:tcPr>
            <w:tcW w:w="9072" w:type="dxa"/>
          </w:tcPr>
          <w:p w14:paraId="4CA25CCD" w14:textId="77777777" w:rsidR="008F5BA1" w:rsidRPr="00F47EB4" w:rsidRDefault="008F5BA1" w:rsidP="008F3738">
            <w:pPr>
              <w:tabs>
                <w:tab w:val="left" w:pos="187"/>
                <w:tab w:val="left" w:pos="1814"/>
              </w:tabs>
              <w:autoSpaceDE w:val="0"/>
              <w:autoSpaceDN w:val="0"/>
              <w:adjustRightInd w:val="0"/>
              <w:ind w:firstLine="0"/>
              <w:rPr>
                <w:rFonts w:ascii="Times New Roman" w:hAnsi="Times New Roman"/>
                <w:sz w:val="24"/>
                <w:szCs w:val="24"/>
                <w:lang w:val="ro-RO" w:eastAsia="ru-RU"/>
              </w:rPr>
            </w:pPr>
            <w:r w:rsidRPr="00F47EB4">
              <w:rPr>
                <w:rFonts w:ascii="Times New Roman" w:hAnsi="Times New Roman"/>
                <w:sz w:val="24"/>
                <w:szCs w:val="24"/>
                <w:lang w:val="ro-RO" w:eastAsia="ru-RU"/>
              </w:rPr>
              <w:t>În contextul examinării proiectului, la definitivarea acestuia se vor lua în considerare următoarele obiecții și recomandări:</w:t>
            </w:r>
          </w:p>
          <w:p w14:paraId="7AF7E7B1" w14:textId="77777777" w:rsidR="008F5BA1" w:rsidRPr="00F47EB4" w:rsidRDefault="008F5BA1" w:rsidP="008F3738">
            <w:pPr>
              <w:tabs>
                <w:tab w:val="left" w:pos="187"/>
                <w:tab w:val="left" w:pos="1814"/>
              </w:tabs>
              <w:autoSpaceDE w:val="0"/>
              <w:autoSpaceDN w:val="0"/>
              <w:adjustRightInd w:val="0"/>
              <w:ind w:firstLine="0"/>
              <w:rPr>
                <w:rFonts w:ascii="Times New Roman" w:hAnsi="Times New Roman"/>
                <w:sz w:val="24"/>
                <w:szCs w:val="24"/>
                <w:lang w:val="ro-RO" w:eastAsia="ru-RU"/>
              </w:rPr>
            </w:pPr>
            <w:r w:rsidRPr="00F47EB4">
              <w:rPr>
                <w:rFonts w:ascii="Times New Roman" w:hAnsi="Times New Roman"/>
                <w:sz w:val="24"/>
                <w:szCs w:val="24"/>
                <w:lang w:val="ro-RO" w:eastAsia="ru-RU"/>
              </w:rPr>
              <w:t>La proiectul hotărârii, în cuprinsul clauzei de adoptare, textul „art. 9 alin. (1)” se va substitui cu textul „art. 9 alin. (2)”. Totodată, cuvintele „și completările” se vor exclude, întrucât modificările unui act normativ presupun și completările acestuia.</w:t>
            </w:r>
          </w:p>
          <w:p w14:paraId="56C57EA7" w14:textId="277FC49F" w:rsidR="008F5BA1" w:rsidRPr="00F47EB4" w:rsidRDefault="008F5BA1" w:rsidP="008F3738">
            <w:pPr>
              <w:tabs>
                <w:tab w:val="left" w:pos="187"/>
                <w:tab w:val="left" w:pos="1814"/>
              </w:tabs>
              <w:autoSpaceDE w:val="0"/>
              <w:autoSpaceDN w:val="0"/>
              <w:adjustRightInd w:val="0"/>
              <w:ind w:firstLine="0"/>
              <w:rPr>
                <w:rFonts w:ascii="Times New Roman" w:hAnsi="Times New Roman"/>
                <w:sz w:val="24"/>
                <w:szCs w:val="24"/>
                <w:lang w:val="ro-RO" w:eastAsia="ru-RU"/>
              </w:rPr>
            </w:pPr>
            <w:r w:rsidRPr="00F47EB4">
              <w:rPr>
                <w:rFonts w:ascii="Times New Roman" w:hAnsi="Times New Roman"/>
                <w:sz w:val="24"/>
                <w:szCs w:val="24"/>
                <w:lang w:val="ro-RO" w:eastAsia="ru-RU"/>
              </w:rPr>
              <w:t>Adițional, la pct. 3, nu se recomandă utilizarea acronimului „etc.”, având în vedere riscul interpretării extensive a normei.</w:t>
            </w:r>
          </w:p>
        </w:tc>
        <w:tc>
          <w:tcPr>
            <w:tcW w:w="3685" w:type="dxa"/>
          </w:tcPr>
          <w:p w14:paraId="7198A5AE" w14:textId="69531549" w:rsidR="008F5BA1" w:rsidRPr="00F47EB4"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47EB4">
              <w:rPr>
                <w:rFonts w:ascii="Times New Roman" w:hAnsi="Times New Roman"/>
                <w:b/>
                <w:bCs/>
                <w:sz w:val="24"/>
                <w:szCs w:val="24"/>
                <w:lang w:val="ro-RO"/>
              </w:rPr>
              <w:t xml:space="preserve">Se acceptă. </w:t>
            </w:r>
            <w:r w:rsidRPr="00F47EB4">
              <w:rPr>
                <w:rFonts w:ascii="Times New Roman" w:hAnsi="Times New Roman"/>
                <w:sz w:val="24"/>
                <w:szCs w:val="24"/>
                <w:lang w:val="ro-RO"/>
              </w:rPr>
              <w:t>Textul a fost revizuit prin excluderea acronimului „etc.” și substituirea acestuia cu o enumerare clară și previzibilă a categoriilor de bunuri, în conformitate cu rigorile de tehnică legislativă.</w:t>
            </w:r>
          </w:p>
        </w:tc>
      </w:tr>
      <w:tr w:rsidR="008F5BA1" w:rsidRPr="007D40FD" w14:paraId="2EF197E7" w14:textId="77777777" w:rsidTr="0006422A">
        <w:trPr>
          <w:trHeight w:val="70"/>
        </w:trPr>
        <w:tc>
          <w:tcPr>
            <w:tcW w:w="2163" w:type="dxa"/>
            <w:vMerge/>
            <w:tcMar>
              <w:top w:w="0" w:type="dxa"/>
              <w:left w:w="108" w:type="dxa"/>
              <w:bottom w:w="0" w:type="dxa"/>
              <w:right w:w="108" w:type="dxa"/>
            </w:tcMar>
          </w:tcPr>
          <w:p w14:paraId="7A8C9203"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rFonts w:ascii="Times New Roman" w:hAnsi="Times New Roman"/>
                <w:b/>
                <w:sz w:val="24"/>
                <w:szCs w:val="24"/>
                <w:lang w:val="ro-RO"/>
              </w:rPr>
            </w:pPr>
          </w:p>
        </w:tc>
        <w:tc>
          <w:tcPr>
            <w:tcW w:w="531" w:type="dxa"/>
            <w:vMerge/>
            <w:tcMar>
              <w:top w:w="0" w:type="dxa"/>
              <w:left w:w="108" w:type="dxa"/>
              <w:bottom w:w="0" w:type="dxa"/>
              <w:right w:w="108" w:type="dxa"/>
            </w:tcMar>
          </w:tcPr>
          <w:p w14:paraId="7DCA7472"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rFonts w:ascii="Times New Roman" w:hAnsi="Times New Roman"/>
                <w:bCs/>
                <w:sz w:val="24"/>
                <w:szCs w:val="24"/>
                <w:lang w:val="ro-RO"/>
              </w:rPr>
            </w:pPr>
          </w:p>
        </w:tc>
        <w:tc>
          <w:tcPr>
            <w:tcW w:w="9072" w:type="dxa"/>
          </w:tcPr>
          <w:p w14:paraId="5AE24741" w14:textId="0C62E7CC" w:rsidR="008F5BA1" w:rsidRPr="00F47EB4" w:rsidRDefault="008F5BA1" w:rsidP="00F47EB4">
            <w:pPr>
              <w:tabs>
                <w:tab w:val="left" w:pos="187"/>
                <w:tab w:val="left" w:pos="1814"/>
              </w:tabs>
              <w:autoSpaceDE w:val="0"/>
              <w:autoSpaceDN w:val="0"/>
              <w:adjustRightInd w:val="0"/>
              <w:ind w:firstLine="0"/>
              <w:rPr>
                <w:rFonts w:ascii="Times New Roman" w:hAnsi="Times New Roman"/>
                <w:sz w:val="24"/>
                <w:szCs w:val="24"/>
                <w:lang w:val="ro-RO" w:eastAsia="ru-RU"/>
              </w:rPr>
            </w:pPr>
            <w:r w:rsidRPr="00F47EB4">
              <w:rPr>
                <w:rFonts w:ascii="Times New Roman" w:hAnsi="Times New Roman"/>
                <w:sz w:val="24"/>
                <w:szCs w:val="24"/>
                <w:lang w:val="ro-RO" w:eastAsia="ru-RU"/>
              </w:rPr>
              <w:t>La proiectul Mecanismului național:</w:t>
            </w:r>
            <w:r>
              <w:rPr>
                <w:rFonts w:ascii="Times New Roman" w:hAnsi="Times New Roman"/>
                <w:sz w:val="24"/>
                <w:szCs w:val="24"/>
                <w:lang w:val="ro-RO" w:eastAsia="ru-RU"/>
              </w:rPr>
              <w:t xml:space="preserve"> </w:t>
            </w:r>
            <w:r w:rsidRPr="00F47EB4">
              <w:rPr>
                <w:rFonts w:ascii="Times New Roman" w:hAnsi="Times New Roman"/>
                <w:sz w:val="24"/>
                <w:szCs w:val="24"/>
                <w:lang w:val="ro-RO" w:eastAsia="ru-RU"/>
              </w:rPr>
              <w:t>parafa de aprobare a anexei la proiectul hotărârii se va expune conform formulei: „Aprobat prin Hotărârea Guvernului nr.</w:t>
            </w:r>
            <w:r w:rsidRPr="00F47EB4">
              <w:rPr>
                <w:rFonts w:ascii="Times New Roman" w:hAnsi="Times New Roman"/>
                <w:sz w:val="24"/>
                <w:szCs w:val="24"/>
                <w:lang w:val="ro-RO" w:eastAsia="ru-RU"/>
              </w:rPr>
              <w:tab/>
              <w:t xml:space="preserve"> </w:t>
            </w:r>
            <w:r>
              <w:rPr>
                <w:rFonts w:ascii="Times New Roman" w:hAnsi="Times New Roman"/>
                <w:sz w:val="24"/>
                <w:szCs w:val="24"/>
                <w:lang w:val="ro-RO" w:eastAsia="ru-RU"/>
              </w:rPr>
              <w:t>______</w:t>
            </w:r>
            <w:r w:rsidRPr="00F47EB4">
              <w:rPr>
                <w:rFonts w:ascii="Times New Roman" w:hAnsi="Times New Roman"/>
                <w:sz w:val="24"/>
                <w:szCs w:val="24"/>
                <w:lang w:val="ro-RO" w:eastAsia="ru-RU"/>
              </w:rPr>
              <w:t>/2026”.</w:t>
            </w:r>
          </w:p>
        </w:tc>
        <w:tc>
          <w:tcPr>
            <w:tcW w:w="3685" w:type="dxa"/>
          </w:tcPr>
          <w:p w14:paraId="35D45C9C" w14:textId="0D2769C1" w:rsidR="008F5BA1" w:rsidRPr="00F47EB4"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47EB4">
              <w:rPr>
                <w:rFonts w:ascii="Times New Roman" w:hAnsi="Times New Roman"/>
                <w:b/>
                <w:bCs/>
                <w:sz w:val="24"/>
                <w:szCs w:val="24"/>
                <w:lang w:val="ro-RO"/>
              </w:rPr>
              <w:t xml:space="preserve">Se acceptă. </w:t>
            </w:r>
            <w:r w:rsidRPr="00F47EB4">
              <w:rPr>
                <w:rFonts w:ascii="Times New Roman" w:hAnsi="Times New Roman"/>
                <w:sz w:val="24"/>
                <w:szCs w:val="24"/>
                <w:lang w:val="ro-RO"/>
              </w:rPr>
              <w:t>Modificările au fost operate.</w:t>
            </w:r>
          </w:p>
        </w:tc>
      </w:tr>
      <w:tr w:rsidR="008F5BA1" w:rsidRPr="007D40FD" w14:paraId="36C54DEE" w14:textId="77777777" w:rsidTr="0006422A">
        <w:trPr>
          <w:trHeight w:val="70"/>
        </w:trPr>
        <w:tc>
          <w:tcPr>
            <w:tcW w:w="2163" w:type="dxa"/>
            <w:vMerge/>
            <w:tcMar>
              <w:top w:w="0" w:type="dxa"/>
              <w:left w:w="108" w:type="dxa"/>
              <w:bottom w:w="0" w:type="dxa"/>
              <w:right w:w="108" w:type="dxa"/>
            </w:tcMar>
          </w:tcPr>
          <w:p w14:paraId="4E78AD63"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6A0910D"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58E94A48" w14:textId="26291A7D" w:rsidR="008F5BA1" w:rsidRPr="00F47EB4" w:rsidRDefault="008F5BA1" w:rsidP="00F47EB4">
            <w:pPr>
              <w:tabs>
                <w:tab w:val="left" w:pos="187"/>
                <w:tab w:val="left" w:pos="1814"/>
              </w:tabs>
              <w:autoSpaceDE w:val="0"/>
              <w:autoSpaceDN w:val="0"/>
              <w:adjustRightInd w:val="0"/>
              <w:ind w:firstLine="0"/>
              <w:rPr>
                <w:rFonts w:ascii="Times New Roman" w:hAnsi="Times New Roman"/>
                <w:sz w:val="24"/>
                <w:szCs w:val="24"/>
                <w:lang w:val="ro-RO" w:eastAsia="ru-RU"/>
              </w:rPr>
            </w:pPr>
            <w:r w:rsidRPr="00F47EB4">
              <w:rPr>
                <w:rFonts w:ascii="Times New Roman" w:hAnsi="Times New Roman"/>
                <w:sz w:val="24"/>
                <w:szCs w:val="24"/>
                <w:lang w:val="ro-RO" w:eastAsia="ru-RU"/>
              </w:rPr>
              <w:t>La proiectul Mecanismului național:</w:t>
            </w:r>
            <w:r>
              <w:rPr>
                <w:rFonts w:ascii="Times New Roman" w:hAnsi="Times New Roman"/>
                <w:sz w:val="24"/>
                <w:szCs w:val="24"/>
                <w:lang w:val="ro-RO" w:eastAsia="ru-RU"/>
              </w:rPr>
              <w:t xml:space="preserve"> </w:t>
            </w:r>
            <w:r w:rsidRPr="00F47EB4">
              <w:rPr>
                <w:rFonts w:ascii="Times New Roman" w:hAnsi="Times New Roman"/>
                <w:sz w:val="24"/>
                <w:szCs w:val="24"/>
                <w:lang w:val="ro-RO" w:eastAsia="ru-RU"/>
              </w:rPr>
              <w:t xml:space="preserve">la </w:t>
            </w:r>
            <w:proofErr w:type="spellStart"/>
            <w:r w:rsidRPr="00F47EB4">
              <w:rPr>
                <w:rFonts w:ascii="Times New Roman" w:hAnsi="Times New Roman"/>
                <w:sz w:val="24"/>
                <w:szCs w:val="24"/>
                <w:lang w:val="ro-RO" w:eastAsia="ru-RU"/>
              </w:rPr>
              <w:t>subpct</w:t>
            </w:r>
            <w:proofErr w:type="spellEnd"/>
            <w:r w:rsidRPr="00F47EB4">
              <w:rPr>
                <w:rFonts w:ascii="Times New Roman" w:hAnsi="Times New Roman"/>
                <w:sz w:val="24"/>
                <w:szCs w:val="24"/>
                <w:lang w:val="ro-RO" w:eastAsia="ru-RU"/>
              </w:rPr>
              <w:t>. 5.2 este definit „planul de contingență” care reprezintă un ansamblu de măsuri, activități și proceduri desfășurate coordonat de către instituțiile și autoritățile responsabile pentru gestionarea crizei generate de afluxul sporit de străini. Cu toate acestea, proiectul nu conține careva prevederi aferent coraportului dintre „planul de contingență” și Planul național de management al crizelor în sensul art. 7 din Legea nr. 248/2025 privind managementul situațiilor de criză. Drept urmare, se consideră relevantă completarea proiectului cu o prevedere suplimentară care să stabilească că la elaborarea/ajustarea Planului de contingență se vor lua în considerare prevederile Planul național de management al crizelor.</w:t>
            </w:r>
          </w:p>
        </w:tc>
        <w:tc>
          <w:tcPr>
            <w:tcW w:w="3685" w:type="dxa"/>
          </w:tcPr>
          <w:p w14:paraId="08D38C98" w14:textId="12D03CF0" w:rsidR="008F5BA1" w:rsidRPr="00F47EB4" w:rsidRDefault="008F5BA1" w:rsidP="003E1C14">
            <w:pPr>
              <w:pBdr>
                <w:top w:val="none" w:sz="4" w:space="0" w:color="000000"/>
                <w:left w:val="none" w:sz="4" w:space="0" w:color="000000"/>
                <w:bottom w:val="none" w:sz="4" w:space="0" w:color="000000"/>
                <w:right w:val="none" w:sz="4" w:space="0" w:color="000000"/>
              </w:pBdr>
              <w:ind w:firstLine="0"/>
              <w:rPr>
                <w:b/>
                <w:bCs/>
                <w:sz w:val="24"/>
                <w:szCs w:val="24"/>
                <w:lang w:val="ro-RO"/>
              </w:rPr>
            </w:pPr>
            <w:r w:rsidRPr="00F47EB4">
              <w:rPr>
                <w:rFonts w:ascii="Times New Roman" w:hAnsi="Times New Roman"/>
                <w:b/>
                <w:bCs/>
                <w:sz w:val="24"/>
                <w:szCs w:val="24"/>
                <w:lang w:val="ro-RO"/>
              </w:rPr>
              <w:t>Se acceptă.</w:t>
            </w:r>
            <w:r>
              <w:rPr>
                <w:rFonts w:ascii="Times New Roman" w:hAnsi="Times New Roman"/>
                <w:b/>
                <w:bCs/>
                <w:sz w:val="24"/>
                <w:szCs w:val="24"/>
                <w:lang w:val="ro-RO"/>
              </w:rPr>
              <w:t xml:space="preserve"> </w:t>
            </w:r>
            <w:r w:rsidRPr="00365F44">
              <w:rPr>
                <w:rFonts w:ascii="Times New Roman" w:hAnsi="Times New Roman"/>
                <w:sz w:val="24"/>
                <w:szCs w:val="24"/>
                <w:lang w:val="ro-RO"/>
              </w:rPr>
              <w:t>Proiectul a fost completat cu o prevedere care stabilește corelarea Planului de contingență cu Planul național de management al crizelor, în conformitate cu prevederile art. 7 din Legea nr. 248/2025, în vederea asigurării coerenței cadrului normativ și evitării paralelismelor de reglementare.</w:t>
            </w:r>
          </w:p>
        </w:tc>
      </w:tr>
      <w:tr w:rsidR="008F5BA1" w:rsidRPr="007D40FD" w14:paraId="2687FF52" w14:textId="77777777" w:rsidTr="0006422A">
        <w:trPr>
          <w:trHeight w:val="70"/>
        </w:trPr>
        <w:tc>
          <w:tcPr>
            <w:tcW w:w="2163" w:type="dxa"/>
            <w:vMerge/>
            <w:tcMar>
              <w:top w:w="0" w:type="dxa"/>
              <w:left w:w="108" w:type="dxa"/>
              <w:bottom w:w="0" w:type="dxa"/>
              <w:right w:w="108" w:type="dxa"/>
            </w:tcMar>
          </w:tcPr>
          <w:p w14:paraId="11944DBE"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177244E"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52B8733E" w14:textId="14C09D40" w:rsidR="008F5BA1" w:rsidRPr="00B147CC" w:rsidRDefault="008F5BA1" w:rsidP="00F47EB4">
            <w:pPr>
              <w:tabs>
                <w:tab w:val="left" w:pos="187"/>
                <w:tab w:val="left" w:pos="1814"/>
              </w:tabs>
              <w:autoSpaceDE w:val="0"/>
              <w:autoSpaceDN w:val="0"/>
              <w:adjustRightInd w:val="0"/>
              <w:ind w:firstLine="0"/>
              <w:rPr>
                <w:rFonts w:ascii="Times New Roman" w:hAnsi="Times New Roman"/>
                <w:sz w:val="24"/>
                <w:szCs w:val="24"/>
                <w:lang w:val="ro-RO" w:eastAsia="ru-RU"/>
              </w:rPr>
            </w:pPr>
            <w:r w:rsidRPr="00B147CC">
              <w:rPr>
                <w:rFonts w:ascii="Times New Roman" w:hAnsi="Times New Roman"/>
                <w:sz w:val="24"/>
                <w:szCs w:val="24"/>
                <w:lang w:val="ro-RO" w:eastAsia="ru-RU"/>
              </w:rPr>
              <w:t>La proiectul Mecanismului național:</w:t>
            </w:r>
            <w:r>
              <w:rPr>
                <w:rFonts w:ascii="Times New Roman" w:hAnsi="Times New Roman"/>
                <w:sz w:val="24"/>
                <w:szCs w:val="24"/>
                <w:lang w:val="ro-RO" w:eastAsia="ru-RU"/>
              </w:rPr>
              <w:t xml:space="preserve"> </w:t>
            </w:r>
            <w:r w:rsidRPr="00B147CC">
              <w:rPr>
                <w:rFonts w:ascii="Times New Roman" w:hAnsi="Times New Roman"/>
                <w:sz w:val="24"/>
                <w:szCs w:val="24"/>
                <w:lang w:val="ro-RO" w:eastAsia="ru-RU"/>
              </w:rPr>
              <w:t xml:space="preserve">la </w:t>
            </w:r>
            <w:proofErr w:type="spellStart"/>
            <w:r w:rsidRPr="00B147CC">
              <w:rPr>
                <w:rFonts w:ascii="Times New Roman" w:hAnsi="Times New Roman"/>
                <w:sz w:val="24"/>
                <w:szCs w:val="24"/>
                <w:lang w:val="ro-RO" w:eastAsia="ru-RU"/>
              </w:rPr>
              <w:t>subpct</w:t>
            </w:r>
            <w:proofErr w:type="spellEnd"/>
            <w:r w:rsidRPr="00B147CC">
              <w:rPr>
                <w:rFonts w:ascii="Times New Roman" w:hAnsi="Times New Roman"/>
                <w:sz w:val="24"/>
                <w:szCs w:val="24"/>
                <w:lang w:val="ro-RO" w:eastAsia="ru-RU"/>
              </w:rPr>
              <w:t>. 5.3, se va utiliza denumirea exactă a registrului conform Legii nr. 248/2025 privind managementul situațiilor de criză: „Registrul național de riscuri”.</w:t>
            </w:r>
          </w:p>
        </w:tc>
        <w:tc>
          <w:tcPr>
            <w:tcW w:w="3685" w:type="dxa"/>
          </w:tcPr>
          <w:p w14:paraId="0929E021" w14:textId="3A5C5E20" w:rsidR="008F5BA1" w:rsidRPr="00B147CC"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B147CC">
              <w:rPr>
                <w:rFonts w:ascii="Times New Roman" w:hAnsi="Times New Roman"/>
                <w:b/>
                <w:bCs/>
                <w:sz w:val="24"/>
                <w:szCs w:val="24"/>
                <w:lang w:val="ro-RO"/>
              </w:rPr>
              <w:t xml:space="preserve">Se acceptă. </w:t>
            </w:r>
            <w:r w:rsidRPr="00B147CC">
              <w:rPr>
                <w:rFonts w:ascii="Times New Roman" w:hAnsi="Times New Roman"/>
                <w:sz w:val="24"/>
                <w:szCs w:val="24"/>
                <w:lang w:val="ro-RO"/>
              </w:rPr>
              <w:t>Modificările au fost operate.</w:t>
            </w:r>
          </w:p>
        </w:tc>
      </w:tr>
      <w:tr w:rsidR="008F5BA1" w:rsidRPr="007D40FD" w14:paraId="393F1FF4" w14:textId="77777777" w:rsidTr="0006422A">
        <w:trPr>
          <w:trHeight w:val="70"/>
        </w:trPr>
        <w:tc>
          <w:tcPr>
            <w:tcW w:w="2163" w:type="dxa"/>
            <w:vMerge/>
            <w:tcMar>
              <w:top w:w="0" w:type="dxa"/>
              <w:left w:w="108" w:type="dxa"/>
              <w:bottom w:w="0" w:type="dxa"/>
              <w:right w:w="108" w:type="dxa"/>
            </w:tcMar>
          </w:tcPr>
          <w:p w14:paraId="27E9BEBF"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4D4764B3"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774029EA" w14:textId="3B316458" w:rsidR="008F5BA1" w:rsidRPr="00B147CC" w:rsidRDefault="008F5BA1" w:rsidP="00BB3331">
            <w:pPr>
              <w:tabs>
                <w:tab w:val="left" w:pos="187"/>
                <w:tab w:val="left" w:pos="1814"/>
              </w:tabs>
              <w:autoSpaceDE w:val="0"/>
              <w:autoSpaceDN w:val="0"/>
              <w:adjustRightInd w:val="0"/>
              <w:ind w:firstLine="0"/>
              <w:rPr>
                <w:rFonts w:ascii="Times New Roman" w:hAnsi="Times New Roman"/>
                <w:sz w:val="24"/>
                <w:szCs w:val="24"/>
                <w:lang w:val="ro-RO" w:eastAsia="ru-RU"/>
              </w:rPr>
            </w:pPr>
            <w:r w:rsidRPr="00B147CC">
              <w:rPr>
                <w:rFonts w:ascii="Times New Roman" w:hAnsi="Times New Roman"/>
                <w:sz w:val="24"/>
                <w:szCs w:val="24"/>
                <w:lang w:val="ro-RO" w:eastAsia="ru-RU"/>
              </w:rPr>
              <w:t>La proiectul Mecanismului național:</w:t>
            </w:r>
            <w:r>
              <w:rPr>
                <w:rFonts w:ascii="Times New Roman" w:hAnsi="Times New Roman"/>
                <w:sz w:val="24"/>
                <w:szCs w:val="24"/>
                <w:lang w:val="ro-RO" w:eastAsia="ru-RU"/>
              </w:rPr>
              <w:t xml:space="preserve"> </w:t>
            </w:r>
            <w:r w:rsidRPr="00B147CC">
              <w:rPr>
                <w:rFonts w:ascii="Times New Roman" w:hAnsi="Times New Roman"/>
                <w:sz w:val="24"/>
                <w:szCs w:val="24"/>
                <w:lang w:val="ro-RO" w:eastAsia="ru-RU"/>
              </w:rPr>
              <w:t xml:space="preserve">la </w:t>
            </w:r>
            <w:proofErr w:type="spellStart"/>
            <w:r w:rsidRPr="00B147CC">
              <w:rPr>
                <w:rFonts w:ascii="Times New Roman" w:hAnsi="Times New Roman"/>
                <w:sz w:val="24"/>
                <w:szCs w:val="24"/>
                <w:lang w:val="ro-RO" w:eastAsia="ru-RU"/>
              </w:rPr>
              <w:t>subpct</w:t>
            </w:r>
            <w:proofErr w:type="spellEnd"/>
            <w:r w:rsidRPr="00B147CC">
              <w:rPr>
                <w:rFonts w:ascii="Times New Roman" w:hAnsi="Times New Roman"/>
                <w:sz w:val="24"/>
                <w:szCs w:val="24"/>
                <w:lang w:val="ro-RO" w:eastAsia="ru-RU"/>
              </w:rPr>
              <w:t>. 5.4 este definită noțiunea „situație de contingență” care presupune o situație potențială sau emergentă care poate evolua într-o criză, caracterizată prin riscuri sau presiuni operaționale semnificative, pentru care sunt activate măsuri preventive și de pregătire prevăzute în planurile de contingență, fără a implica automat declararea unei crize în sensul legislației privind managementul crizelor.</w:t>
            </w:r>
          </w:p>
          <w:p w14:paraId="7394EF3D" w14:textId="77777777" w:rsidR="008F5BA1" w:rsidRPr="00B147CC" w:rsidRDefault="008F5BA1" w:rsidP="00BB3331">
            <w:pPr>
              <w:tabs>
                <w:tab w:val="left" w:pos="187"/>
                <w:tab w:val="left" w:pos="1814"/>
              </w:tabs>
              <w:autoSpaceDE w:val="0"/>
              <w:autoSpaceDN w:val="0"/>
              <w:adjustRightInd w:val="0"/>
              <w:ind w:firstLine="0"/>
              <w:rPr>
                <w:rFonts w:ascii="Times New Roman" w:hAnsi="Times New Roman"/>
                <w:sz w:val="24"/>
                <w:szCs w:val="24"/>
                <w:lang w:val="ro-RO" w:eastAsia="ru-RU"/>
              </w:rPr>
            </w:pPr>
            <w:r w:rsidRPr="00B147CC">
              <w:rPr>
                <w:rFonts w:ascii="Times New Roman" w:hAnsi="Times New Roman"/>
                <w:sz w:val="24"/>
                <w:szCs w:val="24"/>
                <w:lang w:val="ro-RO" w:eastAsia="ru-RU"/>
              </w:rPr>
              <w:t>Cu toate acestea, potrivit pct. 10 din Mecanismul național, declanșarea Mecanismului național are loc în baza deciziei Prim-ministrului privind constatarea crizei sau a crizei majore, adoptată în condițiile Legii nr. 248/2025 privind managementul situațiilor de criză, la propunerea Centrului Național de Management al Crizelor. Cu alte cuvinte, aplicarea Mecanismului poate avea loc doar după constatarea crizei sau a crizei majore, materializată prin decizia Prim-ministrului.</w:t>
            </w:r>
          </w:p>
          <w:p w14:paraId="46EF1386" w14:textId="33AAF378" w:rsidR="008F5BA1" w:rsidRPr="00B147CC" w:rsidRDefault="008F5BA1" w:rsidP="00BB3331">
            <w:pPr>
              <w:tabs>
                <w:tab w:val="left" w:pos="187"/>
                <w:tab w:val="left" w:pos="1814"/>
              </w:tabs>
              <w:autoSpaceDE w:val="0"/>
              <w:autoSpaceDN w:val="0"/>
              <w:adjustRightInd w:val="0"/>
              <w:ind w:firstLine="0"/>
              <w:rPr>
                <w:rFonts w:ascii="Times New Roman" w:hAnsi="Times New Roman"/>
                <w:sz w:val="24"/>
                <w:szCs w:val="24"/>
                <w:lang w:val="ro-RO" w:eastAsia="ru-RU"/>
              </w:rPr>
            </w:pPr>
            <w:r w:rsidRPr="00B147CC">
              <w:rPr>
                <w:rFonts w:ascii="Times New Roman" w:hAnsi="Times New Roman"/>
                <w:sz w:val="24"/>
                <w:szCs w:val="24"/>
                <w:lang w:val="ro-RO" w:eastAsia="ru-RU"/>
              </w:rPr>
              <w:t>Astfel, se constată o necorelare între posibilitatea aplicării unor măsuri de prevenire și pregătire prevăzute de Mecanism (anterioare constatării crizei), pe de o parte, și momentul declanșării acestuia, pe de altă parte.</w:t>
            </w:r>
          </w:p>
        </w:tc>
        <w:tc>
          <w:tcPr>
            <w:tcW w:w="3685" w:type="dxa"/>
          </w:tcPr>
          <w:p w14:paraId="5CCCD61E" w14:textId="444E31F9" w:rsidR="008F5BA1" w:rsidRPr="00B147CC"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B147CC">
              <w:rPr>
                <w:rFonts w:ascii="Times New Roman" w:hAnsi="Times New Roman"/>
                <w:b/>
                <w:bCs/>
                <w:sz w:val="24"/>
                <w:szCs w:val="24"/>
                <w:lang w:val="ro-RO"/>
              </w:rPr>
              <w:t xml:space="preserve">Se acceptă. </w:t>
            </w:r>
            <w:r w:rsidRPr="00B147CC">
              <w:rPr>
                <w:rFonts w:ascii="Times New Roman" w:hAnsi="Times New Roman"/>
                <w:sz w:val="24"/>
                <w:szCs w:val="24"/>
                <w:lang w:val="ro-RO"/>
              </w:rPr>
              <w:t>Textul a fost revizuit prin introducerea expresă a posibilității aplicării măsurilor de prevenire și pregătire anterior constatării crizei, în baza evaluărilor de risc realizate în cadrul sistemului național de management al crizelor, asigurând astfel coerența între definiția „situației de contingență” și condițiile de aplicare a Mecanismului național.</w:t>
            </w:r>
          </w:p>
        </w:tc>
      </w:tr>
      <w:tr w:rsidR="008F5BA1" w:rsidRPr="007D40FD" w14:paraId="050A0285" w14:textId="77777777" w:rsidTr="0006422A">
        <w:trPr>
          <w:trHeight w:val="70"/>
        </w:trPr>
        <w:tc>
          <w:tcPr>
            <w:tcW w:w="2163" w:type="dxa"/>
            <w:vMerge/>
            <w:tcMar>
              <w:top w:w="0" w:type="dxa"/>
              <w:left w:w="108" w:type="dxa"/>
              <w:bottom w:w="0" w:type="dxa"/>
              <w:right w:w="108" w:type="dxa"/>
            </w:tcMar>
          </w:tcPr>
          <w:p w14:paraId="74E54731"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1AE9276D"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7D9A478D" w14:textId="0A0AD2D9" w:rsidR="008F5BA1" w:rsidRPr="00F0782F" w:rsidRDefault="008F5BA1" w:rsidP="00BB3331">
            <w:pPr>
              <w:tabs>
                <w:tab w:val="left" w:pos="187"/>
                <w:tab w:val="left" w:pos="1814"/>
              </w:tabs>
              <w:autoSpaceDE w:val="0"/>
              <w:autoSpaceDN w:val="0"/>
              <w:adjustRightInd w:val="0"/>
              <w:ind w:firstLine="0"/>
              <w:rPr>
                <w:rFonts w:ascii="Times New Roman" w:hAnsi="Times New Roman"/>
                <w:sz w:val="24"/>
                <w:szCs w:val="24"/>
                <w:lang w:val="ro-RO" w:eastAsia="ru-RU"/>
              </w:rPr>
            </w:pPr>
            <w:r w:rsidRPr="00F0782F">
              <w:rPr>
                <w:rFonts w:ascii="Times New Roman" w:hAnsi="Times New Roman"/>
                <w:sz w:val="24"/>
                <w:szCs w:val="24"/>
                <w:lang w:val="ro-RO" w:eastAsia="ru-RU"/>
              </w:rPr>
              <w:t xml:space="preserve">La proiectul Mecanismului național: la </w:t>
            </w:r>
            <w:proofErr w:type="spellStart"/>
            <w:r w:rsidRPr="00F0782F">
              <w:rPr>
                <w:rFonts w:ascii="Times New Roman" w:hAnsi="Times New Roman"/>
                <w:sz w:val="24"/>
                <w:szCs w:val="24"/>
                <w:lang w:val="ro-RO" w:eastAsia="ru-RU"/>
              </w:rPr>
              <w:t>subpct</w:t>
            </w:r>
            <w:proofErr w:type="spellEnd"/>
            <w:r w:rsidRPr="00F0782F">
              <w:rPr>
                <w:rFonts w:ascii="Times New Roman" w:hAnsi="Times New Roman"/>
                <w:sz w:val="24"/>
                <w:szCs w:val="24"/>
                <w:lang w:val="ro-RO" w:eastAsia="ru-RU"/>
              </w:rPr>
              <w:t>. 7.5, se va reda denumirea integrală a programului: „Programul național privind integrarea etapizată a străinilor în Republica Moldova pentru perioada 2025-2027”. Observația dată este valabilă și pentru pct. 17 din proiect.</w:t>
            </w:r>
          </w:p>
        </w:tc>
        <w:tc>
          <w:tcPr>
            <w:tcW w:w="3685" w:type="dxa"/>
          </w:tcPr>
          <w:p w14:paraId="22B7ECF4" w14:textId="291354B4" w:rsidR="008F5BA1" w:rsidRPr="00F0782F"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0782F">
              <w:rPr>
                <w:rFonts w:ascii="Times New Roman" w:hAnsi="Times New Roman"/>
                <w:b/>
                <w:bCs/>
                <w:sz w:val="24"/>
                <w:szCs w:val="24"/>
                <w:lang w:val="ro-RO"/>
              </w:rPr>
              <w:t xml:space="preserve">Se acceptă. </w:t>
            </w:r>
            <w:r w:rsidRPr="00F0782F">
              <w:rPr>
                <w:rFonts w:ascii="Times New Roman" w:hAnsi="Times New Roman"/>
                <w:sz w:val="24"/>
                <w:szCs w:val="24"/>
                <w:lang w:val="ro-RO"/>
              </w:rPr>
              <w:t>Modificările au fost operate.</w:t>
            </w:r>
          </w:p>
        </w:tc>
      </w:tr>
      <w:tr w:rsidR="008F5BA1" w:rsidRPr="007D40FD" w14:paraId="27D3F539" w14:textId="77777777" w:rsidTr="0006422A">
        <w:trPr>
          <w:trHeight w:val="70"/>
        </w:trPr>
        <w:tc>
          <w:tcPr>
            <w:tcW w:w="2163" w:type="dxa"/>
            <w:vMerge/>
            <w:tcMar>
              <w:top w:w="0" w:type="dxa"/>
              <w:left w:w="108" w:type="dxa"/>
              <w:bottom w:w="0" w:type="dxa"/>
              <w:right w:w="108" w:type="dxa"/>
            </w:tcMar>
          </w:tcPr>
          <w:p w14:paraId="3D489363"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244B1F7F"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71041F81" w14:textId="5A3AACFF" w:rsidR="008F5BA1" w:rsidRPr="00F0782F" w:rsidRDefault="008F5BA1" w:rsidP="00BB3331">
            <w:pPr>
              <w:tabs>
                <w:tab w:val="left" w:pos="187"/>
                <w:tab w:val="left" w:pos="1814"/>
              </w:tabs>
              <w:autoSpaceDE w:val="0"/>
              <w:autoSpaceDN w:val="0"/>
              <w:adjustRightInd w:val="0"/>
              <w:ind w:firstLine="0"/>
              <w:rPr>
                <w:rFonts w:ascii="Times New Roman" w:hAnsi="Times New Roman"/>
                <w:sz w:val="24"/>
                <w:szCs w:val="24"/>
                <w:lang w:val="ro-RO" w:eastAsia="ru-RU"/>
              </w:rPr>
            </w:pPr>
            <w:r w:rsidRPr="00F0782F">
              <w:rPr>
                <w:rFonts w:ascii="Times New Roman" w:hAnsi="Times New Roman"/>
                <w:sz w:val="24"/>
                <w:szCs w:val="24"/>
                <w:lang w:val="ro-RO" w:eastAsia="ru-RU"/>
              </w:rPr>
              <w:t xml:space="preserve">La proiectul Mecanismului național: pct. 8, după cuvintele „vor respecta” se va completa cu textul „principiile stabilite în Legea nr. 270/2008 privind azilul în Republica Moldova, precum și”. Drept urmare, </w:t>
            </w:r>
            <w:proofErr w:type="spellStart"/>
            <w:r w:rsidRPr="00F0782F">
              <w:rPr>
                <w:rFonts w:ascii="Times New Roman" w:hAnsi="Times New Roman"/>
                <w:sz w:val="24"/>
                <w:szCs w:val="24"/>
                <w:lang w:val="ro-RO" w:eastAsia="ru-RU"/>
              </w:rPr>
              <w:t>subpct</w:t>
            </w:r>
            <w:proofErr w:type="spellEnd"/>
            <w:r w:rsidRPr="00F0782F">
              <w:rPr>
                <w:rFonts w:ascii="Times New Roman" w:hAnsi="Times New Roman"/>
                <w:sz w:val="24"/>
                <w:szCs w:val="24"/>
                <w:lang w:val="ro-RO" w:eastAsia="ru-RU"/>
              </w:rPr>
              <w:t>. 8.3 și 8.5 se vor exclude din proiect.</w:t>
            </w:r>
          </w:p>
        </w:tc>
        <w:tc>
          <w:tcPr>
            <w:tcW w:w="3685" w:type="dxa"/>
          </w:tcPr>
          <w:p w14:paraId="463985EF" w14:textId="150FFA18" w:rsidR="008F5BA1" w:rsidRPr="00F0782F"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0782F">
              <w:rPr>
                <w:rFonts w:ascii="Times New Roman" w:hAnsi="Times New Roman"/>
                <w:b/>
                <w:bCs/>
                <w:sz w:val="24"/>
                <w:szCs w:val="24"/>
                <w:lang w:val="ro-RO"/>
              </w:rPr>
              <w:t xml:space="preserve">Se acceptă. </w:t>
            </w:r>
            <w:r w:rsidRPr="00F0782F">
              <w:rPr>
                <w:rFonts w:ascii="Times New Roman" w:hAnsi="Times New Roman"/>
                <w:sz w:val="24"/>
                <w:szCs w:val="24"/>
                <w:lang w:val="ro-RO"/>
              </w:rPr>
              <w:t>Modificările au fost operate.</w:t>
            </w:r>
          </w:p>
        </w:tc>
      </w:tr>
      <w:tr w:rsidR="008F5BA1" w:rsidRPr="007D40FD" w14:paraId="566F37BB" w14:textId="77777777" w:rsidTr="0006422A">
        <w:trPr>
          <w:trHeight w:val="70"/>
        </w:trPr>
        <w:tc>
          <w:tcPr>
            <w:tcW w:w="2163" w:type="dxa"/>
            <w:vMerge/>
            <w:tcMar>
              <w:top w:w="0" w:type="dxa"/>
              <w:left w:w="108" w:type="dxa"/>
              <w:bottom w:w="0" w:type="dxa"/>
              <w:right w:w="108" w:type="dxa"/>
            </w:tcMar>
          </w:tcPr>
          <w:p w14:paraId="0791A81B"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79EAD30B"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40AF58E3" w14:textId="3CDFDF79" w:rsidR="008F5BA1" w:rsidRPr="00F0782F" w:rsidRDefault="008F5BA1" w:rsidP="00736AD2">
            <w:pPr>
              <w:tabs>
                <w:tab w:val="left" w:pos="187"/>
                <w:tab w:val="left" w:pos="1814"/>
              </w:tabs>
              <w:autoSpaceDE w:val="0"/>
              <w:autoSpaceDN w:val="0"/>
              <w:adjustRightInd w:val="0"/>
              <w:ind w:firstLine="0"/>
              <w:rPr>
                <w:rFonts w:ascii="Times New Roman" w:hAnsi="Times New Roman"/>
                <w:sz w:val="24"/>
                <w:szCs w:val="24"/>
                <w:lang w:val="ro-RO" w:eastAsia="ru-RU"/>
              </w:rPr>
            </w:pPr>
            <w:r w:rsidRPr="00F0782F">
              <w:rPr>
                <w:rFonts w:ascii="Times New Roman" w:hAnsi="Times New Roman"/>
                <w:sz w:val="24"/>
                <w:szCs w:val="24"/>
                <w:lang w:val="ro-RO" w:eastAsia="ru-RU"/>
              </w:rPr>
              <w:t xml:space="preserve">La proiectul Mecanismului național: la </w:t>
            </w:r>
            <w:proofErr w:type="spellStart"/>
            <w:r w:rsidRPr="00F0782F">
              <w:rPr>
                <w:rFonts w:ascii="Times New Roman" w:hAnsi="Times New Roman"/>
                <w:sz w:val="24"/>
                <w:szCs w:val="24"/>
                <w:lang w:val="ro-RO" w:eastAsia="ru-RU"/>
              </w:rPr>
              <w:t>subpct</w:t>
            </w:r>
            <w:proofErr w:type="spellEnd"/>
            <w:r w:rsidRPr="00F0782F">
              <w:rPr>
                <w:rFonts w:ascii="Times New Roman" w:hAnsi="Times New Roman"/>
                <w:sz w:val="24"/>
                <w:szCs w:val="24"/>
                <w:lang w:val="ro-RO" w:eastAsia="ru-RU"/>
              </w:rPr>
              <w:t>. 8.2, cuvintele „egalității șanselor” se vor substitui cu cuvântul „nediscriminării”.</w:t>
            </w:r>
          </w:p>
        </w:tc>
        <w:tc>
          <w:tcPr>
            <w:tcW w:w="3685" w:type="dxa"/>
          </w:tcPr>
          <w:p w14:paraId="21F1DB1A" w14:textId="0CBCA56B" w:rsidR="008F5BA1" w:rsidRPr="00F0782F" w:rsidRDefault="008F5BA1" w:rsidP="003E1C1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0782F">
              <w:rPr>
                <w:rFonts w:ascii="Times New Roman" w:hAnsi="Times New Roman"/>
                <w:b/>
                <w:bCs/>
                <w:sz w:val="24"/>
                <w:szCs w:val="24"/>
                <w:lang w:val="ro-RO"/>
              </w:rPr>
              <w:t xml:space="preserve">Se acceptă. </w:t>
            </w:r>
            <w:r w:rsidRPr="00F0782F">
              <w:rPr>
                <w:rFonts w:ascii="Times New Roman" w:hAnsi="Times New Roman"/>
                <w:sz w:val="24"/>
                <w:szCs w:val="24"/>
                <w:lang w:val="ro-RO"/>
              </w:rPr>
              <w:t>Modificările au fost operate.</w:t>
            </w:r>
          </w:p>
        </w:tc>
      </w:tr>
      <w:tr w:rsidR="008F5BA1" w:rsidRPr="007D40FD" w14:paraId="45ED9435" w14:textId="77777777" w:rsidTr="0006422A">
        <w:trPr>
          <w:trHeight w:val="70"/>
        </w:trPr>
        <w:tc>
          <w:tcPr>
            <w:tcW w:w="2163" w:type="dxa"/>
            <w:vMerge/>
            <w:tcMar>
              <w:top w:w="0" w:type="dxa"/>
              <w:left w:w="108" w:type="dxa"/>
              <w:bottom w:w="0" w:type="dxa"/>
              <w:right w:w="108" w:type="dxa"/>
            </w:tcMar>
          </w:tcPr>
          <w:p w14:paraId="3FC34735"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418F99D7"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69EDC4EB" w14:textId="07485EAB" w:rsidR="008F5BA1" w:rsidRPr="00F0782F" w:rsidRDefault="008F5BA1" w:rsidP="003D1A18">
            <w:pPr>
              <w:tabs>
                <w:tab w:val="left" w:pos="187"/>
                <w:tab w:val="left" w:pos="1814"/>
              </w:tabs>
              <w:autoSpaceDE w:val="0"/>
              <w:autoSpaceDN w:val="0"/>
              <w:adjustRightInd w:val="0"/>
              <w:ind w:firstLine="0"/>
              <w:rPr>
                <w:rFonts w:ascii="Times New Roman" w:hAnsi="Times New Roman"/>
                <w:sz w:val="24"/>
                <w:szCs w:val="24"/>
                <w:lang w:val="ro-RO" w:eastAsia="ru-RU"/>
              </w:rPr>
            </w:pPr>
            <w:r w:rsidRPr="00F0782F">
              <w:rPr>
                <w:rFonts w:ascii="Times New Roman" w:hAnsi="Times New Roman"/>
                <w:sz w:val="24"/>
                <w:szCs w:val="24"/>
                <w:lang w:val="ro-RO" w:eastAsia="ru-RU"/>
              </w:rPr>
              <w:t>La proiectul Mecanismului național: la pct. 9 este stabilit că comunicarea publică și strategică constituie un element esențial al gestionării crizei, având rolul de a asigura informarea corectă, corespunzătoare a populației, prevenirea panicii și contracararea dezinformării sau a acțiunilor de manipulare a informațiilor și ingerințelor străine, precum și menținerea încrederii publice în acțiunile autorităților și instituțiilor publice. În același context, la Sectorul de intervenție nr. 10 Informare din Planul de contingență, ca indicatori de monitorizare este indicat numărul de știri false contracarate/site-uri blocate.</w:t>
            </w:r>
          </w:p>
          <w:p w14:paraId="61A85039" w14:textId="77777777" w:rsidR="008F5BA1" w:rsidRPr="00F0782F" w:rsidRDefault="008F5BA1" w:rsidP="003D1A18">
            <w:pPr>
              <w:tabs>
                <w:tab w:val="left" w:pos="187"/>
                <w:tab w:val="left" w:pos="1814"/>
              </w:tabs>
              <w:autoSpaceDE w:val="0"/>
              <w:autoSpaceDN w:val="0"/>
              <w:adjustRightInd w:val="0"/>
              <w:ind w:firstLine="0"/>
              <w:rPr>
                <w:rFonts w:ascii="Times New Roman" w:hAnsi="Times New Roman"/>
                <w:sz w:val="24"/>
                <w:szCs w:val="24"/>
                <w:lang w:val="ro-RO" w:eastAsia="ru-RU"/>
              </w:rPr>
            </w:pPr>
            <w:r w:rsidRPr="00F0782F">
              <w:rPr>
                <w:rFonts w:ascii="Times New Roman" w:hAnsi="Times New Roman"/>
                <w:sz w:val="24"/>
                <w:szCs w:val="24"/>
                <w:lang w:val="ro-RO" w:eastAsia="ru-RU"/>
              </w:rPr>
              <w:t>Sub acest aspect, se menționează că, potrivit art. 32 lit. f) din Legea nr. 248/2025 privind managementul situațiilor de criză, „interzicerea publicării unor informații sub orice formă, în publicații online sau fizice, precum și interzicerea sau închiderea unor entități media ori a oricăror mijloace de diseminare a informațiilor cu scopul de a contracara dezinformarea”, ca măsură de restricție, poate fi aplicată doar în perioada de urgență.</w:t>
            </w:r>
          </w:p>
          <w:p w14:paraId="3D0DA1ED" w14:textId="111A8748" w:rsidR="008F5BA1" w:rsidRPr="00F0782F" w:rsidRDefault="008F5BA1" w:rsidP="003D1A18">
            <w:pPr>
              <w:tabs>
                <w:tab w:val="left" w:pos="187"/>
                <w:tab w:val="left" w:pos="1814"/>
              </w:tabs>
              <w:autoSpaceDE w:val="0"/>
              <w:autoSpaceDN w:val="0"/>
              <w:adjustRightInd w:val="0"/>
              <w:ind w:firstLine="0"/>
              <w:rPr>
                <w:rFonts w:ascii="Times New Roman" w:hAnsi="Times New Roman"/>
                <w:sz w:val="24"/>
                <w:szCs w:val="24"/>
                <w:lang w:val="ro-RO" w:eastAsia="ru-RU"/>
              </w:rPr>
            </w:pPr>
            <w:r w:rsidRPr="00F0782F">
              <w:rPr>
                <w:rFonts w:ascii="Times New Roman" w:hAnsi="Times New Roman"/>
                <w:sz w:val="24"/>
                <w:szCs w:val="24"/>
                <w:lang w:val="ro-RO" w:eastAsia="ru-RU"/>
              </w:rPr>
              <w:lastRenderedPageBreak/>
              <w:t>Prin urmare, se recomandă completarea pct. 9 din proiect, prin care se va stabili expres că aplicarea oricăror măsuri de restricție, inclusiv în domeniul combaterii dezinformării, va avea loc în strică concordanță cu prevederile Legii nr. 248/2025 privind managementul situațiilor de criză.</w:t>
            </w:r>
          </w:p>
        </w:tc>
        <w:tc>
          <w:tcPr>
            <w:tcW w:w="3685" w:type="dxa"/>
          </w:tcPr>
          <w:p w14:paraId="4F09CC40" w14:textId="1EE423CB" w:rsidR="008F5BA1" w:rsidRPr="00B147CC" w:rsidRDefault="008F5BA1" w:rsidP="003E1C14">
            <w:pPr>
              <w:pBdr>
                <w:top w:val="none" w:sz="4" w:space="0" w:color="000000"/>
                <w:left w:val="none" w:sz="4" w:space="0" w:color="000000"/>
                <w:bottom w:val="none" w:sz="4" w:space="0" w:color="000000"/>
                <w:right w:val="none" w:sz="4" w:space="0" w:color="000000"/>
              </w:pBdr>
              <w:ind w:firstLine="0"/>
              <w:rPr>
                <w:b/>
                <w:bCs/>
                <w:sz w:val="24"/>
                <w:szCs w:val="24"/>
                <w:lang w:val="ro-RO"/>
              </w:rPr>
            </w:pPr>
            <w:r w:rsidRPr="00B147CC">
              <w:rPr>
                <w:rFonts w:ascii="Times New Roman" w:hAnsi="Times New Roman"/>
                <w:b/>
                <w:bCs/>
                <w:sz w:val="24"/>
                <w:szCs w:val="24"/>
                <w:lang w:val="ro-RO"/>
              </w:rPr>
              <w:lastRenderedPageBreak/>
              <w:t>Se acceptă.</w:t>
            </w:r>
            <w:r>
              <w:rPr>
                <w:rFonts w:ascii="Times New Roman" w:hAnsi="Times New Roman"/>
                <w:b/>
                <w:bCs/>
                <w:sz w:val="24"/>
                <w:szCs w:val="24"/>
                <w:lang w:val="ro-RO"/>
              </w:rPr>
              <w:t xml:space="preserve"> </w:t>
            </w:r>
            <w:r w:rsidRPr="002C6DD2">
              <w:rPr>
                <w:rFonts w:ascii="Times New Roman" w:hAnsi="Times New Roman"/>
                <w:sz w:val="24"/>
                <w:szCs w:val="24"/>
                <w:lang w:val="ro-RO"/>
              </w:rPr>
              <w:t>Proiectul a fost completat</w:t>
            </w:r>
            <w:r w:rsidRPr="00391F63">
              <w:rPr>
                <w:rFonts w:ascii="Times New Roman" w:hAnsi="Times New Roman"/>
                <w:b/>
                <w:bCs/>
                <w:sz w:val="24"/>
                <w:szCs w:val="24"/>
                <w:lang w:val="ro-RO"/>
              </w:rPr>
              <w:t xml:space="preserve"> </w:t>
            </w:r>
            <w:r w:rsidRPr="00F0782F">
              <w:rPr>
                <w:rFonts w:ascii="Times New Roman" w:hAnsi="Times New Roman"/>
                <w:sz w:val="24"/>
                <w:szCs w:val="24"/>
                <w:lang w:val="ro-RO"/>
              </w:rPr>
              <w:t>prin introducerea unei prevederi exprese privind aplicarea măsurilor de restricție, inclusiv în domeniul combaterii dezinformării, exclusiv în condițiile și în limitele stabilite de Legea nr. 248/2025, în vederea asigurării respectării drepturilor fundamentale și evitării interpretărilor extensive.</w:t>
            </w:r>
          </w:p>
        </w:tc>
      </w:tr>
      <w:tr w:rsidR="008F5BA1" w:rsidRPr="007D40FD" w14:paraId="550B3064" w14:textId="77777777" w:rsidTr="0006422A">
        <w:trPr>
          <w:trHeight w:val="70"/>
        </w:trPr>
        <w:tc>
          <w:tcPr>
            <w:tcW w:w="2163" w:type="dxa"/>
            <w:vMerge/>
            <w:tcMar>
              <w:top w:w="0" w:type="dxa"/>
              <w:left w:w="108" w:type="dxa"/>
              <w:bottom w:w="0" w:type="dxa"/>
              <w:right w:w="108" w:type="dxa"/>
            </w:tcMar>
          </w:tcPr>
          <w:p w14:paraId="430410AE"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E00BB68"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57AB91DB" w14:textId="0C825064" w:rsidR="008F5BA1" w:rsidRPr="00F0782F" w:rsidRDefault="008F5BA1" w:rsidP="00391F63">
            <w:pPr>
              <w:tabs>
                <w:tab w:val="left" w:pos="187"/>
                <w:tab w:val="left" w:pos="1814"/>
              </w:tabs>
              <w:autoSpaceDE w:val="0"/>
              <w:autoSpaceDN w:val="0"/>
              <w:adjustRightInd w:val="0"/>
              <w:ind w:firstLine="0"/>
              <w:rPr>
                <w:rFonts w:ascii="Times New Roman" w:hAnsi="Times New Roman"/>
                <w:sz w:val="24"/>
                <w:szCs w:val="24"/>
                <w:lang w:val="ro-RO" w:eastAsia="ru-RU"/>
              </w:rPr>
            </w:pPr>
            <w:r w:rsidRPr="00F0782F">
              <w:rPr>
                <w:rFonts w:ascii="Times New Roman" w:hAnsi="Times New Roman"/>
                <w:sz w:val="24"/>
                <w:szCs w:val="24"/>
                <w:lang w:val="ro-RO" w:eastAsia="ru-RU"/>
              </w:rPr>
              <w:t>La proiectul Mecanismului național: la pct. 10, textul „Aplicarea integrală a măsurilor prevăzute de Mecanismul național se realizează, după caz, în contextul constatării crizei sau a crizei majore, iar instituirea stării de alertă ori a stării de urgență se dispune în condițiile legii, în funcție de nivelul de gravitate și impact al situației.” se va exclude ca fiind redundant.</w:t>
            </w:r>
          </w:p>
          <w:p w14:paraId="6C0771A5" w14:textId="227BA523" w:rsidR="008F5BA1" w:rsidRPr="00F0782F" w:rsidRDefault="008F5BA1" w:rsidP="00391F63">
            <w:pPr>
              <w:tabs>
                <w:tab w:val="left" w:pos="187"/>
                <w:tab w:val="left" w:pos="1814"/>
              </w:tabs>
              <w:autoSpaceDE w:val="0"/>
              <w:autoSpaceDN w:val="0"/>
              <w:adjustRightInd w:val="0"/>
              <w:ind w:firstLine="0"/>
              <w:rPr>
                <w:rFonts w:ascii="Times New Roman" w:hAnsi="Times New Roman"/>
                <w:sz w:val="24"/>
                <w:szCs w:val="24"/>
                <w:lang w:val="ro-RO" w:eastAsia="ru-RU"/>
              </w:rPr>
            </w:pPr>
            <w:r w:rsidRPr="00F0782F">
              <w:rPr>
                <w:rFonts w:ascii="Times New Roman" w:hAnsi="Times New Roman"/>
                <w:sz w:val="24"/>
                <w:szCs w:val="24"/>
                <w:lang w:val="ro-RO" w:eastAsia="ru-RU"/>
              </w:rPr>
              <w:t>La proiectul Mecanismului național: la fel, în vederea evitării unor interpretări diferențiate în raport cu declanșarea Mecanismului național, se recomandă comasarea pct. 10 și 11, utilizând următoarea formulă:</w:t>
            </w:r>
          </w:p>
          <w:p w14:paraId="4D22303D" w14:textId="749FC724" w:rsidR="008F5BA1" w:rsidRPr="00F0782F" w:rsidRDefault="008F5BA1" w:rsidP="00391F63">
            <w:pPr>
              <w:tabs>
                <w:tab w:val="left" w:pos="187"/>
                <w:tab w:val="left" w:pos="1814"/>
              </w:tabs>
              <w:autoSpaceDE w:val="0"/>
              <w:autoSpaceDN w:val="0"/>
              <w:adjustRightInd w:val="0"/>
              <w:ind w:firstLine="0"/>
              <w:rPr>
                <w:rFonts w:ascii="Times New Roman" w:hAnsi="Times New Roman"/>
                <w:sz w:val="24"/>
                <w:szCs w:val="24"/>
                <w:lang w:val="ro-RO" w:eastAsia="ru-RU"/>
              </w:rPr>
            </w:pPr>
            <w:r w:rsidRPr="00F0782F">
              <w:rPr>
                <w:rFonts w:ascii="Times New Roman" w:hAnsi="Times New Roman"/>
                <w:sz w:val="24"/>
                <w:szCs w:val="24"/>
                <w:lang w:val="ro-RO" w:eastAsia="ru-RU"/>
              </w:rPr>
              <w:t>„10. Declanșarea Mecanismului național are loc în baza deciziei Prim-ministrului privind constatarea crizei sau a crizei majore, adoptată în condițiile Legii nr. 248/2025 privind managementul situațiilor de criză, la propunerea Centrului Național de Management al Crizelor, urmare evaluării riscurilor și a indicatorilor cheie care atestă un aflux sporit de străini, inclusiv creșterea semnificativă a trecerilor peste frontiera de stat de către persoane care solicită sau beneficiază de forme de protecție internațională ori umanitară, precum și alte persoane strămutate, situație susceptibilă să afecteze capacitatea de răspuns a autorităților și instituțiilor publice.”</w:t>
            </w:r>
          </w:p>
        </w:tc>
        <w:tc>
          <w:tcPr>
            <w:tcW w:w="3685" w:type="dxa"/>
          </w:tcPr>
          <w:p w14:paraId="33A17B7D" w14:textId="46BD2BA5" w:rsidR="008F5BA1" w:rsidRPr="008D1C25" w:rsidRDefault="008F5BA1" w:rsidP="008D1C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E1C14">
              <w:rPr>
                <w:rFonts w:ascii="Times New Roman" w:hAnsi="Times New Roman"/>
                <w:b/>
                <w:bCs/>
                <w:sz w:val="24"/>
                <w:szCs w:val="24"/>
                <w:lang w:val="ro-RO"/>
              </w:rPr>
              <w:t>Se acceptă parțial.</w:t>
            </w:r>
            <w:r>
              <w:rPr>
                <w:rFonts w:ascii="Times New Roman" w:hAnsi="Times New Roman"/>
                <w:b/>
                <w:bCs/>
                <w:sz w:val="24"/>
                <w:szCs w:val="24"/>
                <w:lang w:val="ro-RO"/>
              </w:rPr>
              <w:t xml:space="preserve"> </w:t>
            </w:r>
            <w:r w:rsidRPr="008D1C25">
              <w:rPr>
                <w:rFonts w:ascii="Times New Roman" w:hAnsi="Times New Roman"/>
                <w:sz w:val="24"/>
                <w:szCs w:val="24"/>
                <w:lang w:val="ro-RO"/>
              </w:rPr>
              <w:t>Textul a fost revizuit prin excluderea formulării redundante și comasarea prevederilor pct. 10 și 11, fiind reglementată aplicarea Mecanismului național în cadrul sistemului național de management al crizelor, în baza evaluării riscurilor și a indicatorilor specifici, cu menținerea posibilității aplicării măsurilor în faza de prevenire și pregătire.</w:t>
            </w:r>
          </w:p>
        </w:tc>
      </w:tr>
      <w:tr w:rsidR="008F5BA1" w:rsidRPr="007D40FD" w14:paraId="2F8ACCCC" w14:textId="77777777" w:rsidTr="0006422A">
        <w:trPr>
          <w:trHeight w:val="70"/>
        </w:trPr>
        <w:tc>
          <w:tcPr>
            <w:tcW w:w="2163" w:type="dxa"/>
            <w:vMerge/>
            <w:tcMar>
              <w:top w:w="0" w:type="dxa"/>
              <w:left w:w="108" w:type="dxa"/>
              <w:bottom w:w="0" w:type="dxa"/>
              <w:right w:w="108" w:type="dxa"/>
            </w:tcMar>
          </w:tcPr>
          <w:p w14:paraId="4E520FAE"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3D306944"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0A992B48" w14:textId="374816C5" w:rsidR="008F5BA1" w:rsidRPr="00513D30" w:rsidRDefault="008F5BA1" w:rsidP="008D1C25">
            <w:pPr>
              <w:tabs>
                <w:tab w:val="left" w:pos="187"/>
                <w:tab w:val="left" w:pos="1814"/>
              </w:tabs>
              <w:autoSpaceDE w:val="0"/>
              <w:autoSpaceDN w:val="0"/>
              <w:adjustRightInd w:val="0"/>
              <w:ind w:firstLine="0"/>
              <w:rPr>
                <w:rFonts w:ascii="Times New Roman" w:hAnsi="Times New Roman"/>
                <w:sz w:val="24"/>
                <w:szCs w:val="24"/>
                <w:lang w:val="ro-RO" w:eastAsia="ru-RU"/>
              </w:rPr>
            </w:pPr>
            <w:r w:rsidRPr="00513D30">
              <w:rPr>
                <w:rFonts w:ascii="Times New Roman" w:hAnsi="Times New Roman"/>
                <w:sz w:val="24"/>
                <w:szCs w:val="24"/>
                <w:lang w:val="ro-RO" w:eastAsia="ru-RU"/>
              </w:rPr>
              <w:t xml:space="preserve">La proiectul Mecanismului național: potrivit pct. 23, în cazul crizei generate de afluxul sporit de străini, Ministerul Afacerilor Interne este instituția, responsabilă de conducerea operațiilor la nivel național, prin conducătorul operațiilor desemnat în condițiile legii. Totodată, conform </w:t>
            </w:r>
            <w:proofErr w:type="spellStart"/>
            <w:r w:rsidRPr="00513D30">
              <w:rPr>
                <w:rFonts w:ascii="Times New Roman" w:hAnsi="Times New Roman"/>
                <w:sz w:val="24"/>
                <w:szCs w:val="24"/>
                <w:lang w:val="ro-RO" w:eastAsia="ru-RU"/>
              </w:rPr>
              <w:t>subpct</w:t>
            </w:r>
            <w:proofErr w:type="spellEnd"/>
            <w:r w:rsidRPr="00513D30">
              <w:rPr>
                <w:rFonts w:ascii="Times New Roman" w:hAnsi="Times New Roman"/>
                <w:sz w:val="24"/>
                <w:szCs w:val="24"/>
                <w:lang w:val="ro-RO" w:eastAsia="ru-RU"/>
              </w:rPr>
              <w:t>. 55.3.7, Centrul Național de Management al Crizelor asigură cadrul de coordonare strategică a gestionării situației umanitare, în cooperare cu instituția principală și instituțiile de sprijin.</w:t>
            </w:r>
          </w:p>
          <w:p w14:paraId="311E1810" w14:textId="77777777" w:rsidR="008F5BA1" w:rsidRPr="00513D30" w:rsidRDefault="008F5BA1" w:rsidP="008D1C25">
            <w:pPr>
              <w:tabs>
                <w:tab w:val="left" w:pos="187"/>
                <w:tab w:val="left" w:pos="1814"/>
              </w:tabs>
              <w:autoSpaceDE w:val="0"/>
              <w:autoSpaceDN w:val="0"/>
              <w:adjustRightInd w:val="0"/>
              <w:ind w:firstLine="0"/>
              <w:rPr>
                <w:rFonts w:ascii="Times New Roman" w:hAnsi="Times New Roman"/>
                <w:sz w:val="24"/>
                <w:szCs w:val="24"/>
                <w:lang w:val="ro-RO" w:eastAsia="ru-RU"/>
              </w:rPr>
            </w:pPr>
            <w:r w:rsidRPr="00513D30">
              <w:rPr>
                <w:rFonts w:ascii="Times New Roman" w:hAnsi="Times New Roman"/>
                <w:sz w:val="24"/>
                <w:szCs w:val="24"/>
                <w:lang w:val="ro-RO" w:eastAsia="ru-RU"/>
              </w:rPr>
              <w:t>Sub acest aspect, se constată o necorelare a atribuțiilor stabilite pentru Ministerul Afacerilor Interne și Centrul Național de Management al Crizelor. Astfel, Ministerul Afacerilor Interne este desemnat responsabil de conducerea operațiilor la nivel național, în timp ce Centrului Național de Management al Crizelor îi sunt atribuite competențe de coordonare strategică și de management al implementării deciziilor.</w:t>
            </w:r>
          </w:p>
          <w:p w14:paraId="0543347E" w14:textId="6A8DEC69" w:rsidR="008F5BA1" w:rsidRPr="00513D30" w:rsidRDefault="008F5BA1" w:rsidP="008D1C25">
            <w:pPr>
              <w:tabs>
                <w:tab w:val="left" w:pos="187"/>
                <w:tab w:val="left" w:pos="1814"/>
              </w:tabs>
              <w:autoSpaceDE w:val="0"/>
              <w:autoSpaceDN w:val="0"/>
              <w:adjustRightInd w:val="0"/>
              <w:ind w:firstLine="0"/>
              <w:rPr>
                <w:rFonts w:ascii="Times New Roman" w:hAnsi="Times New Roman"/>
                <w:sz w:val="24"/>
                <w:szCs w:val="24"/>
                <w:lang w:val="ro-RO" w:eastAsia="ru-RU"/>
              </w:rPr>
            </w:pPr>
            <w:r w:rsidRPr="00513D30">
              <w:rPr>
                <w:rFonts w:ascii="Times New Roman" w:hAnsi="Times New Roman"/>
                <w:sz w:val="24"/>
                <w:szCs w:val="24"/>
                <w:lang w:val="ro-RO" w:eastAsia="ru-RU"/>
              </w:rPr>
              <w:t>În aceste condiții, delimitarea atribuțiilor nu este suficient de clară, existând riscul suprapunerii competențelor și al unei duble coordonări a acțiunilor de răspuns la criză. Respectiv, se impune clarificarea raportului dintre competențele de conducere operațională și cele de coordonare strategică.</w:t>
            </w:r>
          </w:p>
        </w:tc>
        <w:tc>
          <w:tcPr>
            <w:tcW w:w="3685" w:type="dxa"/>
          </w:tcPr>
          <w:p w14:paraId="2E211CCA" w14:textId="77777777" w:rsidR="008F5BA1" w:rsidRPr="0095395C" w:rsidRDefault="008F5BA1" w:rsidP="0095395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0782F">
              <w:rPr>
                <w:rFonts w:ascii="Times New Roman" w:hAnsi="Times New Roman"/>
                <w:b/>
                <w:bCs/>
                <w:sz w:val="24"/>
                <w:szCs w:val="24"/>
                <w:lang w:val="ro-RO"/>
              </w:rPr>
              <w:t xml:space="preserve">Se acceptă. </w:t>
            </w:r>
            <w:r w:rsidRPr="0095395C">
              <w:rPr>
                <w:rFonts w:ascii="Times New Roman" w:hAnsi="Times New Roman"/>
                <w:sz w:val="24"/>
                <w:szCs w:val="24"/>
                <w:lang w:val="ro-RO"/>
              </w:rPr>
              <w:t>În vederea evitării dublajelor normative și asigurării coerenței cadrului juridic, prevederile Capitolului V, Secțiunea 2 au fost revizuite, fiind excluse unele puncte și subpuncte care reproduceau atribuții deja reglementate în Legea nr. 248/2025 și în actele normative subsecvente.</w:t>
            </w:r>
          </w:p>
          <w:p w14:paraId="7E4170A1" w14:textId="475A3CB0" w:rsidR="008F5BA1" w:rsidRPr="00513D30" w:rsidRDefault="008F5BA1" w:rsidP="0095395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95395C">
              <w:rPr>
                <w:rFonts w:ascii="Times New Roman" w:hAnsi="Times New Roman"/>
                <w:sz w:val="24"/>
                <w:szCs w:val="24"/>
                <w:lang w:val="ro-RO"/>
              </w:rPr>
              <w:t>Reglementările respective au fost reformulate într-o manieră generală, prin utilizarea trimiterilor la cadrul normativ aplicabil.</w:t>
            </w:r>
          </w:p>
        </w:tc>
      </w:tr>
      <w:tr w:rsidR="008F5BA1" w:rsidRPr="007D40FD" w14:paraId="7C92AA15" w14:textId="77777777" w:rsidTr="0006422A">
        <w:trPr>
          <w:trHeight w:val="70"/>
        </w:trPr>
        <w:tc>
          <w:tcPr>
            <w:tcW w:w="2163" w:type="dxa"/>
            <w:vMerge/>
            <w:tcMar>
              <w:top w:w="0" w:type="dxa"/>
              <w:left w:w="108" w:type="dxa"/>
              <w:bottom w:w="0" w:type="dxa"/>
              <w:right w:w="108" w:type="dxa"/>
            </w:tcMar>
          </w:tcPr>
          <w:p w14:paraId="686C3421"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1A18C88F"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43D2D603" w14:textId="58D7E1A3" w:rsidR="008F5BA1" w:rsidRPr="004F00B4" w:rsidRDefault="008F5BA1" w:rsidP="008D1C25">
            <w:pPr>
              <w:tabs>
                <w:tab w:val="left" w:pos="187"/>
                <w:tab w:val="left" w:pos="1814"/>
              </w:tabs>
              <w:autoSpaceDE w:val="0"/>
              <w:autoSpaceDN w:val="0"/>
              <w:adjustRightInd w:val="0"/>
              <w:ind w:firstLine="0"/>
              <w:rPr>
                <w:rFonts w:ascii="Times New Roman" w:hAnsi="Times New Roman"/>
                <w:sz w:val="24"/>
                <w:szCs w:val="24"/>
                <w:lang w:val="ro-RO" w:eastAsia="ru-RU"/>
              </w:rPr>
            </w:pPr>
            <w:r w:rsidRPr="004F00B4">
              <w:rPr>
                <w:rFonts w:ascii="Times New Roman" w:hAnsi="Times New Roman"/>
                <w:sz w:val="24"/>
                <w:szCs w:val="24"/>
                <w:lang w:val="ro-RO" w:eastAsia="ru-RU"/>
              </w:rPr>
              <w:t xml:space="preserve">La proiectul Mecanismului național: la </w:t>
            </w:r>
            <w:proofErr w:type="spellStart"/>
            <w:r w:rsidRPr="004F00B4">
              <w:rPr>
                <w:rFonts w:ascii="Times New Roman" w:hAnsi="Times New Roman"/>
                <w:sz w:val="24"/>
                <w:szCs w:val="24"/>
                <w:lang w:val="ro-RO" w:eastAsia="ru-RU"/>
              </w:rPr>
              <w:t>subpct</w:t>
            </w:r>
            <w:proofErr w:type="spellEnd"/>
            <w:r w:rsidRPr="004F00B4">
              <w:rPr>
                <w:rFonts w:ascii="Times New Roman" w:hAnsi="Times New Roman"/>
                <w:sz w:val="24"/>
                <w:szCs w:val="24"/>
                <w:lang w:val="ro-RO" w:eastAsia="ru-RU"/>
              </w:rPr>
              <w:t>. 44.4, se recomandă corelarea textului și terminologiei utilizate cu prevederile art. 35 din Legea nr. 28/2024 cu privire la frontiera de stat a Republicii Moldova, potrivit căruia, în perioada stării de urgență declarate la nivel național, în cazul unui aflux masiv de persoane strămutate, autorizarea trecerii persoanelor poate fi admisă în afara punctelor de trecere, prin înființarea unor locuri special amenajate.</w:t>
            </w:r>
          </w:p>
        </w:tc>
        <w:tc>
          <w:tcPr>
            <w:tcW w:w="3685" w:type="dxa"/>
          </w:tcPr>
          <w:p w14:paraId="0A69168C" w14:textId="483D80F9" w:rsidR="008F5BA1" w:rsidRPr="00086E60" w:rsidRDefault="008F5BA1" w:rsidP="008D1C25">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086E60">
              <w:rPr>
                <w:rFonts w:ascii="Times New Roman" w:hAnsi="Times New Roman"/>
                <w:b/>
                <w:bCs/>
                <w:sz w:val="24"/>
                <w:szCs w:val="24"/>
                <w:lang w:val="ro-RO"/>
              </w:rPr>
              <w:t>Se acceptă</w:t>
            </w:r>
            <w:r w:rsidRPr="00086E60">
              <w:rPr>
                <w:rFonts w:ascii="Times New Roman" w:hAnsi="Times New Roman"/>
                <w:sz w:val="24"/>
                <w:szCs w:val="24"/>
                <w:lang w:val="ro-RO"/>
              </w:rPr>
              <w:t>. Textul a fost revizuit în vederea corelării cu prevederile art. 35 din Legea nr. 28/2024 privind frontiera de stat, fiind utilizată terminologia legală și precizate condițiile în care poate fi autorizată trecerea persoanelor în afara punctelor de trecere.</w:t>
            </w:r>
          </w:p>
        </w:tc>
      </w:tr>
      <w:tr w:rsidR="008F5BA1" w:rsidRPr="007D40FD" w14:paraId="026A8A4C" w14:textId="77777777" w:rsidTr="0006422A">
        <w:trPr>
          <w:trHeight w:val="70"/>
        </w:trPr>
        <w:tc>
          <w:tcPr>
            <w:tcW w:w="2163" w:type="dxa"/>
            <w:vMerge/>
            <w:tcMar>
              <w:top w:w="0" w:type="dxa"/>
              <w:left w:w="108" w:type="dxa"/>
              <w:bottom w:w="0" w:type="dxa"/>
              <w:right w:w="108" w:type="dxa"/>
            </w:tcMar>
          </w:tcPr>
          <w:p w14:paraId="273A9A0E"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E34C0BD"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18D2C83D" w14:textId="469C9769" w:rsidR="008F5BA1" w:rsidRPr="00CF4641" w:rsidRDefault="008F5BA1" w:rsidP="008D1C25">
            <w:pPr>
              <w:tabs>
                <w:tab w:val="left" w:pos="187"/>
                <w:tab w:val="left" w:pos="1814"/>
              </w:tabs>
              <w:autoSpaceDE w:val="0"/>
              <w:autoSpaceDN w:val="0"/>
              <w:adjustRightInd w:val="0"/>
              <w:ind w:firstLine="0"/>
              <w:rPr>
                <w:rFonts w:ascii="Times New Roman" w:hAnsi="Times New Roman"/>
                <w:sz w:val="24"/>
                <w:szCs w:val="24"/>
                <w:lang w:val="ro-RO" w:eastAsia="ru-RU"/>
              </w:rPr>
            </w:pPr>
            <w:r w:rsidRPr="00CF4641">
              <w:rPr>
                <w:rFonts w:ascii="Times New Roman" w:hAnsi="Times New Roman"/>
                <w:sz w:val="24"/>
                <w:szCs w:val="24"/>
                <w:lang w:val="ro-RO" w:eastAsia="ru-RU"/>
              </w:rPr>
              <w:t>La proiectul Mecanismului național: la capitolul V, secțiunea 2, se constată că în proiect sunt preluate o serie de atribuții deja prevăzute în Legea nr. 248/2025 privind managementul situațiilor de criză și Regulamentul privind organizarea și funcționarea Centrului Național de Coordonare Integrată a acțiunilor de Ordine Publică, aprobat prin Hotărârea Guvernului nr. 1206/2016. Sub acest aspect, în vederea evitării dublajelor normative, precum și în scopul evitării unor eventuale neconcordanțe dintre proiect și actele normative indicate, se recomandă excluderea atribuțiilor/funcțiilor deja reglementate în cadrul legal existent sau, după caz, limitarea la trimiterile corespunzătoare.</w:t>
            </w:r>
          </w:p>
        </w:tc>
        <w:tc>
          <w:tcPr>
            <w:tcW w:w="3685" w:type="dxa"/>
          </w:tcPr>
          <w:p w14:paraId="69587AC3" w14:textId="463F456F" w:rsidR="008F5BA1" w:rsidRPr="00086E60" w:rsidRDefault="008F5BA1" w:rsidP="008D1C25">
            <w:pPr>
              <w:pBdr>
                <w:top w:val="none" w:sz="4" w:space="0" w:color="000000"/>
                <w:left w:val="none" w:sz="4" w:space="0" w:color="000000"/>
                <w:bottom w:val="none" w:sz="4" w:space="0" w:color="000000"/>
                <w:right w:val="none" w:sz="4" w:space="0" w:color="000000"/>
              </w:pBdr>
              <w:ind w:firstLine="0"/>
              <w:rPr>
                <w:b/>
                <w:bCs/>
                <w:sz w:val="24"/>
                <w:szCs w:val="24"/>
                <w:lang w:val="ro-RO"/>
              </w:rPr>
            </w:pPr>
            <w:r w:rsidRPr="00086E60">
              <w:rPr>
                <w:rFonts w:ascii="Times New Roman" w:hAnsi="Times New Roman"/>
                <w:b/>
                <w:bCs/>
                <w:sz w:val="24"/>
                <w:szCs w:val="24"/>
                <w:lang w:val="ro-RO"/>
              </w:rPr>
              <w:t>Se acceptă</w:t>
            </w:r>
            <w:r w:rsidRPr="00086E60">
              <w:rPr>
                <w:rFonts w:ascii="Times New Roman" w:hAnsi="Times New Roman"/>
                <w:sz w:val="24"/>
                <w:szCs w:val="24"/>
                <w:lang w:val="ro-RO"/>
              </w:rPr>
              <w:t xml:space="preserve">. </w:t>
            </w:r>
            <w:r w:rsidRPr="00CF4641">
              <w:rPr>
                <w:rFonts w:ascii="Times New Roman" w:hAnsi="Times New Roman"/>
                <w:sz w:val="24"/>
                <w:szCs w:val="24"/>
                <w:lang w:val="ro-RO"/>
              </w:rPr>
              <w:t>Capitolul V, Secțiunea 2 a fost revizuită prin eliminarea atribuțiilor care reproduc norme deja reglementate în cadrul legal existent și prin reformularea prevederilor într-o manieră generală, cu trimitere la competențele stabilite de Legea nr. 248/2025 și actele normative subsecvente, în vederea evitării dublajelor normative și asigurării coerenței cadrului juridic.</w:t>
            </w:r>
          </w:p>
        </w:tc>
      </w:tr>
      <w:tr w:rsidR="008F5BA1" w:rsidRPr="007D40FD" w14:paraId="65DDFFC2" w14:textId="77777777" w:rsidTr="0006422A">
        <w:trPr>
          <w:trHeight w:val="70"/>
        </w:trPr>
        <w:tc>
          <w:tcPr>
            <w:tcW w:w="2163" w:type="dxa"/>
            <w:vMerge/>
            <w:tcMar>
              <w:top w:w="0" w:type="dxa"/>
              <w:left w:w="108" w:type="dxa"/>
              <w:bottom w:w="0" w:type="dxa"/>
              <w:right w:w="108" w:type="dxa"/>
            </w:tcMar>
          </w:tcPr>
          <w:p w14:paraId="3EF822CB"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505B9026"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63B5E9CE" w14:textId="565C2110" w:rsidR="008F5BA1" w:rsidRPr="0095395C" w:rsidRDefault="008F5BA1" w:rsidP="008D1C25">
            <w:pPr>
              <w:tabs>
                <w:tab w:val="left" w:pos="187"/>
                <w:tab w:val="left" w:pos="1814"/>
              </w:tabs>
              <w:autoSpaceDE w:val="0"/>
              <w:autoSpaceDN w:val="0"/>
              <w:adjustRightInd w:val="0"/>
              <w:ind w:firstLine="0"/>
              <w:rPr>
                <w:rFonts w:ascii="Times New Roman" w:hAnsi="Times New Roman"/>
                <w:sz w:val="24"/>
                <w:szCs w:val="24"/>
                <w:lang w:val="ro-RO" w:eastAsia="ru-RU"/>
              </w:rPr>
            </w:pPr>
            <w:r w:rsidRPr="0095395C">
              <w:rPr>
                <w:rFonts w:ascii="Times New Roman" w:hAnsi="Times New Roman"/>
                <w:sz w:val="24"/>
                <w:szCs w:val="24"/>
                <w:lang w:val="ro-RO" w:eastAsia="ru-RU"/>
              </w:rPr>
              <w:t>La proiectul Mecanismului național: cu referire la capitolul dispozițiilor finale, se notează că acesta nu se utilizează în anexe. Drept urmare, se recomandă redenumirea capitolului nominalizat.</w:t>
            </w:r>
          </w:p>
        </w:tc>
        <w:tc>
          <w:tcPr>
            <w:tcW w:w="3685" w:type="dxa"/>
          </w:tcPr>
          <w:p w14:paraId="54D7622B" w14:textId="7A89B42F" w:rsidR="008F5BA1" w:rsidRPr="00086E60" w:rsidRDefault="008F5BA1" w:rsidP="008D1C25">
            <w:pPr>
              <w:pBdr>
                <w:top w:val="none" w:sz="4" w:space="0" w:color="000000"/>
                <w:left w:val="none" w:sz="4" w:space="0" w:color="000000"/>
                <w:bottom w:val="none" w:sz="4" w:space="0" w:color="000000"/>
                <w:right w:val="none" w:sz="4" w:space="0" w:color="000000"/>
              </w:pBdr>
              <w:ind w:firstLine="0"/>
              <w:rPr>
                <w:b/>
                <w:bCs/>
                <w:sz w:val="24"/>
                <w:szCs w:val="24"/>
                <w:lang w:val="ro-RO"/>
              </w:rPr>
            </w:pPr>
            <w:r w:rsidRPr="00086E60">
              <w:rPr>
                <w:rFonts w:ascii="Times New Roman" w:hAnsi="Times New Roman"/>
                <w:b/>
                <w:bCs/>
                <w:sz w:val="24"/>
                <w:szCs w:val="24"/>
                <w:lang w:val="ro-RO"/>
              </w:rPr>
              <w:t>Se acceptă</w:t>
            </w:r>
            <w:r w:rsidRPr="00086E60">
              <w:rPr>
                <w:rFonts w:ascii="Times New Roman" w:hAnsi="Times New Roman"/>
                <w:sz w:val="24"/>
                <w:szCs w:val="24"/>
                <w:lang w:val="ro-RO"/>
              </w:rPr>
              <w:t xml:space="preserve">. </w:t>
            </w:r>
            <w:r w:rsidRPr="00FA7100">
              <w:rPr>
                <w:rFonts w:ascii="Times New Roman" w:hAnsi="Times New Roman"/>
                <w:sz w:val="24"/>
                <w:szCs w:val="24"/>
                <w:lang w:val="ro-RO"/>
              </w:rPr>
              <w:t>Denumirea capitolului a fost modificată, în vederea respectării regulilor de tehnică legislativă aplicabile anexelor la actele normative.</w:t>
            </w:r>
          </w:p>
        </w:tc>
      </w:tr>
      <w:tr w:rsidR="008F5BA1" w:rsidRPr="007D40FD" w14:paraId="4A2C6476" w14:textId="77777777" w:rsidTr="0006422A">
        <w:trPr>
          <w:trHeight w:val="70"/>
        </w:trPr>
        <w:tc>
          <w:tcPr>
            <w:tcW w:w="2163" w:type="dxa"/>
            <w:vMerge/>
            <w:tcMar>
              <w:top w:w="0" w:type="dxa"/>
              <w:left w:w="108" w:type="dxa"/>
              <w:bottom w:w="0" w:type="dxa"/>
              <w:right w:w="108" w:type="dxa"/>
            </w:tcMar>
          </w:tcPr>
          <w:p w14:paraId="4ED98D6B"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0B132CCC"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266704A7" w14:textId="6A14C130" w:rsidR="008F5BA1" w:rsidRPr="00D9590F" w:rsidRDefault="008F5BA1" w:rsidP="00D9590F">
            <w:pPr>
              <w:tabs>
                <w:tab w:val="left" w:pos="187"/>
                <w:tab w:val="left" w:pos="1814"/>
              </w:tabs>
              <w:autoSpaceDE w:val="0"/>
              <w:autoSpaceDN w:val="0"/>
              <w:adjustRightInd w:val="0"/>
              <w:ind w:firstLine="0"/>
              <w:rPr>
                <w:rFonts w:ascii="Times New Roman" w:hAnsi="Times New Roman"/>
                <w:sz w:val="24"/>
                <w:szCs w:val="24"/>
                <w:lang w:val="ro-RO" w:eastAsia="ru-RU"/>
              </w:rPr>
            </w:pPr>
            <w:r w:rsidRPr="0095395C">
              <w:rPr>
                <w:rFonts w:ascii="Times New Roman" w:hAnsi="Times New Roman"/>
                <w:sz w:val="24"/>
                <w:szCs w:val="24"/>
                <w:lang w:val="ro-RO" w:eastAsia="ru-RU"/>
              </w:rPr>
              <w:t xml:space="preserve">La proiectul </w:t>
            </w:r>
            <w:r w:rsidRPr="00D9590F">
              <w:rPr>
                <w:rFonts w:ascii="Times New Roman" w:hAnsi="Times New Roman"/>
                <w:sz w:val="24"/>
                <w:szCs w:val="24"/>
                <w:lang w:val="ro-RO" w:eastAsia="ru-RU"/>
              </w:rPr>
              <w:t>Mecanismului național: la pct. 63, având în vedere că, potrivit Legii nr. 245/2025, momentul încetării stării de alertă/urgență poate fi diferit, inclusiv la expirarea termenului inițial stabilit, se recomandă expunerea normei după cum urmează:</w:t>
            </w:r>
          </w:p>
          <w:p w14:paraId="592A41A0" w14:textId="77777777" w:rsidR="008F5BA1" w:rsidRPr="00D9590F" w:rsidRDefault="008F5BA1" w:rsidP="00D9590F">
            <w:pPr>
              <w:tabs>
                <w:tab w:val="left" w:pos="187"/>
                <w:tab w:val="left" w:pos="1814"/>
              </w:tabs>
              <w:autoSpaceDE w:val="0"/>
              <w:autoSpaceDN w:val="0"/>
              <w:adjustRightInd w:val="0"/>
              <w:ind w:firstLine="0"/>
              <w:rPr>
                <w:rFonts w:ascii="Times New Roman" w:hAnsi="Times New Roman"/>
                <w:sz w:val="24"/>
                <w:szCs w:val="24"/>
                <w:lang w:val="ro-RO" w:eastAsia="ru-RU"/>
              </w:rPr>
            </w:pPr>
            <w:r w:rsidRPr="00D9590F">
              <w:rPr>
                <w:rFonts w:ascii="Times New Roman" w:hAnsi="Times New Roman"/>
                <w:sz w:val="24"/>
                <w:szCs w:val="24"/>
                <w:lang w:val="ro-RO" w:eastAsia="ru-RU"/>
              </w:rPr>
              <w:t>„63. Prezentul Mecanism național încetează la data încetării stării de alertă sau stării de urgență, în condițiile Legii nr. 248/2025 privind managementul situațiilor de criză.”</w:t>
            </w:r>
          </w:p>
          <w:p w14:paraId="79AA494D" w14:textId="4524717D" w:rsidR="008F5BA1" w:rsidRPr="0095395C" w:rsidRDefault="008F5BA1" w:rsidP="00D9590F">
            <w:pPr>
              <w:tabs>
                <w:tab w:val="left" w:pos="187"/>
                <w:tab w:val="left" w:pos="1814"/>
              </w:tabs>
              <w:autoSpaceDE w:val="0"/>
              <w:autoSpaceDN w:val="0"/>
              <w:adjustRightInd w:val="0"/>
              <w:ind w:firstLine="0"/>
              <w:rPr>
                <w:sz w:val="24"/>
                <w:szCs w:val="24"/>
                <w:lang w:val="ro-RO" w:eastAsia="ru-RU"/>
              </w:rPr>
            </w:pPr>
            <w:r w:rsidRPr="00D9590F">
              <w:rPr>
                <w:rFonts w:ascii="Times New Roman" w:hAnsi="Times New Roman"/>
                <w:sz w:val="24"/>
                <w:szCs w:val="24"/>
                <w:lang w:val="ro-RO" w:eastAsia="ru-RU"/>
              </w:rPr>
              <w:t>În același context, se remarcă faptul că, deși proiectul prevede încetarea aplicării Mecanismului național odată cu încetarea stării de criză, acesta continuă să reglementeze măsuri și acțiuni ce trebuie întreprinse după criză. În consecință, se consideră necesară clarificarea momentului încetării aplicării Mecanismului național, având în vedere că scopul său principal este gestionarea situațiilor de criză, dar include și măsuri post-criză.</w:t>
            </w:r>
          </w:p>
        </w:tc>
        <w:tc>
          <w:tcPr>
            <w:tcW w:w="3685" w:type="dxa"/>
          </w:tcPr>
          <w:p w14:paraId="14CAFBD9" w14:textId="0A84FCF2" w:rsidR="008F5BA1" w:rsidRPr="00086E60" w:rsidRDefault="008F5BA1" w:rsidP="008D1C25">
            <w:pPr>
              <w:pBdr>
                <w:top w:val="none" w:sz="4" w:space="0" w:color="000000"/>
                <w:left w:val="none" w:sz="4" w:space="0" w:color="000000"/>
                <w:bottom w:val="none" w:sz="4" w:space="0" w:color="000000"/>
                <w:right w:val="none" w:sz="4" w:space="0" w:color="000000"/>
              </w:pBdr>
              <w:ind w:firstLine="0"/>
              <w:rPr>
                <w:b/>
                <w:bCs/>
                <w:sz w:val="24"/>
                <w:szCs w:val="24"/>
                <w:lang w:val="ro-RO"/>
              </w:rPr>
            </w:pPr>
            <w:r w:rsidRPr="003E1C14">
              <w:rPr>
                <w:rFonts w:ascii="Times New Roman" w:hAnsi="Times New Roman"/>
                <w:b/>
                <w:bCs/>
                <w:sz w:val="24"/>
                <w:szCs w:val="24"/>
                <w:lang w:val="ro-RO"/>
              </w:rPr>
              <w:t>Se acceptă parțial.</w:t>
            </w:r>
            <w:r>
              <w:rPr>
                <w:rFonts w:ascii="Times New Roman" w:hAnsi="Times New Roman"/>
                <w:b/>
                <w:bCs/>
                <w:sz w:val="24"/>
                <w:szCs w:val="24"/>
                <w:lang w:val="ro-RO"/>
              </w:rPr>
              <w:t xml:space="preserve"> </w:t>
            </w:r>
            <w:r w:rsidRPr="00657787">
              <w:rPr>
                <w:rFonts w:ascii="Times New Roman" w:hAnsi="Times New Roman"/>
                <w:sz w:val="24"/>
                <w:szCs w:val="24"/>
                <w:lang w:val="ro-RO"/>
              </w:rPr>
              <w:t xml:space="preserve">Prevederile pct. 63 au fost revizuite în vederea corelării cu regimurile juridice prevăzute de Legea nr. 248/2025, fiind stabilit momentul încetării aplicării măsurilor de răspuns. Totodată, pentru asigurarea coerenței mecanismului, s-a prevăzut continuarea aplicării </w:t>
            </w:r>
            <w:r w:rsidRPr="00657787">
              <w:rPr>
                <w:rFonts w:ascii="Times New Roman" w:hAnsi="Times New Roman"/>
                <w:sz w:val="24"/>
                <w:szCs w:val="24"/>
                <w:lang w:val="ro-RO"/>
              </w:rPr>
              <w:lastRenderedPageBreak/>
              <w:t>măsurilor aferente fazei de recuperare post-criză.</w:t>
            </w:r>
          </w:p>
        </w:tc>
      </w:tr>
      <w:tr w:rsidR="008F5BA1" w:rsidRPr="007D40FD" w14:paraId="644D04B2" w14:textId="77777777" w:rsidTr="0006422A">
        <w:trPr>
          <w:trHeight w:val="70"/>
        </w:trPr>
        <w:tc>
          <w:tcPr>
            <w:tcW w:w="2163" w:type="dxa"/>
            <w:vMerge/>
            <w:tcMar>
              <w:top w:w="0" w:type="dxa"/>
              <w:left w:w="108" w:type="dxa"/>
              <w:bottom w:w="0" w:type="dxa"/>
              <w:right w:w="108" w:type="dxa"/>
            </w:tcMar>
          </w:tcPr>
          <w:p w14:paraId="31EBF46F"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440D1766"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45476C10" w14:textId="3EA544D4" w:rsidR="008F5BA1" w:rsidRPr="007D4C57" w:rsidRDefault="008F5BA1" w:rsidP="00D55273">
            <w:pPr>
              <w:tabs>
                <w:tab w:val="left" w:pos="187"/>
                <w:tab w:val="left" w:pos="1814"/>
              </w:tabs>
              <w:autoSpaceDE w:val="0"/>
              <w:autoSpaceDN w:val="0"/>
              <w:adjustRightInd w:val="0"/>
              <w:ind w:firstLine="0"/>
              <w:rPr>
                <w:rFonts w:ascii="Times New Roman" w:hAnsi="Times New Roman"/>
                <w:sz w:val="24"/>
                <w:szCs w:val="24"/>
                <w:lang w:val="ro-RO" w:eastAsia="ru-RU"/>
              </w:rPr>
            </w:pPr>
            <w:r w:rsidRPr="007D4C57">
              <w:rPr>
                <w:rFonts w:ascii="Times New Roman" w:hAnsi="Times New Roman"/>
                <w:sz w:val="24"/>
                <w:szCs w:val="24"/>
                <w:lang w:val="ro-RO" w:eastAsia="ru-RU"/>
              </w:rPr>
              <w:t xml:space="preserve">La Anexa nr. 1 din Mecanismul național: la </w:t>
            </w:r>
            <w:proofErr w:type="spellStart"/>
            <w:r w:rsidRPr="007D4C57">
              <w:rPr>
                <w:rFonts w:ascii="Times New Roman" w:hAnsi="Times New Roman"/>
                <w:sz w:val="24"/>
                <w:szCs w:val="24"/>
                <w:lang w:val="ro-RO" w:eastAsia="ru-RU"/>
              </w:rPr>
              <w:t>subpct</w:t>
            </w:r>
            <w:proofErr w:type="spellEnd"/>
            <w:r w:rsidRPr="007D4C57">
              <w:rPr>
                <w:rFonts w:ascii="Times New Roman" w:hAnsi="Times New Roman"/>
                <w:sz w:val="24"/>
                <w:szCs w:val="24"/>
                <w:lang w:val="ro-RO" w:eastAsia="ru-RU"/>
              </w:rPr>
              <w:t xml:space="preserve">. 4.2.2, Ministerul Justiției se va exclude din lista instituțiilor de sprijin, întrucât acesta nu deține competențe în desfășurarea activităților de prevenire și combatere a traficului de ființe umane, identificarea victimelor și a traficanților. În același context, având în vedere funcțiile stabilite în Regulamentul cu privire la organizarea și funcționarea Ministerului Justiției, aprobat prin Hotărârea Guvernului nr. 698/2017, acesta se va exclude inclusiv de la </w:t>
            </w:r>
            <w:proofErr w:type="spellStart"/>
            <w:r w:rsidRPr="007D4C57">
              <w:rPr>
                <w:rFonts w:ascii="Times New Roman" w:hAnsi="Times New Roman"/>
                <w:sz w:val="24"/>
                <w:szCs w:val="24"/>
                <w:lang w:val="ro-RO" w:eastAsia="ru-RU"/>
              </w:rPr>
              <w:t>subpct</w:t>
            </w:r>
            <w:proofErr w:type="spellEnd"/>
            <w:r w:rsidRPr="007D4C57">
              <w:rPr>
                <w:rFonts w:ascii="Times New Roman" w:hAnsi="Times New Roman"/>
                <w:sz w:val="24"/>
                <w:szCs w:val="24"/>
                <w:lang w:val="ro-RO" w:eastAsia="ru-RU"/>
              </w:rPr>
              <w:t>. 4.4.1.</w:t>
            </w:r>
          </w:p>
        </w:tc>
        <w:tc>
          <w:tcPr>
            <w:tcW w:w="3685" w:type="dxa"/>
          </w:tcPr>
          <w:p w14:paraId="60096AA4" w14:textId="763AA50D" w:rsidR="008F5BA1" w:rsidRPr="003E1C14" w:rsidRDefault="008F5BA1" w:rsidP="008D1C25">
            <w:pPr>
              <w:pBdr>
                <w:top w:val="none" w:sz="4" w:space="0" w:color="000000"/>
                <w:left w:val="none" w:sz="4" w:space="0" w:color="000000"/>
                <w:bottom w:val="none" w:sz="4" w:space="0" w:color="000000"/>
                <w:right w:val="none" w:sz="4" w:space="0" w:color="000000"/>
              </w:pBdr>
              <w:ind w:firstLine="0"/>
              <w:rPr>
                <w:b/>
                <w:bCs/>
                <w:sz w:val="24"/>
                <w:szCs w:val="24"/>
                <w:lang w:val="ro-RO"/>
              </w:rPr>
            </w:pPr>
            <w:r w:rsidRPr="00F0782F">
              <w:rPr>
                <w:rFonts w:ascii="Times New Roman" w:hAnsi="Times New Roman"/>
                <w:b/>
                <w:bCs/>
                <w:sz w:val="24"/>
                <w:szCs w:val="24"/>
                <w:lang w:val="ro-RO"/>
              </w:rPr>
              <w:t xml:space="preserve">Se acceptă. </w:t>
            </w:r>
            <w:r w:rsidRPr="00F0782F">
              <w:rPr>
                <w:rFonts w:ascii="Times New Roman" w:hAnsi="Times New Roman"/>
                <w:sz w:val="24"/>
                <w:szCs w:val="24"/>
                <w:lang w:val="ro-RO"/>
              </w:rPr>
              <w:t>Modificările au fost operate.</w:t>
            </w:r>
          </w:p>
        </w:tc>
      </w:tr>
      <w:tr w:rsidR="008F5BA1" w:rsidRPr="007D40FD" w14:paraId="2E2469C5" w14:textId="77777777" w:rsidTr="0006422A">
        <w:trPr>
          <w:trHeight w:val="70"/>
        </w:trPr>
        <w:tc>
          <w:tcPr>
            <w:tcW w:w="2163" w:type="dxa"/>
            <w:vMerge/>
            <w:tcMar>
              <w:top w:w="0" w:type="dxa"/>
              <w:left w:w="108" w:type="dxa"/>
              <w:bottom w:w="0" w:type="dxa"/>
              <w:right w:w="108" w:type="dxa"/>
            </w:tcMar>
          </w:tcPr>
          <w:p w14:paraId="2AA8E7F3"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22"/>
              <w:rPr>
                <w:b/>
                <w:sz w:val="24"/>
                <w:szCs w:val="24"/>
                <w:lang w:val="ro-RO"/>
              </w:rPr>
            </w:pPr>
          </w:p>
        </w:tc>
        <w:tc>
          <w:tcPr>
            <w:tcW w:w="531" w:type="dxa"/>
            <w:vMerge/>
            <w:tcMar>
              <w:top w:w="0" w:type="dxa"/>
              <w:left w:w="108" w:type="dxa"/>
              <w:bottom w:w="0" w:type="dxa"/>
              <w:right w:w="108" w:type="dxa"/>
            </w:tcMar>
          </w:tcPr>
          <w:p w14:paraId="2CD71E55" w14:textId="77777777" w:rsidR="008F5BA1" w:rsidRPr="00F47EB4" w:rsidRDefault="008F5BA1" w:rsidP="0025510F">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9072" w:type="dxa"/>
          </w:tcPr>
          <w:p w14:paraId="53B3808A" w14:textId="138CDF94" w:rsidR="008F5BA1" w:rsidRPr="00C9674A" w:rsidRDefault="008F5BA1" w:rsidP="00D55273">
            <w:pPr>
              <w:tabs>
                <w:tab w:val="left" w:pos="187"/>
                <w:tab w:val="left" w:pos="1814"/>
              </w:tabs>
              <w:autoSpaceDE w:val="0"/>
              <w:autoSpaceDN w:val="0"/>
              <w:adjustRightInd w:val="0"/>
              <w:ind w:firstLine="0"/>
              <w:rPr>
                <w:rFonts w:ascii="Times New Roman" w:hAnsi="Times New Roman"/>
                <w:sz w:val="24"/>
                <w:szCs w:val="24"/>
                <w:lang w:val="ro-RO" w:eastAsia="ru-RU"/>
              </w:rPr>
            </w:pPr>
            <w:r w:rsidRPr="00C9674A">
              <w:rPr>
                <w:rFonts w:ascii="Times New Roman" w:hAnsi="Times New Roman"/>
                <w:color w:val="000000"/>
                <w:sz w:val="24"/>
                <w:szCs w:val="24"/>
                <w:lang w:val="ro-RO" w:bidi="en-US"/>
              </w:rPr>
              <w:t xml:space="preserve">La Anexa nr. </w:t>
            </w:r>
            <w:r w:rsidRPr="00C9674A">
              <w:rPr>
                <w:rFonts w:ascii="Times New Roman" w:hAnsi="Times New Roman"/>
                <w:color w:val="000000"/>
                <w:sz w:val="24"/>
                <w:szCs w:val="24"/>
                <w:lang w:val="ro-RO" w:eastAsia="ru-RU" w:bidi="ru-RU"/>
              </w:rPr>
              <w:t xml:space="preserve">3 </w:t>
            </w:r>
            <w:r w:rsidRPr="00C9674A">
              <w:rPr>
                <w:rFonts w:ascii="Times New Roman" w:hAnsi="Times New Roman"/>
                <w:color w:val="000000"/>
                <w:sz w:val="24"/>
                <w:szCs w:val="24"/>
                <w:lang w:val="ro-RO" w:bidi="en-US"/>
              </w:rPr>
              <w:t xml:space="preserve">din Mecanismul </w:t>
            </w:r>
            <w:r w:rsidRPr="00C9674A">
              <w:rPr>
                <w:rFonts w:ascii="Times New Roman" w:hAnsi="Times New Roman"/>
                <w:color w:val="000000"/>
                <w:sz w:val="24"/>
                <w:szCs w:val="24"/>
                <w:lang w:val="ro-RO" w:eastAsia="ro-RO" w:bidi="ro-RO"/>
              </w:rPr>
              <w:t xml:space="preserve">național, în </w:t>
            </w:r>
            <w:r w:rsidRPr="00C9674A">
              <w:rPr>
                <w:rFonts w:ascii="Times New Roman" w:hAnsi="Times New Roman"/>
                <w:color w:val="000000"/>
                <w:sz w:val="24"/>
                <w:szCs w:val="24"/>
                <w:lang w:val="ro-RO" w:bidi="en-US"/>
              </w:rPr>
              <w:t xml:space="preserve">denumire, cuvintele „al persoanelor refugiate” se va substitui cu cuvintele „de </w:t>
            </w:r>
            <w:r w:rsidRPr="00C9674A">
              <w:rPr>
                <w:rFonts w:ascii="Times New Roman" w:hAnsi="Times New Roman"/>
                <w:color w:val="000000"/>
                <w:sz w:val="24"/>
                <w:szCs w:val="24"/>
                <w:lang w:val="ro-RO" w:eastAsia="ro-RO" w:bidi="ro-RO"/>
              </w:rPr>
              <w:t>străini”.</w:t>
            </w:r>
          </w:p>
        </w:tc>
        <w:tc>
          <w:tcPr>
            <w:tcW w:w="3685" w:type="dxa"/>
          </w:tcPr>
          <w:p w14:paraId="285709EC" w14:textId="1CF8BD7F" w:rsidR="008F5BA1" w:rsidRPr="00F0782F" w:rsidRDefault="008F5BA1" w:rsidP="008D1C25">
            <w:pPr>
              <w:pBdr>
                <w:top w:val="none" w:sz="4" w:space="0" w:color="000000"/>
                <w:left w:val="none" w:sz="4" w:space="0" w:color="000000"/>
                <w:bottom w:val="none" w:sz="4" w:space="0" w:color="000000"/>
                <w:right w:val="none" w:sz="4" w:space="0" w:color="000000"/>
              </w:pBdr>
              <w:ind w:firstLine="0"/>
              <w:rPr>
                <w:b/>
                <w:bCs/>
                <w:sz w:val="24"/>
                <w:szCs w:val="24"/>
                <w:lang w:val="ro-RO"/>
              </w:rPr>
            </w:pPr>
            <w:r w:rsidRPr="00F0782F">
              <w:rPr>
                <w:rFonts w:ascii="Times New Roman" w:hAnsi="Times New Roman"/>
                <w:b/>
                <w:bCs/>
                <w:sz w:val="24"/>
                <w:szCs w:val="24"/>
                <w:lang w:val="ro-RO"/>
              </w:rPr>
              <w:t xml:space="preserve">Se acceptă. </w:t>
            </w:r>
            <w:r w:rsidRPr="00F0782F">
              <w:rPr>
                <w:rFonts w:ascii="Times New Roman" w:hAnsi="Times New Roman"/>
                <w:sz w:val="24"/>
                <w:szCs w:val="24"/>
                <w:lang w:val="ro-RO"/>
              </w:rPr>
              <w:t>Modificările au fost operate.</w:t>
            </w:r>
          </w:p>
        </w:tc>
      </w:tr>
    </w:tbl>
    <w:p w14:paraId="6E3C2EFE" w14:textId="77777777" w:rsidR="00FD4724" w:rsidRPr="007D40FD" w:rsidRDefault="00FD4724" w:rsidP="00DE2C48">
      <w:pPr>
        <w:ind w:firstLine="0"/>
        <w:rPr>
          <w:sz w:val="24"/>
          <w:szCs w:val="24"/>
          <w:lang w:val="ro-RO"/>
        </w:rPr>
      </w:pPr>
    </w:p>
    <w:sectPr w:rsidR="00FD4724" w:rsidRPr="007D40FD" w:rsidSect="002C40CA">
      <w:headerReference w:type="default" r:id="rId11"/>
      <w:headerReference w:type="first" r:id="rId12"/>
      <w:pgSz w:w="16840" w:h="11907" w:orient="landscape"/>
      <w:pgMar w:top="1560"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F27D" w14:textId="77777777" w:rsidR="00A22D67" w:rsidRDefault="00A22D67">
      <w:r>
        <w:separator/>
      </w:r>
    </w:p>
  </w:endnote>
  <w:endnote w:type="continuationSeparator" w:id="0">
    <w:p w14:paraId="5639E2E3" w14:textId="77777777" w:rsidR="00A22D67" w:rsidRDefault="00A2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73D5" w14:textId="77777777" w:rsidR="00A22D67" w:rsidRDefault="00A22D67">
      <w:r>
        <w:separator/>
      </w:r>
    </w:p>
  </w:footnote>
  <w:footnote w:type="continuationSeparator" w:id="0">
    <w:p w14:paraId="7411AEA2" w14:textId="77777777" w:rsidR="00A22D67" w:rsidRDefault="00A2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462BB7DC" w:rsidR="00D07A16" w:rsidRPr="00D86C2E" w:rsidRDefault="00D07A16" w:rsidP="009D4C0F">
    <w:pPr>
      <w:pStyle w:val="af6"/>
      <w:ind w:firstLine="0"/>
      <w:jc w:val="center"/>
    </w:pPr>
    <w:r w:rsidRPr="00D86C2E">
      <w:fldChar w:fldCharType="begin"/>
    </w:r>
    <w:r w:rsidRPr="00D86C2E">
      <w:instrText>PAGE   \* MERGEFORMAT</w:instrText>
    </w:r>
    <w:r w:rsidRPr="00D86C2E">
      <w:fldChar w:fldCharType="separate"/>
    </w:r>
    <w:r w:rsidR="00B82688" w:rsidRPr="00D86C2E">
      <w:rPr>
        <w:noProof/>
        <w:lang w:val="ro-RO"/>
      </w:rPr>
      <w:t>24</w:t>
    </w:r>
    <w:r w:rsidRPr="00D86C2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86868"/>
    <w:multiLevelType w:val="multilevel"/>
    <w:tmpl w:val="5486F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C1646A1"/>
    <w:multiLevelType w:val="multilevel"/>
    <w:tmpl w:val="62909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NewRomanPS-BoldMT" w:hAnsi="TimesNewRomanPS-BoldMT" w:cs="TimesNewRomanPS-BoldMT" w:hint="default"/>
        <w:b/>
        <w:color w:val="000000" w:themeColor="text1"/>
      </w:rPr>
    </w:lvl>
    <w:lvl w:ilvl="2">
      <w:start w:val="1"/>
      <w:numFmt w:val="decimal"/>
      <w:isLgl/>
      <w:lvlText w:val="%1.%2.%3."/>
      <w:lvlJc w:val="left"/>
      <w:pPr>
        <w:ind w:left="1080" w:hanging="720"/>
      </w:pPr>
      <w:rPr>
        <w:rFonts w:ascii="TimesNewRomanPS-BoldMT" w:hAnsi="TimesNewRomanPS-BoldMT" w:cs="TimesNewRomanPS-BoldMT" w:hint="default"/>
        <w:b/>
      </w:rPr>
    </w:lvl>
    <w:lvl w:ilvl="3">
      <w:start w:val="1"/>
      <w:numFmt w:val="decimal"/>
      <w:isLgl/>
      <w:lvlText w:val="%1.%2.%3.%4."/>
      <w:lvlJc w:val="left"/>
      <w:pPr>
        <w:ind w:left="1080" w:hanging="720"/>
      </w:pPr>
      <w:rPr>
        <w:rFonts w:ascii="TimesNewRomanPS-BoldMT" w:hAnsi="TimesNewRomanPS-BoldMT" w:cs="TimesNewRomanPS-BoldMT" w:hint="default"/>
        <w:b/>
      </w:rPr>
    </w:lvl>
    <w:lvl w:ilvl="4">
      <w:start w:val="1"/>
      <w:numFmt w:val="decimal"/>
      <w:isLgl/>
      <w:lvlText w:val="%1.%2.%3.%4.%5."/>
      <w:lvlJc w:val="left"/>
      <w:pPr>
        <w:ind w:left="1440" w:hanging="1080"/>
      </w:pPr>
      <w:rPr>
        <w:rFonts w:ascii="TimesNewRomanPS-BoldMT" w:hAnsi="TimesNewRomanPS-BoldMT" w:cs="TimesNewRomanPS-BoldMT" w:hint="default"/>
        <w:b/>
      </w:rPr>
    </w:lvl>
    <w:lvl w:ilvl="5">
      <w:start w:val="1"/>
      <w:numFmt w:val="decimal"/>
      <w:isLgl/>
      <w:lvlText w:val="%1.%2.%3.%4.%5.%6."/>
      <w:lvlJc w:val="left"/>
      <w:pPr>
        <w:ind w:left="1440" w:hanging="1080"/>
      </w:pPr>
      <w:rPr>
        <w:rFonts w:ascii="TimesNewRomanPS-BoldMT" w:hAnsi="TimesNewRomanPS-BoldMT" w:cs="TimesNewRomanPS-BoldMT" w:hint="default"/>
        <w:b/>
      </w:rPr>
    </w:lvl>
    <w:lvl w:ilvl="6">
      <w:start w:val="1"/>
      <w:numFmt w:val="decimal"/>
      <w:isLgl/>
      <w:lvlText w:val="%1.%2.%3.%4.%5.%6.%7."/>
      <w:lvlJc w:val="left"/>
      <w:pPr>
        <w:ind w:left="1800" w:hanging="1440"/>
      </w:pPr>
      <w:rPr>
        <w:rFonts w:ascii="TimesNewRomanPS-BoldMT" w:hAnsi="TimesNewRomanPS-BoldMT" w:cs="TimesNewRomanPS-BoldMT" w:hint="default"/>
        <w:b/>
      </w:rPr>
    </w:lvl>
    <w:lvl w:ilvl="7">
      <w:start w:val="1"/>
      <w:numFmt w:val="decimal"/>
      <w:isLgl/>
      <w:lvlText w:val="%1.%2.%3.%4.%5.%6.%7.%8."/>
      <w:lvlJc w:val="left"/>
      <w:pPr>
        <w:ind w:left="1800" w:hanging="1440"/>
      </w:pPr>
      <w:rPr>
        <w:rFonts w:ascii="TimesNewRomanPS-BoldMT" w:hAnsi="TimesNewRomanPS-BoldMT" w:cs="TimesNewRomanPS-BoldMT" w:hint="default"/>
        <w:b/>
      </w:rPr>
    </w:lvl>
    <w:lvl w:ilvl="8">
      <w:start w:val="1"/>
      <w:numFmt w:val="decimal"/>
      <w:isLgl/>
      <w:lvlText w:val="%1.%2.%3.%4.%5.%6.%7.%8.%9."/>
      <w:lvlJc w:val="left"/>
      <w:pPr>
        <w:ind w:left="2160" w:hanging="1800"/>
      </w:pPr>
      <w:rPr>
        <w:rFonts w:ascii="TimesNewRomanPS-BoldMT" w:hAnsi="TimesNewRomanPS-BoldMT" w:cs="TimesNewRomanPS-BoldMT" w:hint="default"/>
        <w:b/>
      </w:r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9BE3098"/>
    <w:multiLevelType w:val="multilevel"/>
    <w:tmpl w:val="DDE2C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6C32F73"/>
    <w:multiLevelType w:val="hybridMultilevel"/>
    <w:tmpl w:val="9C063B52"/>
    <w:lvl w:ilvl="0" w:tplc="04180001">
      <w:start w:val="1"/>
      <w:numFmt w:val="bullet"/>
      <w:lvlText w:val=""/>
      <w:lvlJc w:val="left"/>
      <w:pPr>
        <w:ind w:left="718" w:hanging="360"/>
      </w:pPr>
      <w:rPr>
        <w:rFonts w:ascii="Symbol" w:hAnsi="Symbol"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C7B27C0"/>
    <w:multiLevelType w:val="hybridMultilevel"/>
    <w:tmpl w:val="32F8AE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8"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A1788F"/>
    <w:multiLevelType w:val="multilevel"/>
    <w:tmpl w:val="B83C5A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7"/>
  </w:num>
  <w:num w:numId="2">
    <w:abstractNumId w:val="39"/>
  </w:num>
  <w:num w:numId="3">
    <w:abstractNumId w:val="15"/>
  </w:num>
  <w:num w:numId="4">
    <w:abstractNumId w:val="30"/>
  </w:num>
  <w:num w:numId="5">
    <w:abstractNumId w:val="18"/>
  </w:num>
  <w:num w:numId="6">
    <w:abstractNumId w:val="12"/>
  </w:num>
  <w:num w:numId="7">
    <w:abstractNumId w:val="5"/>
  </w:num>
  <w:num w:numId="8">
    <w:abstractNumId w:val="6"/>
  </w:num>
  <w:num w:numId="9">
    <w:abstractNumId w:val="27"/>
  </w:num>
  <w:num w:numId="10">
    <w:abstractNumId w:val="3"/>
  </w:num>
  <w:num w:numId="11">
    <w:abstractNumId w:val="26"/>
  </w:num>
  <w:num w:numId="12">
    <w:abstractNumId w:val="2"/>
  </w:num>
  <w:num w:numId="13">
    <w:abstractNumId w:val="41"/>
  </w:num>
  <w:num w:numId="14">
    <w:abstractNumId w:val="19"/>
  </w:num>
  <w:num w:numId="15">
    <w:abstractNumId w:val="20"/>
  </w:num>
  <w:num w:numId="16">
    <w:abstractNumId w:val="35"/>
  </w:num>
  <w:num w:numId="17">
    <w:abstractNumId w:val="32"/>
  </w:num>
  <w:num w:numId="18">
    <w:abstractNumId w:val="24"/>
  </w:num>
  <w:num w:numId="19">
    <w:abstractNumId w:val="21"/>
  </w:num>
  <w:num w:numId="20">
    <w:abstractNumId w:val="8"/>
  </w:num>
  <w:num w:numId="21">
    <w:abstractNumId w:val="34"/>
  </w:num>
  <w:num w:numId="22">
    <w:abstractNumId w:val="4"/>
  </w:num>
  <w:num w:numId="23">
    <w:abstractNumId w:val="14"/>
  </w:num>
  <w:num w:numId="24">
    <w:abstractNumId w:val="10"/>
  </w:num>
  <w:num w:numId="25">
    <w:abstractNumId w:val="22"/>
  </w:num>
  <w:num w:numId="26">
    <w:abstractNumId w:val="38"/>
  </w:num>
  <w:num w:numId="27">
    <w:abstractNumId w:val="28"/>
  </w:num>
  <w:num w:numId="28">
    <w:abstractNumId w:val="44"/>
    <w:lvlOverride w:ilvl="0">
      <w:startOverride w:val="1"/>
    </w:lvlOverride>
  </w:num>
  <w:num w:numId="29">
    <w:abstractNumId w:val="23"/>
  </w:num>
  <w:num w:numId="30">
    <w:abstractNumId w:val="7"/>
  </w:num>
  <w:num w:numId="31">
    <w:abstractNumId w:val="43"/>
  </w:num>
  <w:num w:numId="32">
    <w:abstractNumId w:val="44"/>
  </w:num>
  <w:num w:numId="33">
    <w:abstractNumId w:val="13"/>
  </w:num>
  <w:num w:numId="34">
    <w:abstractNumId w:val="46"/>
  </w:num>
  <w:num w:numId="35">
    <w:abstractNumId w:val="45"/>
  </w:num>
  <w:num w:numId="36">
    <w:abstractNumId w:val="0"/>
  </w:num>
  <w:num w:numId="37">
    <w:abstractNumId w:val="9"/>
  </w:num>
  <w:num w:numId="38">
    <w:abstractNumId w:val="33"/>
  </w:num>
  <w:num w:numId="39">
    <w:abstractNumId w:val="16"/>
  </w:num>
  <w:num w:numId="40">
    <w:abstractNumId w:val="40"/>
  </w:num>
  <w:num w:numId="41">
    <w:abstractNumId w:val="29"/>
  </w:num>
  <w:num w:numId="42">
    <w:abstractNumId w:val="1"/>
  </w:num>
  <w:num w:numId="43">
    <w:abstractNumId w:val="47"/>
  </w:num>
  <w:num w:numId="44">
    <w:abstractNumId w:val="31"/>
  </w:num>
  <w:num w:numId="45">
    <w:abstractNumId w:val="36"/>
  </w:num>
  <w:num w:numId="46">
    <w:abstractNumId w:val="11"/>
  </w:num>
  <w:num w:numId="47">
    <w:abstractNumId w:val="25"/>
  </w:num>
  <w:num w:numId="48">
    <w:abstractNumId w:val="42"/>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2788"/>
    <w:rsid w:val="000048AA"/>
    <w:rsid w:val="00013460"/>
    <w:rsid w:val="00013804"/>
    <w:rsid w:val="00013AC9"/>
    <w:rsid w:val="0001490C"/>
    <w:rsid w:val="0001747F"/>
    <w:rsid w:val="0002435C"/>
    <w:rsid w:val="000270AC"/>
    <w:rsid w:val="00030A47"/>
    <w:rsid w:val="00031BED"/>
    <w:rsid w:val="00032B46"/>
    <w:rsid w:val="000346BF"/>
    <w:rsid w:val="000367E0"/>
    <w:rsid w:val="000374B6"/>
    <w:rsid w:val="0003779C"/>
    <w:rsid w:val="00037EFC"/>
    <w:rsid w:val="000409AE"/>
    <w:rsid w:val="000421B8"/>
    <w:rsid w:val="0004289C"/>
    <w:rsid w:val="00042F81"/>
    <w:rsid w:val="00043AC7"/>
    <w:rsid w:val="00044D19"/>
    <w:rsid w:val="00046203"/>
    <w:rsid w:val="00050600"/>
    <w:rsid w:val="00052045"/>
    <w:rsid w:val="00052ACB"/>
    <w:rsid w:val="00053191"/>
    <w:rsid w:val="00054748"/>
    <w:rsid w:val="00054810"/>
    <w:rsid w:val="0005782A"/>
    <w:rsid w:val="0006002E"/>
    <w:rsid w:val="00063B16"/>
    <w:rsid w:val="0006422A"/>
    <w:rsid w:val="0006461F"/>
    <w:rsid w:val="00066600"/>
    <w:rsid w:val="00066777"/>
    <w:rsid w:val="000713DA"/>
    <w:rsid w:val="00071EAA"/>
    <w:rsid w:val="0007236F"/>
    <w:rsid w:val="00072C5F"/>
    <w:rsid w:val="00074E7C"/>
    <w:rsid w:val="00075A5F"/>
    <w:rsid w:val="00081267"/>
    <w:rsid w:val="00085029"/>
    <w:rsid w:val="000856C8"/>
    <w:rsid w:val="00086E60"/>
    <w:rsid w:val="00092245"/>
    <w:rsid w:val="000927EA"/>
    <w:rsid w:val="0009606C"/>
    <w:rsid w:val="000A6BA5"/>
    <w:rsid w:val="000B388E"/>
    <w:rsid w:val="000B3A3D"/>
    <w:rsid w:val="000B3D87"/>
    <w:rsid w:val="000B50EE"/>
    <w:rsid w:val="000B51BF"/>
    <w:rsid w:val="000B6C60"/>
    <w:rsid w:val="000C041B"/>
    <w:rsid w:val="000C2AB4"/>
    <w:rsid w:val="000D104B"/>
    <w:rsid w:val="000D304A"/>
    <w:rsid w:val="000D5BEE"/>
    <w:rsid w:val="000D5C74"/>
    <w:rsid w:val="000E015F"/>
    <w:rsid w:val="000E1055"/>
    <w:rsid w:val="000E1D40"/>
    <w:rsid w:val="000E2800"/>
    <w:rsid w:val="000E68C1"/>
    <w:rsid w:val="000E6D05"/>
    <w:rsid w:val="000F3AD2"/>
    <w:rsid w:val="000F497A"/>
    <w:rsid w:val="000F5B57"/>
    <w:rsid w:val="000F615E"/>
    <w:rsid w:val="00101FA8"/>
    <w:rsid w:val="00102080"/>
    <w:rsid w:val="00102AD8"/>
    <w:rsid w:val="001062EB"/>
    <w:rsid w:val="00107595"/>
    <w:rsid w:val="00113956"/>
    <w:rsid w:val="001145A9"/>
    <w:rsid w:val="00115501"/>
    <w:rsid w:val="00116035"/>
    <w:rsid w:val="001170D2"/>
    <w:rsid w:val="00117419"/>
    <w:rsid w:val="001211EA"/>
    <w:rsid w:val="00127EF0"/>
    <w:rsid w:val="00132278"/>
    <w:rsid w:val="00133EDE"/>
    <w:rsid w:val="0013589D"/>
    <w:rsid w:val="00135C0B"/>
    <w:rsid w:val="00141A2B"/>
    <w:rsid w:val="00143389"/>
    <w:rsid w:val="00143CC4"/>
    <w:rsid w:val="00145ACC"/>
    <w:rsid w:val="00150728"/>
    <w:rsid w:val="0015146D"/>
    <w:rsid w:val="001536C4"/>
    <w:rsid w:val="00157D40"/>
    <w:rsid w:val="00160ECB"/>
    <w:rsid w:val="00161367"/>
    <w:rsid w:val="00161402"/>
    <w:rsid w:val="001619A2"/>
    <w:rsid w:val="00162BE7"/>
    <w:rsid w:val="00162F53"/>
    <w:rsid w:val="0017006C"/>
    <w:rsid w:val="00174D2C"/>
    <w:rsid w:val="00174E20"/>
    <w:rsid w:val="00180135"/>
    <w:rsid w:val="00180879"/>
    <w:rsid w:val="00182260"/>
    <w:rsid w:val="00184334"/>
    <w:rsid w:val="00185AC8"/>
    <w:rsid w:val="0018654D"/>
    <w:rsid w:val="00191428"/>
    <w:rsid w:val="00191A05"/>
    <w:rsid w:val="0019209D"/>
    <w:rsid w:val="00192410"/>
    <w:rsid w:val="00195871"/>
    <w:rsid w:val="00197621"/>
    <w:rsid w:val="001A1F48"/>
    <w:rsid w:val="001A25C3"/>
    <w:rsid w:val="001A37C7"/>
    <w:rsid w:val="001A3E01"/>
    <w:rsid w:val="001A6CF8"/>
    <w:rsid w:val="001B0205"/>
    <w:rsid w:val="001B3BE4"/>
    <w:rsid w:val="001B3FF6"/>
    <w:rsid w:val="001B414A"/>
    <w:rsid w:val="001B5818"/>
    <w:rsid w:val="001B66A4"/>
    <w:rsid w:val="001B6E6E"/>
    <w:rsid w:val="001C1167"/>
    <w:rsid w:val="001C2F86"/>
    <w:rsid w:val="001C339D"/>
    <w:rsid w:val="001C3F21"/>
    <w:rsid w:val="001C4789"/>
    <w:rsid w:val="001C4EEE"/>
    <w:rsid w:val="001C7835"/>
    <w:rsid w:val="001C7EC3"/>
    <w:rsid w:val="001D1101"/>
    <w:rsid w:val="001D19FD"/>
    <w:rsid w:val="001D2FA2"/>
    <w:rsid w:val="001D6811"/>
    <w:rsid w:val="001D6F66"/>
    <w:rsid w:val="001E11E9"/>
    <w:rsid w:val="001E1274"/>
    <w:rsid w:val="001E3ACA"/>
    <w:rsid w:val="001E4497"/>
    <w:rsid w:val="001E62E3"/>
    <w:rsid w:val="001E7AC7"/>
    <w:rsid w:val="001F0570"/>
    <w:rsid w:val="001F1638"/>
    <w:rsid w:val="001F2097"/>
    <w:rsid w:val="001F2AD1"/>
    <w:rsid w:val="001F428F"/>
    <w:rsid w:val="001F4542"/>
    <w:rsid w:val="001F60B2"/>
    <w:rsid w:val="001F7FA0"/>
    <w:rsid w:val="002000EB"/>
    <w:rsid w:val="00200223"/>
    <w:rsid w:val="00200516"/>
    <w:rsid w:val="00201C84"/>
    <w:rsid w:val="00205100"/>
    <w:rsid w:val="00207314"/>
    <w:rsid w:val="0020794F"/>
    <w:rsid w:val="00207B6B"/>
    <w:rsid w:val="002102D1"/>
    <w:rsid w:val="00213440"/>
    <w:rsid w:val="002164C9"/>
    <w:rsid w:val="002170A5"/>
    <w:rsid w:val="00220A02"/>
    <w:rsid w:val="00221152"/>
    <w:rsid w:val="002213D1"/>
    <w:rsid w:val="0022339A"/>
    <w:rsid w:val="002237B2"/>
    <w:rsid w:val="00225385"/>
    <w:rsid w:val="0022544F"/>
    <w:rsid w:val="00225C06"/>
    <w:rsid w:val="00227E9D"/>
    <w:rsid w:val="00230761"/>
    <w:rsid w:val="00231636"/>
    <w:rsid w:val="00231769"/>
    <w:rsid w:val="0023204E"/>
    <w:rsid w:val="00233D9C"/>
    <w:rsid w:val="002348A9"/>
    <w:rsid w:val="00235A3C"/>
    <w:rsid w:val="00236E65"/>
    <w:rsid w:val="002372B8"/>
    <w:rsid w:val="00240AC0"/>
    <w:rsid w:val="002453BD"/>
    <w:rsid w:val="00250A8C"/>
    <w:rsid w:val="00251EC3"/>
    <w:rsid w:val="0025510F"/>
    <w:rsid w:val="00257353"/>
    <w:rsid w:val="00257ACC"/>
    <w:rsid w:val="002627E3"/>
    <w:rsid w:val="002634DF"/>
    <w:rsid w:val="002660A0"/>
    <w:rsid w:val="0026770E"/>
    <w:rsid w:val="002721D2"/>
    <w:rsid w:val="0027252D"/>
    <w:rsid w:val="00272F6D"/>
    <w:rsid w:val="002731E8"/>
    <w:rsid w:val="0027425A"/>
    <w:rsid w:val="0028093A"/>
    <w:rsid w:val="00281C80"/>
    <w:rsid w:val="00281DEC"/>
    <w:rsid w:val="0029234E"/>
    <w:rsid w:val="002930AB"/>
    <w:rsid w:val="002944D5"/>
    <w:rsid w:val="002950E0"/>
    <w:rsid w:val="002954C4"/>
    <w:rsid w:val="00296F47"/>
    <w:rsid w:val="0029786C"/>
    <w:rsid w:val="002A1568"/>
    <w:rsid w:val="002A49E5"/>
    <w:rsid w:val="002A69D4"/>
    <w:rsid w:val="002B07BD"/>
    <w:rsid w:val="002B2C16"/>
    <w:rsid w:val="002B4667"/>
    <w:rsid w:val="002B5444"/>
    <w:rsid w:val="002B547F"/>
    <w:rsid w:val="002C21E9"/>
    <w:rsid w:val="002C3E2A"/>
    <w:rsid w:val="002C40CA"/>
    <w:rsid w:val="002C4EEA"/>
    <w:rsid w:val="002C546A"/>
    <w:rsid w:val="002C6DD2"/>
    <w:rsid w:val="002C7B44"/>
    <w:rsid w:val="002D38C5"/>
    <w:rsid w:val="002D3907"/>
    <w:rsid w:val="002E4184"/>
    <w:rsid w:val="002E4217"/>
    <w:rsid w:val="002E505B"/>
    <w:rsid w:val="002F0DCE"/>
    <w:rsid w:val="002F30F7"/>
    <w:rsid w:val="002F3DAA"/>
    <w:rsid w:val="002F5F1E"/>
    <w:rsid w:val="002F6931"/>
    <w:rsid w:val="002F7FB5"/>
    <w:rsid w:val="00301D7D"/>
    <w:rsid w:val="003074B8"/>
    <w:rsid w:val="0031089A"/>
    <w:rsid w:val="00310E58"/>
    <w:rsid w:val="00312163"/>
    <w:rsid w:val="00313FDC"/>
    <w:rsid w:val="0031494F"/>
    <w:rsid w:val="003154CA"/>
    <w:rsid w:val="0031555D"/>
    <w:rsid w:val="00315655"/>
    <w:rsid w:val="00315B32"/>
    <w:rsid w:val="00315BDC"/>
    <w:rsid w:val="003171DB"/>
    <w:rsid w:val="00320912"/>
    <w:rsid w:val="00322402"/>
    <w:rsid w:val="00324559"/>
    <w:rsid w:val="00327C88"/>
    <w:rsid w:val="003302F4"/>
    <w:rsid w:val="003318BA"/>
    <w:rsid w:val="0033273D"/>
    <w:rsid w:val="00333AA4"/>
    <w:rsid w:val="00334C0F"/>
    <w:rsid w:val="003358FF"/>
    <w:rsid w:val="00337FDF"/>
    <w:rsid w:val="00344D63"/>
    <w:rsid w:val="003468AD"/>
    <w:rsid w:val="00347B79"/>
    <w:rsid w:val="003509A8"/>
    <w:rsid w:val="00350C21"/>
    <w:rsid w:val="003512BA"/>
    <w:rsid w:val="003534F1"/>
    <w:rsid w:val="00354545"/>
    <w:rsid w:val="0035519C"/>
    <w:rsid w:val="00357593"/>
    <w:rsid w:val="00357BC2"/>
    <w:rsid w:val="003609DC"/>
    <w:rsid w:val="0036135C"/>
    <w:rsid w:val="00362D0C"/>
    <w:rsid w:val="0036446B"/>
    <w:rsid w:val="0036518F"/>
    <w:rsid w:val="00365F44"/>
    <w:rsid w:val="0036768D"/>
    <w:rsid w:val="00370FB2"/>
    <w:rsid w:val="00371D01"/>
    <w:rsid w:val="00374362"/>
    <w:rsid w:val="00375008"/>
    <w:rsid w:val="0037736F"/>
    <w:rsid w:val="00377B12"/>
    <w:rsid w:val="00380147"/>
    <w:rsid w:val="00381C7D"/>
    <w:rsid w:val="00385C9B"/>
    <w:rsid w:val="0038682B"/>
    <w:rsid w:val="003872BA"/>
    <w:rsid w:val="00387D77"/>
    <w:rsid w:val="0039198D"/>
    <w:rsid w:val="00391F63"/>
    <w:rsid w:val="00392190"/>
    <w:rsid w:val="003922EF"/>
    <w:rsid w:val="00394A57"/>
    <w:rsid w:val="00395427"/>
    <w:rsid w:val="00395F08"/>
    <w:rsid w:val="00397415"/>
    <w:rsid w:val="003A1557"/>
    <w:rsid w:val="003A2CB2"/>
    <w:rsid w:val="003A4D1C"/>
    <w:rsid w:val="003A5BAA"/>
    <w:rsid w:val="003A5D42"/>
    <w:rsid w:val="003A61F6"/>
    <w:rsid w:val="003B257A"/>
    <w:rsid w:val="003B6D41"/>
    <w:rsid w:val="003B7521"/>
    <w:rsid w:val="003C0C4D"/>
    <w:rsid w:val="003C11CC"/>
    <w:rsid w:val="003C1768"/>
    <w:rsid w:val="003C3DB4"/>
    <w:rsid w:val="003C3EB9"/>
    <w:rsid w:val="003C5DAC"/>
    <w:rsid w:val="003D1A18"/>
    <w:rsid w:val="003D45D8"/>
    <w:rsid w:val="003D5E8B"/>
    <w:rsid w:val="003E1C14"/>
    <w:rsid w:val="003E3748"/>
    <w:rsid w:val="003E4DA7"/>
    <w:rsid w:val="003E4EB0"/>
    <w:rsid w:val="003E6D78"/>
    <w:rsid w:val="003F0CD8"/>
    <w:rsid w:val="003F2DAE"/>
    <w:rsid w:val="003F45A8"/>
    <w:rsid w:val="003F71B3"/>
    <w:rsid w:val="003F73DF"/>
    <w:rsid w:val="0040155E"/>
    <w:rsid w:val="00401FC1"/>
    <w:rsid w:val="00402763"/>
    <w:rsid w:val="0040278A"/>
    <w:rsid w:val="004042F5"/>
    <w:rsid w:val="00404C4A"/>
    <w:rsid w:val="00405019"/>
    <w:rsid w:val="00405EA3"/>
    <w:rsid w:val="00406BA9"/>
    <w:rsid w:val="004103B4"/>
    <w:rsid w:val="00410C9A"/>
    <w:rsid w:val="004111C1"/>
    <w:rsid w:val="00411751"/>
    <w:rsid w:val="004148C2"/>
    <w:rsid w:val="00421AB5"/>
    <w:rsid w:val="00424212"/>
    <w:rsid w:val="00424CF9"/>
    <w:rsid w:val="0043046F"/>
    <w:rsid w:val="0043208D"/>
    <w:rsid w:val="004333B4"/>
    <w:rsid w:val="00434203"/>
    <w:rsid w:val="0043559D"/>
    <w:rsid w:val="00435EED"/>
    <w:rsid w:val="00437795"/>
    <w:rsid w:val="0044173F"/>
    <w:rsid w:val="00442CA7"/>
    <w:rsid w:val="00445271"/>
    <w:rsid w:val="00446C83"/>
    <w:rsid w:val="00447249"/>
    <w:rsid w:val="00452C3E"/>
    <w:rsid w:val="00452C6C"/>
    <w:rsid w:val="00454491"/>
    <w:rsid w:val="0045451B"/>
    <w:rsid w:val="00464294"/>
    <w:rsid w:val="004700E4"/>
    <w:rsid w:val="00470550"/>
    <w:rsid w:val="00471294"/>
    <w:rsid w:val="004735CE"/>
    <w:rsid w:val="00474658"/>
    <w:rsid w:val="00475973"/>
    <w:rsid w:val="0047797E"/>
    <w:rsid w:val="004866D4"/>
    <w:rsid w:val="00486B64"/>
    <w:rsid w:val="004878FE"/>
    <w:rsid w:val="00493B24"/>
    <w:rsid w:val="00494E92"/>
    <w:rsid w:val="00495225"/>
    <w:rsid w:val="00497F06"/>
    <w:rsid w:val="004A3757"/>
    <w:rsid w:val="004A3837"/>
    <w:rsid w:val="004A3CCB"/>
    <w:rsid w:val="004B09D7"/>
    <w:rsid w:val="004B1283"/>
    <w:rsid w:val="004B2293"/>
    <w:rsid w:val="004B31EF"/>
    <w:rsid w:val="004B48EB"/>
    <w:rsid w:val="004B540F"/>
    <w:rsid w:val="004B7783"/>
    <w:rsid w:val="004C06F4"/>
    <w:rsid w:val="004C3717"/>
    <w:rsid w:val="004C6034"/>
    <w:rsid w:val="004D3941"/>
    <w:rsid w:val="004D4FF5"/>
    <w:rsid w:val="004D7030"/>
    <w:rsid w:val="004D79EB"/>
    <w:rsid w:val="004E2421"/>
    <w:rsid w:val="004E3378"/>
    <w:rsid w:val="004E3727"/>
    <w:rsid w:val="004E3BE3"/>
    <w:rsid w:val="004E595D"/>
    <w:rsid w:val="004E6489"/>
    <w:rsid w:val="004E6662"/>
    <w:rsid w:val="004E6AFA"/>
    <w:rsid w:val="004F00B4"/>
    <w:rsid w:val="004F568A"/>
    <w:rsid w:val="005020EC"/>
    <w:rsid w:val="00506FAD"/>
    <w:rsid w:val="00512164"/>
    <w:rsid w:val="00513D30"/>
    <w:rsid w:val="00514916"/>
    <w:rsid w:val="00516555"/>
    <w:rsid w:val="005256CF"/>
    <w:rsid w:val="00527F3E"/>
    <w:rsid w:val="00534459"/>
    <w:rsid w:val="00542C43"/>
    <w:rsid w:val="00543DB1"/>
    <w:rsid w:val="00544007"/>
    <w:rsid w:val="00551299"/>
    <w:rsid w:val="005543DE"/>
    <w:rsid w:val="00555DF5"/>
    <w:rsid w:val="005574AC"/>
    <w:rsid w:val="00560DEE"/>
    <w:rsid w:val="00562CD3"/>
    <w:rsid w:val="00564625"/>
    <w:rsid w:val="005668A5"/>
    <w:rsid w:val="00572006"/>
    <w:rsid w:val="00573BD4"/>
    <w:rsid w:val="00573E74"/>
    <w:rsid w:val="005741B4"/>
    <w:rsid w:val="00575AC6"/>
    <w:rsid w:val="00576629"/>
    <w:rsid w:val="0057743E"/>
    <w:rsid w:val="0057790F"/>
    <w:rsid w:val="005808D7"/>
    <w:rsid w:val="00580EAC"/>
    <w:rsid w:val="00582470"/>
    <w:rsid w:val="00582BDF"/>
    <w:rsid w:val="005862AC"/>
    <w:rsid w:val="00586E5B"/>
    <w:rsid w:val="005922D0"/>
    <w:rsid w:val="00594DE5"/>
    <w:rsid w:val="00596086"/>
    <w:rsid w:val="00597C5D"/>
    <w:rsid w:val="005A12D7"/>
    <w:rsid w:val="005A29D6"/>
    <w:rsid w:val="005A2F12"/>
    <w:rsid w:val="005A42F6"/>
    <w:rsid w:val="005A45EC"/>
    <w:rsid w:val="005A4A0F"/>
    <w:rsid w:val="005A61D5"/>
    <w:rsid w:val="005B026C"/>
    <w:rsid w:val="005B0C92"/>
    <w:rsid w:val="005B46B7"/>
    <w:rsid w:val="005B508E"/>
    <w:rsid w:val="005B58F3"/>
    <w:rsid w:val="005B5A87"/>
    <w:rsid w:val="005B7E20"/>
    <w:rsid w:val="005C184F"/>
    <w:rsid w:val="005C1D42"/>
    <w:rsid w:val="005C233A"/>
    <w:rsid w:val="005C412B"/>
    <w:rsid w:val="005C4835"/>
    <w:rsid w:val="005C4C8A"/>
    <w:rsid w:val="005C5A53"/>
    <w:rsid w:val="005C5D78"/>
    <w:rsid w:val="005C7769"/>
    <w:rsid w:val="005D2EC2"/>
    <w:rsid w:val="005D5F1D"/>
    <w:rsid w:val="005D69C8"/>
    <w:rsid w:val="005E1EAF"/>
    <w:rsid w:val="005E37E8"/>
    <w:rsid w:val="005E62C3"/>
    <w:rsid w:val="005E6DAC"/>
    <w:rsid w:val="005F0F53"/>
    <w:rsid w:val="005F37E0"/>
    <w:rsid w:val="005F584A"/>
    <w:rsid w:val="0060042A"/>
    <w:rsid w:val="0060625D"/>
    <w:rsid w:val="00606A9A"/>
    <w:rsid w:val="00611BAA"/>
    <w:rsid w:val="00612889"/>
    <w:rsid w:val="00612BEC"/>
    <w:rsid w:val="00612D18"/>
    <w:rsid w:val="006140E7"/>
    <w:rsid w:val="00615BB7"/>
    <w:rsid w:val="006168EE"/>
    <w:rsid w:val="00616A16"/>
    <w:rsid w:val="00621954"/>
    <w:rsid w:val="00623361"/>
    <w:rsid w:val="00624BA9"/>
    <w:rsid w:val="0062575C"/>
    <w:rsid w:val="00625B70"/>
    <w:rsid w:val="006339EB"/>
    <w:rsid w:val="0064082D"/>
    <w:rsid w:val="00640B72"/>
    <w:rsid w:val="00641D1D"/>
    <w:rsid w:val="00645BCA"/>
    <w:rsid w:val="006477A1"/>
    <w:rsid w:val="0065432C"/>
    <w:rsid w:val="00654F9A"/>
    <w:rsid w:val="00655882"/>
    <w:rsid w:val="006559E3"/>
    <w:rsid w:val="00657577"/>
    <w:rsid w:val="00657787"/>
    <w:rsid w:val="0066089E"/>
    <w:rsid w:val="00661973"/>
    <w:rsid w:val="00664ABD"/>
    <w:rsid w:val="006660B2"/>
    <w:rsid w:val="0067056E"/>
    <w:rsid w:val="006739CA"/>
    <w:rsid w:val="0068258E"/>
    <w:rsid w:val="00683789"/>
    <w:rsid w:val="00683C1A"/>
    <w:rsid w:val="00684125"/>
    <w:rsid w:val="00684D50"/>
    <w:rsid w:val="006855AC"/>
    <w:rsid w:val="00691790"/>
    <w:rsid w:val="006933C3"/>
    <w:rsid w:val="006933DF"/>
    <w:rsid w:val="006947A9"/>
    <w:rsid w:val="006956E6"/>
    <w:rsid w:val="00695EC3"/>
    <w:rsid w:val="00697045"/>
    <w:rsid w:val="006A0DB5"/>
    <w:rsid w:val="006A27BD"/>
    <w:rsid w:val="006A337B"/>
    <w:rsid w:val="006A4E08"/>
    <w:rsid w:val="006A57D6"/>
    <w:rsid w:val="006A58BC"/>
    <w:rsid w:val="006B1C73"/>
    <w:rsid w:val="006B4CF5"/>
    <w:rsid w:val="006B5CF5"/>
    <w:rsid w:val="006B6E23"/>
    <w:rsid w:val="006B6FB4"/>
    <w:rsid w:val="006C40C7"/>
    <w:rsid w:val="006C665C"/>
    <w:rsid w:val="006D3EB7"/>
    <w:rsid w:val="006D6858"/>
    <w:rsid w:val="006D7B49"/>
    <w:rsid w:val="006E0A2E"/>
    <w:rsid w:val="006E1269"/>
    <w:rsid w:val="006E2382"/>
    <w:rsid w:val="006E5612"/>
    <w:rsid w:val="006E6FCA"/>
    <w:rsid w:val="006E7D38"/>
    <w:rsid w:val="006F0870"/>
    <w:rsid w:val="006F3CD7"/>
    <w:rsid w:val="006F43CA"/>
    <w:rsid w:val="006F7298"/>
    <w:rsid w:val="006F7659"/>
    <w:rsid w:val="006F7EF4"/>
    <w:rsid w:val="007015A3"/>
    <w:rsid w:val="007026DD"/>
    <w:rsid w:val="00702770"/>
    <w:rsid w:val="00703FCE"/>
    <w:rsid w:val="00707B68"/>
    <w:rsid w:val="007116FF"/>
    <w:rsid w:val="007126C4"/>
    <w:rsid w:val="00721D7E"/>
    <w:rsid w:val="00722C59"/>
    <w:rsid w:val="0072397A"/>
    <w:rsid w:val="007258CF"/>
    <w:rsid w:val="00725973"/>
    <w:rsid w:val="00733EB2"/>
    <w:rsid w:val="00736594"/>
    <w:rsid w:val="00736AD2"/>
    <w:rsid w:val="00737125"/>
    <w:rsid w:val="00737731"/>
    <w:rsid w:val="00740210"/>
    <w:rsid w:val="007411D5"/>
    <w:rsid w:val="007417F0"/>
    <w:rsid w:val="0074557E"/>
    <w:rsid w:val="007461C1"/>
    <w:rsid w:val="0075307F"/>
    <w:rsid w:val="00754B95"/>
    <w:rsid w:val="007550B5"/>
    <w:rsid w:val="007559DF"/>
    <w:rsid w:val="00756648"/>
    <w:rsid w:val="00756D68"/>
    <w:rsid w:val="00762F1D"/>
    <w:rsid w:val="007649A4"/>
    <w:rsid w:val="007724CE"/>
    <w:rsid w:val="00774898"/>
    <w:rsid w:val="00777952"/>
    <w:rsid w:val="00780C21"/>
    <w:rsid w:val="00783A22"/>
    <w:rsid w:val="00787377"/>
    <w:rsid w:val="0079167D"/>
    <w:rsid w:val="00791855"/>
    <w:rsid w:val="007950B3"/>
    <w:rsid w:val="007A0931"/>
    <w:rsid w:val="007A09C0"/>
    <w:rsid w:val="007A23CD"/>
    <w:rsid w:val="007A4309"/>
    <w:rsid w:val="007B18AD"/>
    <w:rsid w:val="007B3BD7"/>
    <w:rsid w:val="007B52B8"/>
    <w:rsid w:val="007B5468"/>
    <w:rsid w:val="007B627D"/>
    <w:rsid w:val="007B6E7F"/>
    <w:rsid w:val="007B7596"/>
    <w:rsid w:val="007C53A1"/>
    <w:rsid w:val="007C58BD"/>
    <w:rsid w:val="007C5D4B"/>
    <w:rsid w:val="007D00B1"/>
    <w:rsid w:val="007D0E36"/>
    <w:rsid w:val="007D40FD"/>
    <w:rsid w:val="007D48F4"/>
    <w:rsid w:val="007D4C57"/>
    <w:rsid w:val="007D6D08"/>
    <w:rsid w:val="007D6D91"/>
    <w:rsid w:val="007E0BCC"/>
    <w:rsid w:val="007E2EE6"/>
    <w:rsid w:val="007E3F69"/>
    <w:rsid w:val="007E7735"/>
    <w:rsid w:val="007F1254"/>
    <w:rsid w:val="007F1374"/>
    <w:rsid w:val="008002B3"/>
    <w:rsid w:val="00800B94"/>
    <w:rsid w:val="00800EE1"/>
    <w:rsid w:val="0080336A"/>
    <w:rsid w:val="008042DC"/>
    <w:rsid w:val="00804EED"/>
    <w:rsid w:val="00806F38"/>
    <w:rsid w:val="00810AE8"/>
    <w:rsid w:val="00811CAE"/>
    <w:rsid w:val="008124D3"/>
    <w:rsid w:val="00813E0B"/>
    <w:rsid w:val="00817B00"/>
    <w:rsid w:val="008215B8"/>
    <w:rsid w:val="008241E1"/>
    <w:rsid w:val="00824A09"/>
    <w:rsid w:val="00825DC9"/>
    <w:rsid w:val="00830461"/>
    <w:rsid w:val="00831DF3"/>
    <w:rsid w:val="008326E7"/>
    <w:rsid w:val="00833A6C"/>
    <w:rsid w:val="00833AA6"/>
    <w:rsid w:val="00834A2C"/>
    <w:rsid w:val="00834D67"/>
    <w:rsid w:val="00835C46"/>
    <w:rsid w:val="00840321"/>
    <w:rsid w:val="0084241F"/>
    <w:rsid w:val="00843954"/>
    <w:rsid w:val="0084434E"/>
    <w:rsid w:val="00844F39"/>
    <w:rsid w:val="008506B1"/>
    <w:rsid w:val="00851065"/>
    <w:rsid w:val="008510CC"/>
    <w:rsid w:val="008519EF"/>
    <w:rsid w:val="00851C25"/>
    <w:rsid w:val="00853D27"/>
    <w:rsid w:val="00857B8C"/>
    <w:rsid w:val="00860C47"/>
    <w:rsid w:val="00861917"/>
    <w:rsid w:val="00863417"/>
    <w:rsid w:val="0086343C"/>
    <w:rsid w:val="00863D76"/>
    <w:rsid w:val="0086509B"/>
    <w:rsid w:val="00865C4D"/>
    <w:rsid w:val="00865F71"/>
    <w:rsid w:val="008674D8"/>
    <w:rsid w:val="0087055D"/>
    <w:rsid w:val="00870A8B"/>
    <w:rsid w:val="0087181F"/>
    <w:rsid w:val="0087296A"/>
    <w:rsid w:val="008729FD"/>
    <w:rsid w:val="00876262"/>
    <w:rsid w:val="008863C3"/>
    <w:rsid w:val="00891049"/>
    <w:rsid w:val="00891968"/>
    <w:rsid w:val="00891ACB"/>
    <w:rsid w:val="00893781"/>
    <w:rsid w:val="00894D46"/>
    <w:rsid w:val="00895FF9"/>
    <w:rsid w:val="00897403"/>
    <w:rsid w:val="008A40C0"/>
    <w:rsid w:val="008A51CF"/>
    <w:rsid w:val="008A5923"/>
    <w:rsid w:val="008B0110"/>
    <w:rsid w:val="008B1120"/>
    <w:rsid w:val="008B1AA1"/>
    <w:rsid w:val="008B1BFF"/>
    <w:rsid w:val="008B343D"/>
    <w:rsid w:val="008B37BA"/>
    <w:rsid w:val="008B415B"/>
    <w:rsid w:val="008B4BE6"/>
    <w:rsid w:val="008B611C"/>
    <w:rsid w:val="008C2DD5"/>
    <w:rsid w:val="008C7495"/>
    <w:rsid w:val="008D16F8"/>
    <w:rsid w:val="008D1C25"/>
    <w:rsid w:val="008D2864"/>
    <w:rsid w:val="008D33A1"/>
    <w:rsid w:val="008E19C5"/>
    <w:rsid w:val="008E3323"/>
    <w:rsid w:val="008E73C0"/>
    <w:rsid w:val="008F0F9A"/>
    <w:rsid w:val="008F12A1"/>
    <w:rsid w:val="008F29F4"/>
    <w:rsid w:val="008F2A41"/>
    <w:rsid w:val="008F2B4D"/>
    <w:rsid w:val="008F33AB"/>
    <w:rsid w:val="008F3624"/>
    <w:rsid w:val="008F3738"/>
    <w:rsid w:val="008F406D"/>
    <w:rsid w:val="008F52AD"/>
    <w:rsid w:val="008F5BA1"/>
    <w:rsid w:val="008F73D1"/>
    <w:rsid w:val="009002CA"/>
    <w:rsid w:val="00902BDF"/>
    <w:rsid w:val="00903AF9"/>
    <w:rsid w:val="009045FC"/>
    <w:rsid w:val="0090579F"/>
    <w:rsid w:val="00912592"/>
    <w:rsid w:val="009126A4"/>
    <w:rsid w:val="009143C9"/>
    <w:rsid w:val="0091572F"/>
    <w:rsid w:val="00915A40"/>
    <w:rsid w:val="00917380"/>
    <w:rsid w:val="0091741D"/>
    <w:rsid w:val="009201C9"/>
    <w:rsid w:val="0092079D"/>
    <w:rsid w:val="00930424"/>
    <w:rsid w:val="00933586"/>
    <w:rsid w:val="00933C11"/>
    <w:rsid w:val="00941F0C"/>
    <w:rsid w:val="00942BCB"/>
    <w:rsid w:val="00942F03"/>
    <w:rsid w:val="009447A7"/>
    <w:rsid w:val="00947B6D"/>
    <w:rsid w:val="00953155"/>
    <w:rsid w:val="00953869"/>
    <w:rsid w:val="0095395C"/>
    <w:rsid w:val="009557D8"/>
    <w:rsid w:val="00956CEB"/>
    <w:rsid w:val="00957985"/>
    <w:rsid w:val="00961B81"/>
    <w:rsid w:val="00962ED5"/>
    <w:rsid w:val="00964631"/>
    <w:rsid w:val="00966A36"/>
    <w:rsid w:val="009677DB"/>
    <w:rsid w:val="00971561"/>
    <w:rsid w:val="009731AF"/>
    <w:rsid w:val="009761DA"/>
    <w:rsid w:val="00980F8B"/>
    <w:rsid w:val="009820F1"/>
    <w:rsid w:val="009853C7"/>
    <w:rsid w:val="009858FE"/>
    <w:rsid w:val="00985AE3"/>
    <w:rsid w:val="009860EA"/>
    <w:rsid w:val="00990719"/>
    <w:rsid w:val="0099315C"/>
    <w:rsid w:val="00995094"/>
    <w:rsid w:val="009A40D8"/>
    <w:rsid w:val="009A4B28"/>
    <w:rsid w:val="009A601E"/>
    <w:rsid w:val="009A61F7"/>
    <w:rsid w:val="009A7B14"/>
    <w:rsid w:val="009C02E5"/>
    <w:rsid w:val="009C0E0E"/>
    <w:rsid w:val="009C26E3"/>
    <w:rsid w:val="009C2CD3"/>
    <w:rsid w:val="009C6DD1"/>
    <w:rsid w:val="009C7CD6"/>
    <w:rsid w:val="009D07BF"/>
    <w:rsid w:val="009D21E9"/>
    <w:rsid w:val="009D2789"/>
    <w:rsid w:val="009D3CB3"/>
    <w:rsid w:val="009D49B5"/>
    <w:rsid w:val="009D4C0F"/>
    <w:rsid w:val="009D54CD"/>
    <w:rsid w:val="009D58EA"/>
    <w:rsid w:val="009D7C44"/>
    <w:rsid w:val="009E0C9D"/>
    <w:rsid w:val="009E29F8"/>
    <w:rsid w:val="009E57DE"/>
    <w:rsid w:val="009E5E64"/>
    <w:rsid w:val="009E7B86"/>
    <w:rsid w:val="009F0907"/>
    <w:rsid w:val="009F128F"/>
    <w:rsid w:val="009F256A"/>
    <w:rsid w:val="009F28F2"/>
    <w:rsid w:val="009F366D"/>
    <w:rsid w:val="009F4547"/>
    <w:rsid w:val="009F45EC"/>
    <w:rsid w:val="009F63D5"/>
    <w:rsid w:val="009F6669"/>
    <w:rsid w:val="00A01828"/>
    <w:rsid w:val="00A01A6B"/>
    <w:rsid w:val="00A03B24"/>
    <w:rsid w:val="00A0462C"/>
    <w:rsid w:val="00A06362"/>
    <w:rsid w:val="00A1158A"/>
    <w:rsid w:val="00A12EE2"/>
    <w:rsid w:val="00A13D8B"/>
    <w:rsid w:val="00A1575C"/>
    <w:rsid w:val="00A16217"/>
    <w:rsid w:val="00A166D7"/>
    <w:rsid w:val="00A22D67"/>
    <w:rsid w:val="00A2390C"/>
    <w:rsid w:val="00A244A2"/>
    <w:rsid w:val="00A246C8"/>
    <w:rsid w:val="00A24A81"/>
    <w:rsid w:val="00A254AC"/>
    <w:rsid w:val="00A258D5"/>
    <w:rsid w:val="00A34050"/>
    <w:rsid w:val="00A34443"/>
    <w:rsid w:val="00A345F7"/>
    <w:rsid w:val="00A356FA"/>
    <w:rsid w:val="00A404F7"/>
    <w:rsid w:val="00A41F6D"/>
    <w:rsid w:val="00A42581"/>
    <w:rsid w:val="00A435FD"/>
    <w:rsid w:val="00A51447"/>
    <w:rsid w:val="00A51949"/>
    <w:rsid w:val="00A53F34"/>
    <w:rsid w:val="00A540EB"/>
    <w:rsid w:val="00A5539A"/>
    <w:rsid w:val="00A56D76"/>
    <w:rsid w:val="00A60B97"/>
    <w:rsid w:val="00A60FFD"/>
    <w:rsid w:val="00A6174E"/>
    <w:rsid w:val="00A66A48"/>
    <w:rsid w:val="00A67229"/>
    <w:rsid w:val="00A676D9"/>
    <w:rsid w:val="00A71E51"/>
    <w:rsid w:val="00A722A7"/>
    <w:rsid w:val="00A74551"/>
    <w:rsid w:val="00A764E4"/>
    <w:rsid w:val="00A77F56"/>
    <w:rsid w:val="00A80C17"/>
    <w:rsid w:val="00A820D3"/>
    <w:rsid w:val="00A865E4"/>
    <w:rsid w:val="00A92C42"/>
    <w:rsid w:val="00A954D1"/>
    <w:rsid w:val="00A95A2D"/>
    <w:rsid w:val="00AA03AB"/>
    <w:rsid w:val="00AA34B1"/>
    <w:rsid w:val="00AA3F7A"/>
    <w:rsid w:val="00AA4E98"/>
    <w:rsid w:val="00AA5313"/>
    <w:rsid w:val="00AA5DCD"/>
    <w:rsid w:val="00AA719D"/>
    <w:rsid w:val="00AB06B2"/>
    <w:rsid w:val="00AB1C3D"/>
    <w:rsid w:val="00AB2586"/>
    <w:rsid w:val="00AB284E"/>
    <w:rsid w:val="00AB29A8"/>
    <w:rsid w:val="00AB492A"/>
    <w:rsid w:val="00AB7AEF"/>
    <w:rsid w:val="00AB7D22"/>
    <w:rsid w:val="00AC22A5"/>
    <w:rsid w:val="00AC2670"/>
    <w:rsid w:val="00AC7CFE"/>
    <w:rsid w:val="00AD3E0A"/>
    <w:rsid w:val="00AD6628"/>
    <w:rsid w:val="00AE1C50"/>
    <w:rsid w:val="00AE1F78"/>
    <w:rsid w:val="00AE566B"/>
    <w:rsid w:val="00AF08AC"/>
    <w:rsid w:val="00AF16DE"/>
    <w:rsid w:val="00AF203F"/>
    <w:rsid w:val="00AF23AF"/>
    <w:rsid w:val="00AF4E3A"/>
    <w:rsid w:val="00AF69F1"/>
    <w:rsid w:val="00AF6A53"/>
    <w:rsid w:val="00B00257"/>
    <w:rsid w:val="00B035BC"/>
    <w:rsid w:val="00B039D7"/>
    <w:rsid w:val="00B03FE0"/>
    <w:rsid w:val="00B04854"/>
    <w:rsid w:val="00B07F61"/>
    <w:rsid w:val="00B11EFC"/>
    <w:rsid w:val="00B1242C"/>
    <w:rsid w:val="00B14602"/>
    <w:rsid w:val="00B147CC"/>
    <w:rsid w:val="00B15210"/>
    <w:rsid w:val="00B1623B"/>
    <w:rsid w:val="00B16A06"/>
    <w:rsid w:val="00B24403"/>
    <w:rsid w:val="00B24873"/>
    <w:rsid w:val="00B24F57"/>
    <w:rsid w:val="00B25206"/>
    <w:rsid w:val="00B256A6"/>
    <w:rsid w:val="00B31999"/>
    <w:rsid w:val="00B32239"/>
    <w:rsid w:val="00B36ED3"/>
    <w:rsid w:val="00B37153"/>
    <w:rsid w:val="00B37D29"/>
    <w:rsid w:val="00B42208"/>
    <w:rsid w:val="00B4276A"/>
    <w:rsid w:val="00B42DDB"/>
    <w:rsid w:val="00B472D0"/>
    <w:rsid w:val="00B54504"/>
    <w:rsid w:val="00B55FB8"/>
    <w:rsid w:val="00B57840"/>
    <w:rsid w:val="00B6145A"/>
    <w:rsid w:val="00B61570"/>
    <w:rsid w:val="00B61BBD"/>
    <w:rsid w:val="00B61F50"/>
    <w:rsid w:val="00B62056"/>
    <w:rsid w:val="00B62C10"/>
    <w:rsid w:val="00B634FE"/>
    <w:rsid w:val="00B6585E"/>
    <w:rsid w:val="00B670AD"/>
    <w:rsid w:val="00B6710F"/>
    <w:rsid w:val="00B72578"/>
    <w:rsid w:val="00B744FB"/>
    <w:rsid w:val="00B80927"/>
    <w:rsid w:val="00B82688"/>
    <w:rsid w:val="00B83D18"/>
    <w:rsid w:val="00B84A8E"/>
    <w:rsid w:val="00B85252"/>
    <w:rsid w:val="00B87DCF"/>
    <w:rsid w:val="00B91B88"/>
    <w:rsid w:val="00B92D67"/>
    <w:rsid w:val="00B93ECC"/>
    <w:rsid w:val="00B952D8"/>
    <w:rsid w:val="00B9615A"/>
    <w:rsid w:val="00BA0772"/>
    <w:rsid w:val="00BA1CBE"/>
    <w:rsid w:val="00BA3831"/>
    <w:rsid w:val="00BA4EAF"/>
    <w:rsid w:val="00BA500B"/>
    <w:rsid w:val="00BA5B5B"/>
    <w:rsid w:val="00BA724F"/>
    <w:rsid w:val="00BB008B"/>
    <w:rsid w:val="00BB0093"/>
    <w:rsid w:val="00BB2181"/>
    <w:rsid w:val="00BB2313"/>
    <w:rsid w:val="00BB3331"/>
    <w:rsid w:val="00BB3C82"/>
    <w:rsid w:val="00BB57F6"/>
    <w:rsid w:val="00BC2684"/>
    <w:rsid w:val="00BC35AA"/>
    <w:rsid w:val="00BC579C"/>
    <w:rsid w:val="00BC5BB3"/>
    <w:rsid w:val="00BC6AC4"/>
    <w:rsid w:val="00BD2F0F"/>
    <w:rsid w:val="00BD53BD"/>
    <w:rsid w:val="00BD5DEF"/>
    <w:rsid w:val="00BD6F05"/>
    <w:rsid w:val="00BD784F"/>
    <w:rsid w:val="00BE03B6"/>
    <w:rsid w:val="00BE2B03"/>
    <w:rsid w:val="00BE37D9"/>
    <w:rsid w:val="00BE4802"/>
    <w:rsid w:val="00BE73DE"/>
    <w:rsid w:val="00BF170E"/>
    <w:rsid w:val="00BF3BEF"/>
    <w:rsid w:val="00BF46D2"/>
    <w:rsid w:val="00BF509C"/>
    <w:rsid w:val="00BF5AB8"/>
    <w:rsid w:val="00BF7CF6"/>
    <w:rsid w:val="00C01DB9"/>
    <w:rsid w:val="00C069DB"/>
    <w:rsid w:val="00C10DAB"/>
    <w:rsid w:val="00C119D6"/>
    <w:rsid w:val="00C11C4E"/>
    <w:rsid w:val="00C1366A"/>
    <w:rsid w:val="00C141D0"/>
    <w:rsid w:val="00C14423"/>
    <w:rsid w:val="00C161EC"/>
    <w:rsid w:val="00C20F98"/>
    <w:rsid w:val="00C21F77"/>
    <w:rsid w:val="00C23587"/>
    <w:rsid w:val="00C24077"/>
    <w:rsid w:val="00C249C9"/>
    <w:rsid w:val="00C25252"/>
    <w:rsid w:val="00C2541C"/>
    <w:rsid w:val="00C27BEF"/>
    <w:rsid w:val="00C30A9F"/>
    <w:rsid w:val="00C32A74"/>
    <w:rsid w:val="00C33BEA"/>
    <w:rsid w:val="00C35277"/>
    <w:rsid w:val="00C424F1"/>
    <w:rsid w:val="00C4424F"/>
    <w:rsid w:val="00C44470"/>
    <w:rsid w:val="00C445CC"/>
    <w:rsid w:val="00C4599F"/>
    <w:rsid w:val="00C45F82"/>
    <w:rsid w:val="00C475F7"/>
    <w:rsid w:val="00C53E01"/>
    <w:rsid w:val="00C557F7"/>
    <w:rsid w:val="00C565E3"/>
    <w:rsid w:val="00C57373"/>
    <w:rsid w:val="00C57F90"/>
    <w:rsid w:val="00C60E2D"/>
    <w:rsid w:val="00C6406E"/>
    <w:rsid w:val="00C643D6"/>
    <w:rsid w:val="00C65F57"/>
    <w:rsid w:val="00C7154A"/>
    <w:rsid w:val="00C726C0"/>
    <w:rsid w:val="00C81CDA"/>
    <w:rsid w:val="00C81DE2"/>
    <w:rsid w:val="00C827B6"/>
    <w:rsid w:val="00C83148"/>
    <w:rsid w:val="00C84308"/>
    <w:rsid w:val="00C846A9"/>
    <w:rsid w:val="00C87251"/>
    <w:rsid w:val="00C87B56"/>
    <w:rsid w:val="00C915DB"/>
    <w:rsid w:val="00C9364B"/>
    <w:rsid w:val="00C93EA1"/>
    <w:rsid w:val="00C94E17"/>
    <w:rsid w:val="00C9674A"/>
    <w:rsid w:val="00C96855"/>
    <w:rsid w:val="00C97610"/>
    <w:rsid w:val="00CA0450"/>
    <w:rsid w:val="00CA123C"/>
    <w:rsid w:val="00CA2822"/>
    <w:rsid w:val="00CA524D"/>
    <w:rsid w:val="00CB05D1"/>
    <w:rsid w:val="00CB128D"/>
    <w:rsid w:val="00CB6841"/>
    <w:rsid w:val="00CC0AF0"/>
    <w:rsid w:val="00CC1C91"/>
    <w:rsid w:val="00CC2D60"/>
    <w:rsid w:val="00CC5C3A"/>
    <w:rsid w:val="00CC6E53"/>
    <w:rsid w:val="00CC7AC8"/>
    <w:rsid w:val="00CD0459"/>
    <w:rsid w:val="00CD1F68"/>
    <w:rsid w:val="00CD3E6A"/>
    <w:rsid w:val="00CD4A01"/>
    <w:rsid w:val="00CD6FD1"/>
    <w:rsid w:val="00CE008C"/>
    <w:rsid w:val="00CE1C4A"/>
    <w:rsid w:val="00CE224F"/>
    <w:rsid w:val="00CE26BE"/>
    <w:rsid w:val="00CE2D09"/>
    <w:rsid w:val="00CE4495"/>
    <w:rsid w:val="00CF1BF6"/>
    <w:rsid w:val="00CF4641"/>
    <w:rsid w:val="00CF6CCE"/>
    <w:rsid w:val="00D008EA"/>
    <w:rsid w:val="00D00C36"/>
    <w:rsid w:val="00D0145D"/>
    <w:rsid w:val="00D01AC2"/>
    <w:rsid w:val="00D02424"/>
    <w:rsid w:val="00D0361A"/>
    <w:rsid w:val="00D04C28"/>
    <w:rsid w:val="00D05136"/>
    <w:rsid w:val="00D06000"/>
    <w:rsid w:val="00D07A16"/>
    <w:rsid w:val="00D07D40"/>
    <w:rsid w:val="00D1031B"/>
    <w:rsid w:val="00D10FDF"/>
    <w:rsid w:val="00D12DE0"/>
    <w:rsid w:val="00D14E81"/>
    <w:rsid w:val="00D1540C"/>
    <w:rsid w:val="00D1647F"/>
    <w:rsid w:val="00D16C96"/>
    <w:rsid w:val="00D20D4D"/>
    <w:rsid w:val="00D20F95"/>
    <w:rsid w:val="00D21B2C"/>
    <w:rsid w:val="00D262EC"/>
    <w:rsid w:val="00D30F97"/>
    <w:rsid w:val="00D31A6D"/>
    <w:rsid w:val="00D3779C"/>
    <w:rsid w:val="00D37DCA"/>
    <w:rsid w:val="00D37E63"/>
    <w:rsid w:val="00D414FE"/>
    <w:rsid w:val="00D425DE"/>
    <w:rsid w:val="00D435E7"/>
    <w:rsid w:val="00D44A11"/>
    <w:rsid w:val="00D44C12"/>
    <w:rsid w:val="00D44F7D"/>
    <w:rsid w:val="00D54373"/>
    <w:rsid w:val="00D55273"/>
    <w:rsid w:val="00D5550B"/>
    <w:rsid w:val="00D56D22"/>
    <w:rsid w:val="00D57ADB"/>
    <w:rsid w:val="00D60DF8"/>
    <w:rsid w:val="00D61112"/>
    <w:rsid w:val="00D62225"/>
    <w:rsid w:val="00D6584F"/>
    <w:rsid w:val="00D65D20"/>
    <w:rsid w:val="00D745DA"/>
    <w:rsid w:val="00D77236"/>
    <w:rsid w:val="00D77DA5"/>
    <w:rsid w:val="00D81AA3"/>
    <w:rsid w:val="00D820B5"/>
    <w:rsid w:val="00D84420"/>
    <w:rsid w:val="00D848AA"/>
    <w:rsid w:val="00D85438"/>
    <w:rsid w:val="00D856AF"/>
    <w:rsid w:val="00D864EF"/>
    <w:rsid w:val="00D86B65"/>
    <w:rsid w:val="00D86C2E"/>
    <w:rsid w:val="00D86F82"/>
    <w:rsid w:val="00D8732D"/>
    <w:rsid w:val="00D922E6"/>
    <w:rsid w:val="00D927DB"/>
    <w:rsid w:val="00D92B96"/>
    <w:rsid w:val="00D9343C"/>
    <w:rsid w:val="00D94E7B"/>
    <w:rsid w:val="00D9590F"/>
    <w:rsid w:val="00D971A4"/>
    <w:rsid w:val="00DA074A"/>
    <w:rsid w:val="00DA099F"/>
    <w:rsid w:val="00DA0D76"/>
    <w:rsid w:val="00DA0F82"/>
    <w:rsid w:val="00DA1274"/>
    <w:rsid w:val="00DA133C"/>
    <w:rsid w:val="00DA1CEE"/>
    <w:rsid w:val="00DA2B1D"/>
    <w:rsid w:val="00DA30A3"/>
    <w:rsid w:val="00DA422E"/>
    <w:rsid w:val="00DA6CB0"/>
    <w:rsid w:val="00DB5F2E"/>
    <w:rsid w:val="00DB7EE7"/>
    <w:rsid w:val="00DC0474"/>
    <w:rsid w:val="00DC3E82"/>
    <w:rsid w:val="00DC529B"/>
    <w:rsid w:val="00DD34FB"/>
    <w:rsid w:val="00DD415E"/>
    <w:rsid w:val="00DD563C"/>
    <w:rsid w:val="00DE06EE"/>
    <w:rsid w:val="00DE226A"/>
    <w:rsid w:val="00DE2C48"/>
    <w:rsid w:val="00DE48AC"/>
    <w:rsid w:val="00DE6B8F"/>
    <w:rsid w:val="00DF0141"/>
    <w:rsid w:val="00DF0807"/>
    <w:rsid w:val="00DF08FC"/>
    <w:rsid w:val="00DF3175"/>
    <w:rsid w:val="00DF513B"/>
    <w:rsid w:val="00DF62A7"/>
    <w:rsid w:val="00DF6796"/>
    <w:rsid w:val="00DF6BFB"/>
    <w:rsid w:val="00DF71E8"/>
    <w:rsid w:val="00E02668"/>
    <w:rsid w:val="00E0352C"/>
    <w:rsid w:val="00E0542B"/>
    <w:rsid w:val="00E065FB"/>
    <w:rsid w:val="00E07BB2"/>
    <w:rsid w:val="00E11E1A"/>
    <w:rsid w:val="00E12C95"/>
    <w:rsid w:val="00E14566"/>
    <w:rsid w:val="00E14911"/>
    <w:rsid w:val="00E14935"/>
    <w:rsid w:val="00E158C9"/>
    <w:rsid w:val="00E15D91"/>
    <w:rsid w:val="00E165E4"/>
    <w:rsid w:val="00E2022B"/>
    <w:rsid w:val="00E21A29"/>
    <w:rsid w:val="00E21E80"/>
    <w:rsid w:val="00E223F3"/>
    <w:rsid w:val="00E22660"/>
    <w:rsid w:val="00E232E0"/>
    <w:rsid w:val="00E237D8"/>
    <w:rsid w:val="00E23A5B"/>
    <w:rsid w:val="00E23DE6"/>
    <w:rsid w:val="00E25C1D"/>
    <w:rsid w:val="00E3030C"/>
    <w:rsid w:val="00E30B7B"/>
    <w:rsid w:val="00E31AD1"/>
    <w:rsid w:val="00E32EAF"/>
    <w:rsid w:val="00E34692"/>
    <w:rsid w:val="00E34BF8"/>
    <w:rsid w:val="00E44F7F"/>
    <w:rsid w:val="00E457D7"/>
    <w:rsid w:val="00E503B2"/>
    <w:rsid w:val="00E50CC8"/>
    <w:rsid w:val="00E51FE8"/>
    <w:rsid w:val="00E52109"/>
    <w:rsid w:val="00E5244F"/>
    <w:rsid w:val="00E5364C"/>
    <w:rsid w:val="00E54B8A"/>
    <w:rsid w:val="00E55820"/>
    <w:rsid w:val="00E55E57"/>
    <w:rsid w:val="00E56249"/>
    <w:rsid w:val="00E57EFC"/>
    <w:rsid w:val="00E61102"/>
    <w:rsid w:val="00E614A8"/>
    <w:rsid w:val="00E61AC0"/>
    <w:rsid w:val="00E66EAE"/>
    <w:rsid w:val="00E67ACE"/>
    <w:rsid w:val="00E67BA7"/>
    <w:rsid w:val="00E70F62"/>
    <w:rsid w:val="00E757FD"/>
    <w:rsid w:val="00E766A2"/>
    <w:rsid w:val="00E80935"/>
    <w:rsid w:val="00E8360B"/>
    <w:rsid w:val="00E84140"/>
    <w:rsid w:val="00E84363"/>
    <w:rsid w:val="00E91920"/>
    <w:rsid w:val="00E929D0"/>
    <w:rsid w:val="00E93B9D"/>
    <w:rsid w:val="00E93D69"/>
    <w:rsid w:val="00E94FA8"/>
    <w:rsid w:val="00EA0FF7"/>
    <w:rsid w:val="00EB3D8B"/>
    <w:rsid w:val="00EB4FD7"/>
    <w:rsid w:val="00EB6BE4"/>
    <w:rsid w:val="00EB7892"/>
    <w:rsid w:val="00EC1863"/>
    <w:rsid w:val="00EC4990"/>
    <w:rsid w:val="00EC4BC7"/>
    <w:rsid w:val="00EC564B"/>
    <w:rsid w:val="00EC5C90"/>
    <w:rsid w:val="00EC6F58"/>
    <w:rsid w:val="00ED23F4"/>
    <w:rsid w:val="00ED4519"/>
    <w:rsid w:val="00ED4634"/>
    <w:rsid w:val="00ED6F43"/>
    <w:rsid w:val="00ED70D6"/>
    <w:rsid w:val="00ED7CB3"/>
    <w:rsid w:val="00EE061A"/>
    <w:rsid w:val="00EE1123"/>
    <w:rsid w:val="00EE1706"/>
    <w:rsid w:val="00EE1D25"/>
    <w:rsid w:val="00EE3A4F"/>
    <w:rsid w:val="00EF0C91"/>
    <w:rsid w:val="00EF2660"/>
    <w:rsid w:val="00EF26A2"/>
    <w:rsid w:val="00EF5783"/>
    <w:rsid w:val="00EF6E08"/>
    <w:rsid w:val="00EF6E3A"/>
    <w:rsid w:val="00F00910"/>
    <w:rsid w:val="00F03352"/>
    <w:rsid w:val="00F03440"/>
    <w:rsid w:val="00F05129"/>
    <w:rsid w:val="00F05A55"/>
    <w:rsid w:val="00F064FB"/>
    <w:rsid w:val="00F06892"/>
    <w:rsid w:val="00F0782F"/>
    <w:rsid w:val="00F10567"/>
    <w:rsid w:val="00F13274"/>
    <w:rsid w:val="00F14246"/>
    <w:rsid w:val="00F1663D"/>
    <w:rsid w:val="00F1668A"/>
    <w:rsid w:val="00F16AEF"/>
    <w:rsid w:val="00F2090A"/>
    <w:rsid w:val="00F2177F"/>
    <w:rsid w:val="00F24060"/>
    <w:rsid w:val="00F25B69"/>
    <w:rsid w:val="00F269DE"/>
    <w:rsid w:val="00F26A4B"/>
    <w:rsid w:val="00F3097C"/>
    <w:rsid w:val="00F31636"/>
    <w:rsid w:val="00F31B66"/>
    <w:rsid w:val="00F33021"/>
    <w:rsid w:val="00F341C9"/>
    <w:rsid w:val="00F376E3"/>
    <w:rsid w:val="00F37ED4"/>
    <w:rsid w:val="00F40A46"/>
    <w:rsid w:val="00F41D12"/>
    <w:rsid w:val="00F42161"/>
    <w:rsid w:val="00F45235"/>
    <w:rsid w:val="00F476FB"/>
    <w:rsid w:val="00F47E46"/>
    <w:rsid w:val="00F47EB4"/>
    <w:rsid w:val="00F508D8"/>
    <w:rsid w:val="00F50B3C"/>
    <w:rsid w:val="00F523C8"/>
    <w:rsid w:val="00F5592A"/>
    <w:rsid w:val="00F56B57"/>
    <w:rsid w:val="00F57E9D"/>
    <w:rsid w:val="00F66E1A"/>
    <w:rsid w:val="00F675A4"/>
    <w:rsid w:val="00F700B2"/>
    <w:rsid w:val="00F71931"/>
    <w:rsid w:val="00F71EBB"/>
    <w:rsid w:val="00F728DA"/>
    <w:rsid w:val="00F750E0"/>
    <w:rsid w:val="00F7618C"/>
    <w:rsid w:val="00F829B8"/>
    <w:rsid w:val="00F8471B"/>
    <w:rsid w:val="00F8554D"/>
    <w:rsid w:val="00F95441"/>
    <w:rsid w:val="00F95F30"/>
    <w:rsid w:val="00F972B5"/>
    <w:rsid w:val="00FA1739"/>
    <w:rsid w:val="00FA29E8"/>
    <w:rsid w:val="00FA2ED1"/>
    <w:rsid w:val="00FA4B92"/>
    <w:rsid w:val="00FA6597"/>
    <w:rsid w:val="00FA680E"/>
    <w:rsid w:val="00FA7100"/>
    <w:rsid w:val="00FB0CFC"/>
    <w:rsid w:val="00FB1386"/>
    <w:rsid w:val="00FB1FD6"/>
    <w:rsid w:val="00FB4E60"/>
    <w:rsid w:val="00FB7251"/>
    <w:rsid w:val="00FC096D"/>
    <w:rsid w:val="00FC12F6"/>
    <w:rsid w:val="00FC4ACC"/>
    <w:rsid w:val="00FC6109"/>
    <w:rsid w:val="00FD0892"/>
    <w:rsid w:val="00FD255A"/>
    <w:rsid w:val="00FD34CF"/>
    <w:rsid w:val="00FD4724"/>
    <w:rsid w:val="00FD49C4"/>
    <w:rsid w:val="00FD626F"/>
    <w:rsid w:val="00FD6782"/>
    <w:rsid w:val="00FD690E"/>
    <w:rsid w:val="00FE27F4"/>
    <w:rsid w:val="00FE2A2C"/>
    <w:rsid w:val="00FF1571"/>
    <w:rsid w:val="00FF3986"/>
    <w:rsid w:val="00FF4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33079184-E7D7-400B-BB9F-CFB595C1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MeniuneNerezolvat1">
    <w:name w:val="Mențiune Nerezolvat1"/>
    <w:basedOn w:val="a0"/>
    <w:uiPriority w:val="99"/>
    <w:semiHidden/>
    <w:unhideWhenUsed/>
    <w:rsid w:val="00572006"/>
    <w:rPr>
      <w:color w:val="605E5C"/>
      <w:shd w:val="clear" w:color="auto" w:fill="E1DFDD"/>
    </w:rPr>
  </w:style>
  <w:style w:type="character" w:styleId="aff6">
    <w:name w:val="Unresolved Mention"/>
    <w:basedOn w:val="a0"/>
    <w:uiPriority w:val="99"/>
    <w:semiHidden/>
    <w:unhideWhenUsed/>
    <w:rsid w:val="00037EFC"/>
    <w:rPr>
      <w:color w:val="605E5C"/>
      <w:shd w:val="clear" w:color="auto" w:fill="E1DFDD"/>
    </w:rPr>
  </w:style>
  <w:style w:type="paragraph" w:customStyle="1" w:styleId="Default">
    <w:name w:val="Default"/>
    <w:rsid w:val="008002B3"/>
    <w:pPr>
      <w:autoSpaceDE w:val="0"/>
      <w:autoSpaceDN w:val="0"/>
      <w:adjustRightInd w:val="0"/>
      <w:ind w:firstLine="0"/>
      <w:jc w:val="left"/>
    </w:pPr>
    <w:rPr>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7606">
      <w:bodyDiv w:val="1"/>
      <w:marLeft w:val="0"/>
      <w:marRight w:val="0"/>
      <w:marTop w:val="0"/>
      <w:marBottom w:val="0"/>
      <w:divBdr>
        <w:top w:val="none" w:sz="0" w:space="0" w:color="auto"/>
        <w:left w:val="none" w:sz="0" w:space="0" w:color="auto"/>
        <w:bottom w:val="none" w:sz="0" w:space="0" w:color="auto"/>
        <w:right w:val="none" w:sz="0" w:space="0" w:color="auto"/>
      </w:divBdr>
    </w:div>
    <w:div w:id="329794098">
      <w:bodyDiv w:val="1"/>
      <w:marLeft w:val="0"/>
      <w:marRight w:val="0"/>
      <w:marTop w:val="0"/>
      <w:marBottom w:val="0"/>
      <w:divBdr>
        <w:top w:val="none" w:sz="0" w:space="0" w:color="auto"/>
        <w:left w:val="none" w:sz="0" w:space="0" w:color="auto"/>
        <w:bottom w:val="none" w:sz="0" w:space="0" w:color="auto"/>
        <w:right w:val="none" w:sz="0" w:space="0" w:color="auto"/>
      </w:divBdr>
    </w:div>
    <w:div w:id="39921024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70389929">
      <w:bodyDiv w:val="1"/>
      <w:marLeft w:val="0"/>
      <w:marRight w:val="0"/>
      <w:marTop w:val="0"/>
      <w:marBottom w:val="0"/>
      <w:divBdr>
        <w:top w:val="none" w:sz="0" w:space="0" w:color="auto"/>
        <w:left w:val="none" w:sz="0" w:space="0" w:color="auto"/>
        <w:bottom w:val="none" w:sz="0" w:space="0" w:color="auto"/>
        <w:right w:val="none" w:sz="0" w:space="0" w:color="auto"/>
      </w:divBdr>
    </w:div>
    <w:div w:id="20117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A8155C94-801B-42C2-B7E9-50DD84AECDB8}">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39</Pages>
  <Words>16006</Words>
  <Characters>92840</Characters>
  <Application>Microsoft Office Word</Application>
  <DocSecurity>0</DocSecurity>
  <Lines>773</Lines>
  <Paragraphs>217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108629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Evgheni Marcenco</cp:lastModifiedBy>
  <cp:revision>47</cp:revision>
  <cp:lastPrinted>2025-10-08T08:14:00Z</cp:lastPrinted>
  <dcterms:created xsi:type="dcterms:W3CDTF">2026-03-16T06:34:00Z</dcterms:created>
  <dcterms:modified xsi:type="dcterms:W3CDTF">2026-04-15T07:39:00Z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